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60"/>
        <w:jc w:val="center"/>
      </w:pPr>
      <w:r>
        <w:rPr>
          <w:rFonts w:ascii="Calibri" w:cs="Calibri" w:eastAsia="Calibri" w:hAnsi="Calibri"/>
          <w:smallCaps/>
          <w:color w:val="7A8A99"/>
          <w:sz w:val="20"/>
          <w:szCs w:val="20"/>
        </w:rPr>
        <w:t xml:space="preserve">HIGGINS UNITY FRAMEWORK</w:t>
      </w:r>
    </w:p>
    <w:p>
      <w:pPr>
        <w:spacing w:before="0" w:after="40"/>
        <w:jc w:val="center"/>
      </w:pPr>
      <w:r>
        <w:rPr>
          <w:rFonts w:ascii="Calibri" w:cs="Calibri" w:eastAsia="Calibri" w:hAnsi="Calibri"/>
          <w:color w:val="7A8A99"/>
          <w:sz w:val="18"/>
          <w:szCs w:val="18"/>
        </w:rPr>
        <w:t xml:space="preserve">HUF v1.2.0</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Bdr>
          <w:bottom w:val="single" w:color="1A1A2E" w:sz="6" w:space="12"/>
        </w:pBdr>
        <w:spacing w:before="0" w:after="30"/>
        <w:jc w:val="center"/>
      </w:pPr>
      <w:r>
        <w:rPr>
          <w:rFonts w:ascii="Calibri" w:cs="Calibri" w:eastAsia="Calibri" w:hAnsi="Calibri"/>
          <w:b/>
          <w:bCs/>
          <w:color w:val="1A1A2E"/>
          <w:sz w:val="52"/>
          <w:szCs w:val="52"/>
        </w:rPr>
        <w:t xml:space="preserve">COMPLETE REFERENCE</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0"/>
        <w:jc w:val="center"/>
      </w:pPr>
      <w:r>
        <w:rPr>
          <w:rFonts w:ascii="Calibri" w:cs="Calibri" w:eastAsia="Calibri" w:hAnsi="Calibri"/>
          <w:color w:val="2C3E50"/>
          <w:sz w:val="26"/>
          <w:szCs w:val="26"/>
        </w:rPr>
        <w:t xml:space="preserve">Taxonomy · Vocabulary · Failure Modes · Artifacts</w:t>
      </w:r>
    </w:p>
    <w:p>
      <w:pPr>
        <w:spacing w:before="0" w:after="20"/>
        <w:jc w:val="center"/>
      </w:pPr>
      <w:r>
        <w:rPr>
          <w:rFonts w:ascii="Calibri" w:cs="Calibri" w:eastAsia="Calibri" w:hAnsi="Calibri"/>
          <w:color w:val="2C3E50"/>
          <w:sz w:val="26"/>
          <w:szCs w:val="26"/>
        </w:rPr>
        <w:t xml:space="preserve">Detection Thresholds · Compliance Diagnostics</w:t>
      </w:r>
    </w:p>
    <w:p>
      <w:pPr>
        <w:spacing w:before="0" w:after="20"/>
        <w:jc w:val="center"/>
      </w:pPr>
      <w:r>
        <w:rPr>
          <w:rFonts w:ascii="Calibri" w:cs="Calibri" w:eastAsia="Calibri" w:hAnsi="Calibri"/>
          <w:color w:val="2C3E50"/>
          <w:sz w:val="26"/>
          <w:szCs w:val="26"/>
        </w:rPr>
        <w:t xml:space="preserve">Convergence Theory · Domain Applications</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C8D4E0" w:sz="2" w:space="8"/>
        </w:pBdr>
        <w:spacing w:before="0" w:after="20"/>
        <w:jc w:val="center"/>
      </w:pPr>
      <w:r>
        <w:rPr>
          <w:rFonts w:ascii="Calibri" w:cs="Calibri" w:eastAsia="Calibri" w:hAnsi="Calibri"/>
          <w:color w:val="7A8A99"/>
          <w:sz w:val="22"/>
          <w:szCs w:val="22"/>
        </w:rPr>
        <w:t xml:space="preserve">AND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0"/>
        <w:jc w:val="center"/>
      </w:pPr>
      <w:r>
        <w:rPr>
          <w:rFonts w:ascii="Calibri" w:cs="Calibri" w:eastAsia="Calibri" w:hAnsi="Calibri"/>
          <w:b/>
          <w:bCs/>
          <w:color w:val="16213E"/>
          <w:sz w:val="36"/>
          <w:szCs w:val="36"/>
        </w:rPr>
        <w:t xml:space="preserve">THE FOURTH MONITORING CATEGORY</w:t>
      </w:r>
    </w:p>
    <w:p>
      <w:pPr>
        <w:spacing w:before="0" w:after="60"/>
        <w:jc w:val="center"/>
      </w:pPr>
      <w:r>
        <w:rPr>
          <w:rFonts w:ascii="Calibri" w:cs="Calibri" w:eastAsia="Calibri" w:hAnsi="Calibri"/>
          <w:i/>
          <w:iCs/>
          <w:color w:val="2C3E50"/>
          <w:sz w:val="24"/>
          <w:szCs w:val="24"/>
        </w:rPr>
        <w:t xml:space="preserve">Self-Referential Non-Invasive Governance State Observation</w:t>
      </w:r>
    </w:p>
    <w:p>
      <w:pPr>
        <w:spacing w:before="0" w:after="18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C8D4E0" w:sz="2" w:space="6"/>
        </w:pBdr>
        <w:spacing w:before="0" w:after="30"/>
        <w:jc w:val="center"/>
      </w:pPr>
      <w:r>
        <w:rPr>
          <w:rFonts w:ascii="Calibri" w:cs="Calibri" w:eastAsia="Calibri" w:hAnsi="Calibri"/>
          <w:color w:val="7A8A99"/>
          <w:sz w:val="22"/>
          <w:szCs w:val="22"/>
        </w:rPr>
        <w:t xml:space="preserve">Collective Record — February 2026</w:t>
      </w:r>
    </w:p>
    <w:p>
      <w:pPr>
        <w:spacing w:before="0" w:after="20"/>
        <w:jc w:val="center"/>
      </w:pPr>
      <w:r>
        <w:rPr>
          <w:rFonts w:ascii="Calibri" w:cs="Calibri" w:eastAsia="Calibri" w:hAnsi="Calibri"/>
          <w:color w:val="7A8A99"/>
          <w:sz w:val="20"/>
          <w:szCs w:val="20"/>
        </w:rPr>
        <w:t xml:space="preserve">Synthesis: Claude · Copilot · Gemini · ChatGPT · Grok</w:t>
      </w:r>
    </w:p>
    <w:p>
      <w:pPr>
        <w:spacing w:before="0" w:after="0"/>
        <w:jc w:val="center"/>
      </w:pPr>
      <w:r>
        <w:rPr>
          <w:rFonts w:ascii="Calibri" w:cs="Calibri" w:eastAsia="Calibri" w:hAnsi="Calibri"/>
          <w:color w:val="7A8A99"/>
          <w:sz w:val="20"/>
          <w:szCs w:val="20"/>
        </w:rPr>
        <w:t xml:space="preserve">Peter Higgins · Rogue Wave Audio · Markham, Ontario</w:t>
      </w:r>
    </w:p>
    <w:p>
      <w:r>
        <w:br w:type="page"/>
      </w:r>
    </w:p>
    <w:p>
      <w:pPr>
        <w:pStyle w:val="Heading1"/>
        <w:pBdr>
          <w:bottom w:val="single" w:color="1A1A2E" w:sz="8" w:space="8"/>
        </w:pBdr>
        <w:spacing w:before="400" w:after="120"/>
      </w:pPr>
      <w:r>
        <w:rPr>
          <w:rFonts w:ascii="Calibri" w:cs="Calibri" w:eastAsia="Calibri" w:hAnsi="Calibri"/>
          <w:b/>
          <w:bCs/>
          <w:color w:val="1A1A2E"/>
          <w:sz w:val="34"/>
          <w:szCs w:val="34"/>
        </w:rPr>
        <w:t xml:space="preserve">How to Use This Document</w:t>
      </w:r>
    </w:p>
    <w:p>
      <w:pPr>
        <w:spacing w:before="0" w:after="100" w:line="288"/>
        <w:jc w:val="left"/>
      </w:pPr>
      <w:r>
        <w:rPr>
          <w:rFonts w:ascii="Calibri" w:cs="Calibri" w:eastAsia="Calibri" w:hAnsi="Calibri"/>
          <w:i w:val="false"/>
          <w:iCs w:val="false"/>
          <w:color w:val="1A1A1A"/>
          <w:sz w:val="22"/>
          <w:szCs w:val="22"/>
        </w:rPr>
        <w:t xml:space="preserve">This is the single reference for every classification system HUF uses. It is organized in two major parts across nineteen taxonomy layers and seven thematic sections. Each layer and each section is self-contained. A reader who needs only the failure mode taxonomy can read Layer 3 without reading anything else. A reader building a pilot deployment needs Layers 5, 6, 7, and 8 in sequence.</w:t>
      </w:r>
    </w:p>
    <w:p>
      <w:pPr>
        <w:spacing w:before="0" w:after="100" w:line="288"/>
        <w:jc w:val="left"/>
      </w:pPr>
      <w:r>
        <w:rPr>
          <w:rFonts w:ascii="Calibri" w:cs="Calibri" w:eastAsia="Calibri" w:hAnsi="Calibri"/>
          <w:i w:val="false"/>
          <w:iCs w:val="false"/>
          <w:color w:val="1A1A1A"/>
          <w:sz w:val="22"/>
          <w:szCs w:val="22"/>
        </w:rPr>
        <w:t xml:space="preserve">Every term used in the Handbook (v1.2.0), the mathematics paper, the governance state observer paper, and the case studies resolves to an entry in this document. If a term appears in any of those documents and is not here, that is a gap to be filed.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Part I — Complete Reference Taxonomy</w:t>
      </w:r>
    </w:p>
    <w:p>
      <w:pPr>
        <w:spacing w:before="0" w:after="100" w:line="288"/>
        <w:jc w:val="left"/>
      </w:pPr>
      <w:r>
        <w:rPr>
          <w:rFonts w:ascii="Calibri" w:cs="Calibri" w:eastAsia="Calibri" w:hAnsi="Calibri"/>
          <w:i w:val="false"/>
          <w:iCs w:val="false"/>
          <w:color w:val="1A1A1A"/>
          <w:sz w:val="22"/>
          <w:szCs w:val="22"/>
        </w:rPr>
        <w:t xml:space="preserve">Layers 1–19 covering all classification systems, vocabularies, thresholds, artifacts, and domain application paths.</w:t>
      </w:r>
    </w:p>
    <w:p>
      <w:pPr>
        <w:pStyle w:val="Heading3"/>
        <w:spacing w:before="200" w:after="80"/>
      </w:pPr>
      <w:r>
        <w:rPr>
          <w:rFonts w:ascii="Calibri" w:cs="Calibri" w:eastAsia="Calibri" w:hAnsi="Calibri"/>
          <w:b/>
          <w:bCs/>
          <w:color w:val="0F3460"/>
          <w:sz w:val="24"/>
          <w:szCs w:val="24"/>
        </w:rPr>
        <w:t xml:space="preserve">Part II — The Fourth Monitoring Category: Expanded</w:t>
      </w:r>
    </w:p>
    <w:p>
      <w:pPr>
        <w:spacing w:before="0" w:after="100" w:line="288"/>
        <w:jc w:val="left"/>
      </w:pPr>
      <w:r>
        <w:rPr>
          <w:rFonts w:ascii="Calibri" w:cs="Calibri" w:eastAsia="Calibri" w:hAnsi="Calibri"/>
          <w:i w:val="false"/>
          <w:iCs w:val="false"/>
          <w:color w:val="1A1A1A"/>
          <w:sz w:val="22"/>
          <w:szCs w:val="22"/>
        </w:rPr>
        <w:t xml:space="preserve">Seven-section deep treatment of the epistemological foundation, governance requirements, failure mode analysis, structural limits, confirmation path, naming, and convergence in practice.</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4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1A1A2E" w:sz="12" w:space="12"/>
          <w:bottom w:val="single" w:color="C8D4E0" w:sz="4" w:space="16"/>
        </w:pBdr>
        <w:spacing w:before="0" w:after="20"/>
        <w:jc w:val="center"/>
      </w:pPr>
      <w:r>
        <w:rPr>
          <w:rFonts w:ascii="Calibri" w:cs="Calibri" w:eastAsia="Calibri" w:hAnsi="Calibri"/>
          <w:b/>
          <w:bCs/>
          <w:color w:val="1A1A2E"/>
          <w:sz w:val="48"/>
          <w:szCs w:val="48"/>
        </w:rPr>
        <w:t xml:space="preserve">PART I</w:t>
      </w:r>
    </w:p>
    <w:p>
      <w:pPr>
        <w:spacing w:before="0" w:after="20"/>
        <w:jc w:val="center"/>
      </w:pPr>
      <w:r>
        <w:rPr>
          <w:rFonts w:ascii="Calibri" w:cs="Calibri" w:eastAsia="Calibri" w:hAnsi="Calibri"/>
          <w:color w:val="2C3E50"/>
          <w:sz w:val="30"/>
          <w:szCs w:val="30"/>
        </w:rPr>
        <w:t xml:space="preserve">Complete Reference Taxonomy</w:t>
      </w:r>
    </w:p>
    <w:p>
      <w:pPr>
        <w:spacing w:before="0" w:after="0"/>
        <w:jc w:val="center"/>
      </w:pPr>
      <w:r>
        <w:rPr>
          <w:rFonts w:ascii="Calibri" w:cs="Calibri" w:eastAsia="Calibri" w:hAnsi="Calibri"/>
          <w:color w:val="7A8A99"/>
          <w:sz w:val="22"/>
          <w:szCs w:val="22"/>
        </w:rPr>
        <w:t xml:space="preserve">Layers 1–19</w:t>
      </w:r>
    </w:p>
    <w:p>
      <w:r>
        <w:br w:type="pag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w:t>
      </w:r>
      <w:r>
        <w:rPr>
          <w:rFonts w:ascii="Calibri" w:cs="Calibri" w:eastAsia="Calibri" w:hAnsi="Calibri"/>
          <w:b w:val="false"/>
          <w:bCs w:val="false"/>
          <w:color w:val="7A8A99"/>
          <w:sz w:val="22"/>
          <w:szCs w:val="22"/>
        </w:rPr>
        <w:t xml:space="preserve">  Monitoring Category Taxonomy</w:t>
      </w:r>
    </w:p>
    <w:p>
      <w:pPr>
        <w:spacing w:before="0" w:after="100" w:line="288"/>
        <w:jc w:val="left"/>
      </w:pPr>
      <w:r>
        <w:rPr>
          <w:rFonts w:ascii="Calibri" w:cs="Calibri" w:eastAsia="Calibri" w:hAnsi="Calibri"/>
          <w:i w:val="false"/>
          <w:iCs w:val="false"/>
          <w:color w:val="1A1A1A"/>
          <w:sz w:val="22"/>
          <w:szCs w:val="22"/>
        </w:rPr>
        <w:t xml:space="preserve">The four monitoring categories define what type of reference the monitoring instrument uses. The first three are established in the ecological monitoring literature. The fourth is introduced by HUF.</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40"/>
        <w:gridCol w:w="1380"/>
        <w:gridCol w:w="1640"/>
        <w:gridCol w:w="1380"/>
        <w:gridCol w:w="1620"/>
        <w:gridCol w:w="1800"/>
      </w:tblGrid>
      <w:tr>
        <w:trPr>
          <w:tblHeader/>
        </w:trPr>
        <w:tc>
          <w:tcPr>
            <w:tcW w:type="dxa" w:w="5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ID</w:t>
            </w:r>
          </w:p>
        </w:tc>
        <w:tc>
          <w:tcPr>
            <w:tcW w:type="dxa" w:w="13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Name</w:t>
            </w:r>
          </w:p>
        </w:tc>
        <w:tc>
          <w:tcPr>
            <w:tcW w:type="dxa" w:w="16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Reference type</w:t>
            </w:r>
          </w:p>
        </w:tc>
        <w:tc>
          <w:tcPr>
            <w:tcW w:type="dxa" w:w="13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Primary question</w:t>
            </w:r>
          </w:p>
        </w:tc>
        <w:tc>
          <w:tcPr>
            <w:tcW w:type="dxa" w:w="16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Intentional / silent distinction</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Cross-cycle traceability</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MC-1</w:t>
            </w:r>
          </w:p>
        </w:tc>
        <w:tc>
          <w:tcPr>
            <w:tcW w:type="dxa" w:w="13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Passive monitoring</w:t>
            </w:r>
          </w:p>
        </w:tc>
        <w:tc>
          <w:tcPr>
            <w:tcW w:type="dxa" w:w="16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None — unstructured observation</w:t>
            </w:r>
          </w:p>
        </w:tc>
        <w:tc>
          <w:tcPr>
            <w:tcW w:type="dxa" w:w="13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What is happening?</w:t>
            </w:r>
          </w:p>
        </w:tc>
        <w:tc>
          <w:tcPr>
            <w:tcW w:type="dxa" w:w="16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Absent</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Incidental</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MC-2</w:t>
            </w:r>
          </w:p>
        </w:tc>
        <w:tc>
          <w:tcPr>
            <w:tcW w:type="dxa" w:w="13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Mandated monitoring</w:t>
            </w:r>
          </w:p>
        </w:tc>
        <w:tc>
          <w:tcPr>
            <w:tcW w:type="dxa" w:w="16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External legal threshold</w:t>
            </w:r>
          </w:p>
        </w:tc>
        <w:tc>
          <w:tcPr>
            <w:tcW w:type="dxa" w:w="13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Is the threshold breached?</w:t>
            </w:r>
          </w:p>
        </w:tc>
        <w:tc>
          <w:tcPr>
            <w:tcW w:type="dxa" w:w="16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Absent</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Trend detection only</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MC-3</w:t>
            </w:r>
          </w:p>
        </w:tc>
        <w:tc>
          <w:tcPr>
            <w:tcW w:type="dxa" w:w="13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Question-driven monitoring</w:t>
            </w:r>
          </w:p>
        </w:tc>
        <w:tc>
          <w:tcPr>
            <w:tcW w:type="dxa" w:w="16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Conceptual model</w:t>
            </w:r>
          </w:p>
        </w:tc>
        <w:tc>
          <w:tcPr>
            <w:tcW w:type="dxa" w:w="13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Does the model hold?</w:t>
            </w:r>
          </w:p>
        </w:tc>
        <w:tc>
          <w:tcPr>
            <w:tcW w:type="dxa" w:w="16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Absent</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Within hypothesis window</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MC-4</w:t>
            </w:r>
          </w:p>
        </w:tc>
        <w:tc>
          <w:tcPr>
            <w:tcW w:type="dxa" w:w="13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 monitoring</w:t>
            </w:r>
          </w:p>
        </w:tc>
        <w:tc>
          <w:tcPr>
            <w:tcW w:type="dxa" w:w="16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System's own declared intent</w:t>
            </w:r>
          </w:p>
        </w:tc>
        <w:tc>
          <w:tcPr>
            <w:tcW w:type="dxa" w:w="13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Is declared intent being met?</w:t>
            </w:r>
          </w:p>
        </w:tc>
        <w:tc>
          <w:tcPr>
            <w:tcW w:type="dxa" w:w="16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Primary output</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Structural — all cycles</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1A1A2E" w:sz="12" w:space="10"/>
        </w:pBdr>
        <w:shd w:fill="E8F0FE" w:val="clear"/>
        <w:spacing w:before="80" w:after="100"/>
        <w:ind w:left="360"/>
      </w:pPr>
      <w:r>
        <w:rPr>
          <w:rFonts w:ascii="Calibri" w:cs="Calibri" w:eastAsia="Calibri" w:hAnsi="Calibri"/>
          <w:b/>
          <w:bCs/>
          <w:color w:val="1A1A2E"/>
          <w:sz w:val="21"/>
          <w:szCs w:val="21"/>
        </w:rPr>
        <w:t xml:space="preserve">MC-4 CANONICAL NAME:  </w:t>
      </w:r>
      <w:r>
        <w:rPr>
          <w:rFonts w:ascii="Calibri" w:cs="Calibri" w:eastAsia="Calibri" w:hAnsi="Calibri"/>
          <w:i/>
          <w:iCs/>
          <w:color w:val="1A1A1A"/>
          <w:sz w:val="21"/>
          <w:szCs w:val="21"/>
        </w:rPr>
        <w:t xml:space="preserve">Ratio State Monitoring — approved by the operator, February 2026. Name locked for literature submission.</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MC-4 Defining Properties</w:t>
      </w:r>
    </w:p>
    <w:p>
      <w:pPr>
        <w:spacing w:before="0" w:after="100" w:line="288"/>
        <w:jc w:val="left"/>
      </w:pPr>
      <w:r>
        <w:rPr>
          <w:rFonts w:ascii="Calibri" w:cs="Calibri" w:eastAsia="Calibri" w:hAnsi="Calibri"/>
          <w:i w:val="false"/>
          <w:iCs w:val="false"/>
          <w:color w:val="1A1A1A"/>
          <w:sz w:val="22"/>
          <w:szCs w:val="22"/>
        </w:rPr>
        <w:t xml:space="preserve">Self-referential: uses the system's own declared priorities as the reference.</w:t>
      </w:r>
    </w:p>
    <w:p>
      <w:pPr>
        <w:spacing w:before="0" w:after="100" w:line="288"/>
        <w:jc w:val="left"/>
      </w:pPr>
      <w:r>
        <w:rPr>
          <w:rFonts w:ascii="Calibri" w:cs="Calibri" w:eastAsia="Calibri" w:hAnsi="Calibri"/>
          <w:i w:val="false"/>
          <w:iCs w:val="false"/>
          <w:color w:val="1A1A1A"/>
          <w:sz w:val="22"/>
          <w:szCs w:val="22"/>
        </w:rPr>
        <w:t xml:space="preserve">Non-invasive: reads existing outputs, requires no new data collection.</w:t>
      </w:r>
    </w:p>
    <w:p>
      <w:pPr>
        <w:spacing w:before="0" w:after="100" w:line="288"/>
        <w:jc w:val="left"/>
      </w:pPr>
      <w:r>
        <w:rPr>
          <w:rFonts w:ascii="Calibri" w:cs="Calibri" w:eastAsia="Calibri" w:hAnsi="Calibri"/>
          <w:i w:val="false"/>
          <w:iCs w:val="false"/>
          <w:color w:val="1A1A1A"/>
          <w:sz w:val="22"/>
          <w:szCs w:val="22"/>
        </w:rPr>
        <w:t xml:space="preserve">Model-free: requires no mathematical model of the system's dynamics.</w:t>
      </w:r>
    </w:p>
    <w:p>
      <w:pPr>
        <w:spacing w:before="0" w:after="100" w:line="288"/>
        <w:jc w:val="left"/>
      </w:pPr>
      <w:r>
        <w:rPr>
          <w:rFonts w:ascii="Calibri" w:cs="Calibri" w:eastAsia="Calibri" w:hAnsi="Calibri"/>
          <w:i w:val="false"/>
          <w:iCs w:val="false"/>
          <w:color w:val="1A1A1A"/>
          <w:sz w:val="22"/>
          <w:szCs w:val="22"/>
        </w:rPr>
        <w:t xml:space="preserve">Bidirectional: detects concentration and fragmentation under the same constraint.</w:t>
      </w:r>
    </w:p>
    <w:p>
      <w:pPr>
        <w:spacing w:before="0" w:after="100" w:line="288"/>
        <w:jc w:val="left"/>
      </w:pPr>
      <w:r>
        <w:rPr>
          <w:rFonts w:ascii="Calibri" w:cs="Calibri" w:eastAsia="Calibri" w:hAnsi="Calibri"/>
          <w:i w:val="false"/>
          <w:iCs w:val="false"/>
          <w:color w:val="1A1A1A"/>
          <w:sz w:val="22"/>
          <w:szCs w:val="22"/>
        </w:rPr>
        <w:t xml:space="preserve">Cross-cycle: produces a traceable governance record across all reporting periods.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2C3E50" w:sz="12" w:space="10"/>
        </w:pBdr>
        <w:shd w:fill="F8F8FC" w:val="clear"/>
        <w:spacing w:before="80" w:after="100"/>
        <w:ind w:left="360"/>
      </w:pPr>
      <w:r>
        <w:rPr>
          <w:rFonts w:ascii="Calibri" w:cs="Calibri" w:eastAsia="Calibri" w:hAnsi="Calibri"/>
          <w:b/>
          <w:bCs/>
          <w:color w:val="2C3E50"/>
          <w:sz w:val="21"/>
          <w:szCs w:val="21"/>
        </w:rPr>
        <w:t xml:space="preserve">POLICY FRAMING:  </w:t>
      </w:r>
      <w:r>
        <w:rPr>
          <w:rFonts w:ascii="Calibri" w:cs="Calibri" w:eastAsia="Calibri" w:hAnsi="Calibri"/>
          <w:i/>
          <w:iCs/>
          <w:color w:val="1A1A1A"/>
          <w:sz w:val="21"/>
          <w:szCs w:val="21"/>
        </w:rPr>
        <w:t xml:space="preserve">Ratio state monitoring provides a cross-cycle ledger of declared intent and observed allocation; it is a governance diagnostic, not a replacement for site-level assessment.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2</w:t>
      </w:r>
      <w:r>
        <w:rPr>
          <w:rFonts w:ascii="Calibri" w:cs="Calibri" w:eastAsia="Calibri" w:hAnsi="Calibri"/>
          <w:b w:val="false"/>
          <w:bCs w:val="false"/>
          <w:color w:val="7A8A99"/>
          <w:sz w:val="22"/>
          <w:szCs w:val="22"/>
        </w:rPr>
        <w:t xml:space="preserve">  Core Vocabulary</w:t>
      </w:r>
    </w:p>
    <w:p>
      <w:pPr>
        <w:spacing w:before="0" w:after="100" w:line="288"/>
        <w:jc w:val="left"/>
      </w:pPr>
      <w:r>
        <w:rPr>
          <w:rFonts w:ascii="Calibri" w:cs="Calibri" w:eastAsia="Calibri" w:hAnsi="Calibri"/>
          <w:i w:val="false"/>
          <w:iCs w:val="false"/>
          <w:color w:val="1A1A1A"/>
          <w:sz w:val="22"/>
          <w:szCs w:val="22"/>
        </w:rPr>
        <w:t xml:space="preserve">All terms are defined as they appear in the Handbook. Terms are listed in dependency order — each term is defined only using terms already defined above it.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Term</w:t>
            </w:r>
          </w:p>
        </w:tc>
        <w:tc>
          <w:tcPr>
            <w:tcW w:type="dxa" w:w="57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Definition</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First introduced</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Budget ceiling</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total of a finite-budget system, indexed to 1.0. The ceiling is fixed; it does not grow or shrink with usage.</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Element</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Any constituent of a portfolio that holds a share of the budget ceiling. Minimum: two elements.</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Share (ρᵢ)</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An element's proportional portion of the budget ceiling at a given point in time. Always a ratio, never an absolute. ρᵢ = mᵢ / M where M = Σmⱼ.</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2</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complete description of a finite-budget system at a point in time, expressed as a vector of shares summing to 1.0.</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Unity constraint</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Σᵢ ρᵢ = 1.0. The foundational constraint of HUF. Satisfied by every valid portfolio state.</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2</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Declared weight</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share an operator states each element should hold, prior to observation. Also sums to 1.0.</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Observed share</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share an element actually holds in the current ratio state, computed from the system's declared outputs.</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Drift gap</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absolute difference between an element's declared weight and its observed share: |ρᵢ_declared − ρᵢ_observed|.</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average drift gap across all elements: (1/n) Σᵢ |ρᵢ_declared − ρᵢ_observed|. Expressed in percentage points (pp).</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10</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Intentional reweighting</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 change in ratio state traceable to a recorded governance decision.</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 change in ratio state not traceable to any recorded decision. The primary detection target of HUF.</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reciprocal of an element's observed share: leverage = 1/ρᵢ. Unitless. Measures sensitivity to removal or under-resourcing.</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6</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minimum number of elements required to hold a specified fraction (default 80%) of portfolio mass. Lower = more concentrated.</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10</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Q</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ratio of an element's characteristic contribution period to its contribution bandwidth. High-Q elements contribute specifically and cyclically; low-Q elements contribute broadly and steadily.</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6</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condition in which mean drift gap approaches zero, all allocation change is declared, and the feedback loop is self-correcting.</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7</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Action window</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period during which correction of observed drift is cheapest — open when drift is detectable and before it compounds to the point where correction cost is disproportionate.</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D.1</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blindness</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systematic failure that occurs when a finite-budget system is managed using absolute metrics. Root cause of all six failure modes.</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element</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An element whose share has declined to the point where it receives no meaningful governance attention, without a recorded decision justifying the decline.</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10</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time elapsed since the most recent verified data was collected for an element's metrics. Older data degrades the accuracy of share computation.</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10</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Institutional memory</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accumulated record of a governance system's ratio states, declared intents, and responses across all reporting cycles. A byproduct of consistent HUF application.</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Concept expansion</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3</w:t>
      </w:r>
      <w:r>
        <w:rPr>
          <w:rFonts w:ascii="Calibri" w:cs="Calibri" w:eastAsia="Calibri" w:hAnsi="Calibri"/>
          <w:b w:val="false"/>
          <w:bCs w:val="false"/>
          <w:color w:val="7A8A99"/>
          <w:sz w:val="22"/>
          <w:szCs w:val="22"/>
        </w:rPr>
        <w:t xml:space="preserve">  Failure Mode Taxonomy</w:t>
      </w:r>
    </w:p>
    <w:p>
      <w:pPr>
        <w:spacing w:before="0" w:after="100" w:line="288"/>
        <w:jc w:val="left"/>
      </w:pPr>
      <w:r>
        <w:rPr>
          <w:rFonts w:ascii="Calibri" w:cs="Calibri" w:eastAsia="Calibri" w:hAnsi="Calibri"/>
          <w:i w:val="false"/>
          <w:iCs w:val="false"/>
          <w:color w:val="1A1A1A"/>
          <w:sz w:val="22"/>
          <w:szCs w:val="22"/>
        </w:rPr>
        <w:t xml:space="preserve">Six failure modes, each structurally invisible to all three established monitoring categories. Listed in progression order — later modes are typically consequences of earlier ones left unaddressed.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40"/>
        <w:gridCol w:w="1200"/>
        <w:gridCol w:w="2160"/>
        <w:gridCol w:w="1320"/>
        <w:gridCol w:w="1560"/>
        <w:gridCol w:w="1580"/>
      </w:tblGrid>
      <w:tr>
        <w:trPr>
          <w:tblHeader/>
        </w:trPr>
        <w:tc>
          <w:tcPr>
            <w:tcW w:type="dxa" w:w="5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ID</w:t>
            </w:r>
          </w:p>
        </w:tc>
        <w:tc>
          <w:tcPr>
            <w:tcW w:type="dxa" w:w="12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Name</w:t>
            </w:r>
          </w:p>
        </w:tc>
        <w:tc>
          <w:tcPr>
            <w:tcW w:type="dxa" w:w="21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Definition</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Root cause</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Detection artifact</w:t>
            </w:r>
          </w:p>
        </w:tc>
        <w:tc>
          <w:tcPr>
            <w:tcW w:type="dxa" w:w="15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Operational flag</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FM-1</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Blindness</w:t>
            </w:r>
          </w:p>
        </w:tc>
        <w:tc>
          <w:tcPr>
            <w:tcW w:type="dxa" w:w="2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Managing a finite-budget system by absolute metrics, ignoring the relational structure that determines each element's actual contribution.</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Using absolute measures where only ratios are meaningful.</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share table; mean drift gap</w:t>
            </w:r>
          </w:p>
        </w:tc>
        <w:tc>
          <w:tcPr>
            <w:tcW w:type="dxa" w:w="15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&gt; 5pp threshold</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Reweighting</w:t>
            </w:r>
          </w:p>
        </w:tc>
        <w:tc>
          <w:tcPr>
            <w:tcW w:type="dxa" w:w="2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Gradual allocation drift occurring below the threshold of formal governance decisions. No policy changes. No declared priorities revised. Administrative gravity operating unchecked.</w:t>
            </w:r>
          </w:p>
        </w:tc>
        <w:tc>
          <w:tcPr>
            <w:tcW w:type="dxa" w:w="1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Absence of the intentional/silent classification mechanism.</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change log</w:t>
            </w:r>
          </w:p>
        </w:tc>
        <w:tc>
          <w:tcPr>
            <w:tcW w:type="dxa" w:w="15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Unattributed share shift across consecutive cycles</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FM-3</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Snapshot Error</w:t>
            </w:r>
          </w:p>
        </w:tc>
        <w:tc>
          <w:tcPr>
            <w:tcW w:type="dxa" w:w="2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Systematic underestimation of high-Q elements by single-cycle observation. Phase read as contribution. Trough read as absence.</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Observation window shorter than the element's characteristic period.</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Data-age flag; leverage column</w:t>
            </w:r>
          </w:p>
        </w:tc>
        <w:tc>
          <w:tcPr>
            <w:tcW w:type="dxa" w:w="15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High-leverage element with data age &gt; domain threshold</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FM-4</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Concentration Trap</w:t>
            </w:r>
          </w:p>
        </w:tc>
        <w:tc>
          <w:tcPr>
            <w:tcW w:type="dxa" w:w="2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allocating an increasing share to a decreasing number of dominant elements. Efficient short-term, fragile long-term. Recovery capacity lost silently.</w:t>
            </w:r>
          </w:p>
        </w:tc>
        <w:tc>
          <w:tcPr>
            <w:tcW w:type="dxa" w:w="1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 allowed to run in the concentration direction without detection.</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 trend</w:t>
            </w:r>
          </w:p>
        </w:tc>
        <w:tc>
          <w:tcPr>
            <w:tcW w:type="dxa" w:w="15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 ≤ 2 or decreasing across cycles</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FM-5</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Fragmentation Spiral</w:t>
            </w:r>
          </w:p>
        </w:tc>
        <w:tc>
          <w:tcPr>
            <w:tcW w:type="dxa" w:w="2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allocating sub-threshold attention to too many elements simultaneously. Each element receives some attention; no element receives effective attention.</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 allowed to run in the fragmentation direction without detection.</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Reciprocal PROOF line; leverage distribution</w:t>
            </w:r>
          </w:p>
        </w:tc>
        <w:tc>
          <w:tcPr>
            <w:tcW w:type="dxa" w:w="15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Many high-leverage small shares clustering near lower threshold</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FM-6</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Element</w:t>
            </w:r>
          </w:p>
        </w:tc>
        <w:tc>
          <w:tcPr>
            <w:tcW w:type="dxa" w:w="2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An element present on paper but effectively outside the governance system — no management plan updates, no monitoring visits, no meaningful resource allocation.</w:t>
            </w:r>
          </w:p>
        </w:tc>
        <w:tc>
          <w:tcPr>
            <w:tcW w:type="dxa" w:w="1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FM-4 or FM-5 carried to a specific element endpoint.</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Coverage record; Orphan Alert</w:t>
            </w:r>
          </w:p>
        </w:tc>
        <w:tc>
          <w:tcPr>
            <w:tcW w:type="dxa" w:w="15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Element share declining across Z cycles with no declared rationale (default Z=2)</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PROGRESSION NOTE:  </w:t>
      </w:r>
      <w:r>
        <w:rPr>
          <w:rFonts w:ascii="Calibri" w:cs="Calibri" w:eastAsia="Calibri" w:hAnsi="Calibri"/>
          <w:i/>
          <w:iCs/>
          <w:color w:val="1A1A1A"/>
          <w:sz w:val="21"/>
          <w:szCs w:val="21"/>
        </w:rPr>
        <w:t xml:space="preserve">FM-1 is the enabling condition. FM-2 is the mechanism. FM-3, FM-4, FM-5, and FM-6 are consequences of FM-2 in specific contexts. FM-4 and FM-5 are directional variants of the same drift mechanism. FM-6 is the terminal state of either.</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4</w:t>
      </w:r>
      <w:r>
        <w:rPr>
          <w:rFonts w:ascii="Calibri" w:cs="Calibri" w:eastAsia="Calibri" w:hAnsi="Calibri"/>
          <w:b w:val="false"/>
          <w:bCs w:val="false"/>
          <w:color w:val="7A8A99"/>
          <w:sz w:val="22"/>
          <w:szCs w:val="22"/>
        </w:rPr>
        <w:t xml:space="preserve">  Artifact Taxonomy</w:t>
      </w:r>
    </w:p>
    <w:p>
      <w:pPr>
        <w:spacing w:before="0" w:after="100" w:line="288"/>
        <w:jc w:val="left"/>
      </w:pPr>
      <w:r>
        <w:rPr>
          <w:rFonts w:ascii="Calibri" w:cs="Calibri" w:eastAsia="Calibri" w:hAnsi="Calibri"/>
          <w:i w:val="false"/>
          <w:iCs w:val="false"/>
          <w:color w:val="1A1A1A"/>
          <w:sz w:val="22"/>
          <w:szCs w:val="22"/>
        </w:rPr>
        <w:t xml:space="preserve">The four standard outputs produced by HUF at each reporting cycle. All four are plain tabular outputs in CSV format. All four attach to existing governance reporting structures.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A-1: Portfolio Share Table</w:t>
      </w:r>
    </w:p>
    <w:p>
      <w:pPr>
        <w:spacing w:before="0" w:after="100" w:line="288"/>
        <w:jc w:val="left"/>
      </w:pPr>
      <w:r>
        <w:rPr>
          <w:rFonts w:ascii="Calibri" w:cs="Calibri" w:eastAsia="Calibri" w:hAnsi="Calibri"/>
          <w:i w:val="false"/>
          <w:iCs w:val="false"/>
          <w:color w:val="1A1A1A"/>
          <w:sz w:val="22"/>
          <w:szCs w:val="22"/>
        </w:rPr>
        <w:t xml:space="preserve">Function: instantaneous snapshot of system ratio state.</w:t>
      </w:r>
    </w:p>
    <w:p>
      <w:pPr>
        <w:spacing w:before="0" w:after="100" w:line="288"/>
        <w:jc w:val="left"/>
      </w:pPr>
      <w:r>
        <w:rPr>
          <w:rFonts w:ascii="Calibri" w:cs="Calibri" w:eastAsia="Calibri" w:hAnsi="Calibri"/>
          <w:i w:val="false"/>
          <w:iCs w:val="false"/>
          <w:color w:val="1A1A1A"/>
          <w:sz w:val="22"/>
          <w:szCs w:val="22"/>
        </w:rPr>
        <w:t xml:space="preserve">Contents: each element's observed share (ρᵢ) as a percentage of the total portfolio, leverage value, leverage flag, and data age warning.</w:t>
      </w:r>
    </w:p>
    <w:p>
      <w:pPr>
        <w:spacing w:before="0" w:after="100" w:line="288"/>
        <w:jc w:val="left"/>
      </w:pPr>
      <w:r>
        <w:rPr>
          <w:rFonts w:ascii="Calibri" w:cs="Calibri" w:eastAsia="Calibri" w:hAnsi="Calibri"/>
          <w:i w:val="false"/>
          <w:iCs w:val="false"/>
          <w:color w:val="1A1A1A"/>
          <w:sz w:val="22"/>
          <w:szCs w:val="22"/>
        </w:rPr>
        <w:t xml:space="preserve">Attaches to: National Report annexes, River Basin Management Plan appendices, budget allocation tables.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A-2: Trace Report</w:t>
      </w:r>
    </w:p>
    <w:p>
      <w:pPr>
        <w:spacing w:before="0" w:after="100" w:line="288"/>
        <w:jc w:val="left"/>
      </w:pPr>
      <w:r>
        <w:rPr>
          <w:rFonts w:ascii="Calibri" w:cs="Calibri" w:eastAsia="Calibri" w:hAnsi="Calibri"/>
          <w:i w:val="false"/>
          <w:iCs w:val="false"/>
          <w:color w:val="1A1A1A"/>
          <w:sz w:val="22"/>
          <w:szCs w:val="22"/>
        </w:rPr>
        <w:t xml:space="preserve">Function: records the declared reasoning behind the current allocation.</w:t>
      </w:r>
    </w:p>
    <w:p>
      <w:pPr>
        <w:spacing w:before="0" w:after="100" w:line="288"/>
        <w:jc w:val="left"/>
      </w:pPr>
      <w:r>
        <w:rPr>
          <w:rFonts w:ascii="Calibri" w:cs="Calibri" w:eastAsia="Calibri" w:hAnsi="Calibri"/>
          <w:i w:val="false"/>
          <w:iCs w:val="false"/>
          <w:color w:val="1A1A1A"/>
          <w:sz w:val="22"/>
          <w:szCs w:val="22"/>
        </w:rPr>
        <w:t xml:space="preserve">Contents: which priorities were declared, by which governance actors, with what rationale, under what data age constraints, and how the unity constraint was enforced.</w:t>
      </w:r>
    </w:p>
    <w:p>
      <w:pPr>
        <w:spacing w:before="0" w:after="100" w:line="288"/>
        <w:jc w:val="left"/>
      </w:pPr>
      <w:r>
        <w:rPr>
          <w:rFonts w:ascii="Calibri" w:cs="Calibri" w:eastAsia="Calibri" w:hAnsi="Calibri"/>
          <w:i w:val="false"/>
          <w:iCs w:val="false"/>
          <w:color w:val="1A1A1A"/>
          <w:sz w:val="22"/>
          <w:szCs w:val="22"/>
        </w:rPr>
        <w:t xml:space="preserve">Minimum metadata required: declaration timestamp, declaring authority, metric definitions and units, data provenance (source filename and retrieval date).</w:t>
      </w:r>
    </w:p>
    <w:p>
      <w:pPr>
        <w:spacing w:before="0" w:after="100" w:line="288"/>
        <w:jc w:val="left"/>
      </w:pPr>
      <w:r>
        <w:rPr>
          <w:rFonts w:ascii="Calibri" w:cs="Calibri" w:eastAsia="Calibri" w:hAnsi="Calibri"/>
          <w:i w:val="false"/>
          <w:iCs w:val="false"/>
          <w:color w:val="1A1A1A"/>
          <w:sz w:val="22"/>
          <w:szCs w:val="22"/>
        </w:rPr>
        <w:t xml:space="preserve">Attaches to: existing decision records, policy documents, management plan annexes.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A-3: Portfolio Change Log</w:t>
      </w:r>
    </w:p>
    <w:p>
      <w:pPr>
        <w:spacing w:before="0" w:after="100" w:line="288"/>
        <w:jc w:val="left"/>
      </w:pPr>
      <w:r>
        <w:rPr>
          <w:rFonts w:ascii="Calibri" w:cs="Calibri" w:eastAsia="Calibri" w:hAnsi="Calibri"/>
          <w:i w:val="false"/>
          <w:iCs w:val="false"/>
          <w:color w:val="1A1A1A"/>
          <w:sz w:val="22"/>
          <w:szCs w:val="22"/>
        </w:rPr>
        <w:t xml:space="preserve">Function: drift detection — compares current cycle state to previous cycle state.</w:t>
      </w:r>
    </w:p>
    <w:p>
      <w:pPr>
        <w:spacing w:before="0" w:after="100" w:line="288"/>
        <w:jc w:val="left"/>
      </w:pPr>
      <w:r>
        <w:rPr>
          <w:rFonts w:ascii="Calibri" w:cs="Calibri" w:eastAsia="Calibri" w:hAnsi="Calibri"/>
          <w:i w:val="false"/>
          <w:iCs w:val="false"/>
          <w:color w:val="1A1A1A"/>
          <w:sz w:val="22"/>
          <w:szCs w:val="22"/>
        </w:rPr>
        <w:t xml:space="preserve">Contents: which elements changed share, by how much, classified as intentional or silent.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Action_Flag value</w:t>
            </w:r>
          </w:p>
        </w:tc>
        <w:tc>
          <w:tcPr>
            <w:tcW w:type="dxa" w:w="69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Meaning</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None</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 significant change, or change within declared tolerance</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Intentional_Reweighting</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Change traceable to a recorded decision in trace report</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Correction</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and corrected; correction declared</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Non_Response</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no corrective action taken</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A-4: Coverage Record</w:t>
      </w:r>
    </w:p>
    <w:p>
      <w:pPr>
        <w:spacing w:before="0" w:after="100" w:line="288"/>
        <w:jc w:val="left"/>
      </w:pPr>
      <w:r>
        <w:rPr>
          <w:rFonts w:ascii="Calibri" w:cs="Calibri" w:eastAsia="Calibri" w:hAnsi="Calibri"/>
          <w:i w:val="false"/>
          <w:iCs w:val="false"/>
          <w:color w:val="1A1A1A"/>
          <w:sz w:val="22"/>
          <w:szCs w:val="22"/>
        </w:rPr>
        <w:t xml:space="preserve">Function: accountability trail for deprioritization decisions.</w:t>
      </w:r>
    </w:p>
    <w:p>
      <w:pPr>
        <w:spacing w:before="0" w:after="100" w:line="288"/>
        <w:jc w:val="left"/>
      </w:pPr>
      <w:r>
        <w:rPr>
          <w:rFonts w:ascii="Calibri" w:cs="Calibri" w:eastAsia="Calibri" w:hAnsi="Calibri"/>
          <w:i w:val="false"/>
          <w:iCs w:val="false"/>
          <w:color w:val="1A1A1A"/>
          <w:sz w:val="22"/>
          <w:szCs w:val="22"/>
        </w:rPr>
        <w:t xml:space="preserve">Contents: elements that received reduced focus, by what magnitude, against what criteria, with what declared reasoning.</w:t>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ORPHAN ALERT (Ramsar default):  </w:t>
      </w:r>
      <w:r>
        <w:rPr>
          <w:rFonts w:ascii="Calibri" w:cs="Calibri" w:eastAsia="Calibri" w:hAnsi="Calibri"/>
          <w:i/>
          <w:iCs/>
          <w:color w:val="1A1A1A"/>
          <w:sz w:val="21"/>
          <w:szCs w:val="21"/>
        </w:rPr>
        <w:t xml:space="preserve">Element share declining &gt; 50% across 2 consecutive cycles without declared rationale. Domain-configurable: set Y% and Z cycles per pilot design and record in trace report.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Complete CSV Header — Single-Line Pilot Template</w:t>
      </w:r>
    </w:p>
    <w:p>
      <w:pPr>
        <w:shd w:fill="F0F4F8" w:val="clear"/>
        <w:spacing w:before="0" w:after="0" w:line="240"/>
        <w:ind w:left="480"/>
      </w:pPr>
      <w:r>
        <w:rPr>
          <w:rFonts w:ascii="Courier New" w:cs="Courier New" w:eastAsia="Courier New" w:hAnsi="Courier New"/>
          <w:color w:val="2C3E50"/>
          <w:sz w:val="18"/>
          <w:szCs w:val="18"/>
        </w:rPr>
        <w:t xml:space="preserve">Cycle_ID, Site_ID, Site_Name, Area_ha, Metric_Endemism_Count, Other_Metric_1, Other_Metric_2,</w:t>
      </w:r>
    </w:p>
    <w:p>
      <w:pPr>
        <w:shd w:fill="F0F4F8" w:val="clear"/>
        <w:spacing w:before="0" w:after="0" w:line="240"/>
        <w:ind w:left="480"/>
      </w:pPr>
      <w:r>
        <w:rPr>
          <w:rFonts w:ascii="Courier New" w:cs="Courier New" w:eastAsia="Courier New" w:hAnsi="Courier New"/>
          <w:color w:val="2C3E50"/>
          <w:sz w:val="18"/>
          <w:szCs w:val="18"/>
        </w:rPr>
        <w:t xml:space="preserve">Declared_Share, Observed_Share, Portfolio_Share_Pct, Leverage, Leverage_Flag,</w:t>
      </w:r>
    </w:p>
    <w:p>
      <w:pPr>
        <w:shd w:fill="F0F4F8" w:val="clear"/>
        <w:spacing w:before="0" w:after="0" w:line="240"/>
        <w:ind w:left="480"/>
      </w:pPr>
      <w:r>
        <w:rPr>
          <w:rFonts w:ascii="Courier New" w:cs="Courier New" w:eastAsia="Courier New" w:hAnsi="Courier New"/>
          <w:color w:val="2C3E50"/>
          <w:sz w:val="18"/>
          <w:szCs w:val="18"/>
        </w:rPr>
        <w:t xml:space="preserve">Data_Year_Area, Data_Year_Endemism, Data_Age_Warning, Trace_Notes,</w:t>
      </w:r>
    </w:p>
    <w:p>
      <w:pPr>
        <w:shd w:fill="F0F4F8" w:val="clear"/>
        <w:spacing w:before="0" w:after="0" w:line="240"/>
        <w:ind w:left="480"/>
      </w:pPr>
      <w:r>
        <w:rPr>
          <w:rFonts w:ascii="Courier New" w:cs="Courier New" w:eastAsia="Courier New" w:hAnsi="Courier New"/>
          <w:color w:val="2C3E50"/>
          <w:sz w:val="18"/>
          <w:szCs w:val="18"/>
        </w:rPr>
        <w:t xml:space="preserve">Provenance_File, Provenance_Retrieval_Date, Declared_By, Declared_Timestamp,</w:t>
      </w:r>
    </w:p>
    <w:p>
      <w:pPr>
        <w:shd w:fill="F0F4F8" w:val="clear"/>
        <w:spacing w:before="0" w:after="0" w:line="240"/>
        <w:ind w:left="480"/>
      </w:pPr>
      <w:r>
        <w:rPr>
          <w:rFonts w:ascii="Courier New" w:cs="Courier New" w:eastAsia="Courier New" w:hAnsi="Courier New"/>
          <w:color w:val="2C3E50"/>
          <w:sz w:val="18"/>
          <w:szCs w:val="18"/>
        </w:rPr>
        <w:t xml:space="preserve">Action_Flag, Action_Notes</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5</w:t>
      </w:r>
      <w:r>
        <w:rPr>
          <w:rFonts w:ascii="Calibri" w:cs="Calibri" w:eastAsia="Calibri" w:hAnsi="Calibri"/>
          <w:b w:val="false"/>
          <w:bCs w:val="false"/>
          <w:color w:val="7A8A99"/>
          <w:sz w:val="22"/>
          <w:szCs w:val="22"/>
        </w:rPr>
        <w:t xml:space="preserve">  Detection Threshold Taxonomy</w:t>
      </w:r>
    </w:p>
    <w:p>
      <w:pPr>
        <w:spacing w:before="0" w:after="100" w:line="288"/>
        <w:jc w:val="left"/>
      </w:pPr>
      <w:r>
        <w:rPr>
          <w:rFonts w:ascii="Calibri" w:cs="Calibri" w:eastAsia="Calibri" w:hAnsi="Calibri"/>
          <w:i w:val="false"/>
          <w:iCs w:val="false"/>
          <w:color w:val="1A1A1A"/>
          <w:sz w:val="22"/>
          <w:szCs w:val="22"/>
        </w:rPr>
        <w:t xml:space="preserve">Operational thresholds that classify ratio states and trigger governance responses. All thresholds are configurable per domain; default values are for the Ramsar wetland portfolio pilot.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500"/>
        <w:gridCol w:w="2000"/>
        <w:gridCol w:w="3100"/>
      </w:tblGrid>
      <w:tr>
        <w:trPr>
          <w:tblHeader/>
        </w:trPr>
        <w:tc>
          <w:tcPr>
            <w:tcW w:type="dxa" w:w="12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Metric</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Default threshold</w:t>
            </w:r>
          </w:p>
        </w:tc>
        <w:tc>
          <w:tcPr>
            <w:tcW w:type="dxa" w:w="15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Classification</w:t>
            </w:r>
          </w:p>
        </w:tc>
        <w:tc>
          <w:tcPr>
            <w:tcW w:type="dxa" w:w="20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Governance response</w:t>
            </w:r>
          </w:p>
        </w:tc>
        <w:tc>
          <w:tcPr>
            <w:tcW w:type="dxa" w:w="3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Calibration status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&lt; 2pp</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 near ground state</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 action required</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2pp – 5pp</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Action window open</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Monitor next cycle; prepare declaration</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5pp</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Active drift — intervention required</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 correction or intentional reweighting</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3</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Healthy distribution</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 action required</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2</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Concentration warning</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Flag; review dominant element allocation</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1 or decreasing</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Concentration trap forming</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Immediate governance review</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&lt; 10</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Low-Q element</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Standard monitoring</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10–100</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Medium-Q element</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Phase-aware monitoring — check data age</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100</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High-Q element</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High-leverage flag — do not reduce without cycle analysis</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Within domain threshold</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Current</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 penalty</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Domain-specific — set per deployment; Ramsar default = 5 years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domain threshold</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Stale</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Increase contribution to error budget; flag in share table</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Domain-specific — set per deployment; Ramsar default = 5 years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alert</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Share decline &gt; 50% across 2 cycles, no declared rationale</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risk</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Immediate coverage record entry; escalate</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(Y=50%, Z=2) — configure per domain deployment</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6</w:t>
      </w:r>
      <w:r>
        <w:rPr>
          <w:rFonts w:ascii="Calibri" w:cs="Calibri" w:eastAsia="Calibri" w:hAnsi="Calibri"/>
          <w:b w:val="false"/>
          <w:bCs w:val="false"/>
          <w:color w:val="7A8A99"/>
          <w:sz w:val="22"/>
          <w:szCs w:val="22"/>
        </w:rPr>
        <w:t xml:space="preserve">  Response Taxonomy</w:t>
      </w:r>
    </w:p>
    <w:p>
      <w:pPr>
        <w:spacing w:before="0" w:after="100" w:line="288"/>
        <w:jc w:val="left"/>
      </w:pPr>
      <w:r>
        <w:rPr>
          <w:rFonts w:ascii="Calibri" w:cs="Calibri" w:eastAsia="Calibri" w:hAnsi="Calibri"/>
          <w:i w:val="false"/>
          <w:iCs w:val="false"/>
          <w:color w:val="1A1A1A"/>
          <w:sz w:val="22"/>
          <w:szCs w:val="22"/>
        </w:rPr>
        <w:t xml:space="preserve">Three governance response types to detected drift. Classification determines the required documentation and escalation path.</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800"/>
        <w:gridCol w:w="2800"/>
      </w:tblGrid>
      <w:tr>
        <w:trPr>
          <w:tblHeader/>
        </w:trPr>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Response type</w:t>
            </w:r>
          </w:p>
        </w:tc>
        <w:tc>
          <w:tcPr>
            <w:tcW w:type="dxa" w:w="22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Trigger</w:t>
            </w:r>
          </w:p>
        </w:tc>
        <w:tc>
          <w:tcPr>
            <w:tcW w:type="dxa" w:w="2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Required documentation</w:t>
            </w:r>
          </w:p>
        </w:tc>
        <w:tc>
          <w:tcPr>
            <w:tcW w:type="dxa" w:w="2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Escalation</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Intentional reweighting</w:t>
            </w:r>
          </w:p>
        </w:tc>
        <w:tc>
          <w:tcPr>
            <w:tcW w:type="dxa" w:w="2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operator determines it reflects a genuine priority change</w:t>
            </w:r>
          </w:p>
        </w:tc>
        <w:tc>
          <w:tcPr>
            <w:tcW w:type="dxa" w:w="2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 rationale in trace report; update declared weights; record in change log as Intentional_Reweighting</w:t>
            </w:r>
          </w:p>
        </w:tc>
        <w:tc>
          <w:tcPr>
            <w:tcW w:type="dxa" w:w="2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None — decision recorded, cycle closes</w:t>
            </w:r>
          </w:p>
        </w:tc>
      </w:tr>
      <w:tr>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correction</w:t>
            </w:r>
          </w:p>
        </w:tc>
        <w:tc>
          <w:tcPr>
            <w:tcW w:type="dxa" w:w="2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no governance decision produced it</w:t>
            </w:r>
          </w:p>
        </w:tc>
        <w:tc>
          <w:tcPr>
            <w:tcW w:type="dxa" w:w="2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 correction in trace report; record root cause; log remediation steps; update coverage record</w:t>
            </w:r>
          </w:p>
        </w:tc>
        <w:tc>
          <w:tcPr>
            <w:tcW w:type="dxa" w:w="2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None if corrected within one cycle; escalate if correction not implemented by next cycle</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Non-response</w:t>
            </w:r>
          </w:p>
        </w:tc>
        <w:tc>
          <w:tcPr>
            <w:tcW w:type="dxa" w:w="2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no action taken</w:t>
            </w:r>
          </w:p>
        </w:tc>
        <w:tc>
          <w:tcPr>
            <w:tcW w:type="dxa" w:w="2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Record absence of corrective action in change log as Non_Response</w:t>
            </w:r>
          </w:p>
        </w:tc>
        <w:tc>
          <w:tcPr>
            <w:tcW w:type="dxa" w:w="2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Per governance rules: internal audit, oversight body notification, or public disclosure as appropriate to domain</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ESCALATION PRINCIPLE:  </w:t>
      </w:r>
      <w:r>
        <w:rPr>
          <w:rFonts w:ascii="Calibri" w:cs="Calibri" w:eastAsia="Calibri" w:hAnsi="Calibri"/>
          <w:i/>
          <w:iCs/>
          <w:color w:val="1A1A1A"/>
          <w:sz w:val="21"/>
          <w:szCs w:val="21"/>
        </w:rPr>
        <w:t xml:space="preserve">Non-response to detected drift is itself a governance event. The portfolio change log records it. Persistent non-response across multiple cycles creates an auditable record of inaction. The instrument does not compel correction; it makes non-correction visible and attributable.</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7</w:t>
      </w:r>
      <w:r>
        <w:rPr>
          <w:rFonts w:ascii="Calibri" w:cs="Calibri" w:eastAsia="Calibri" w:hAnsi="Calibri"/>
          <w:b w:val="false"/>
          <w:bCs w:val="false"/>
          <w:color w:val="7A8A99"/>
          <w:sz w:val="22"/>
          <w:szCs w:val="22"/>
        </w:rPr>
        <w:t xml:space="preserve">  Compliance Classification Taxonomy</w:t>
      </w:r>
    </w:p>
    <w:p>
      <w:pPr>
        <w:spacing w:before="0" w:after="100" w:line="288"/>
        <w:jc w:val="left"/>
      </w:pPr>
      <w:r>
        <w:rPr>
          <w:rFonts w:ascii="Calibri" w:cs="Calibri" w:eastAsia="Calibri" w:hAnsi="Calibri"/>
          <w:i w:val="false"/>
          <w:iCs w:val="false"/>
          <w:color w:val="1A1A1A"/>
          <w:sz w:val="22"/>
          <w:szCs w:val="22"/>
        </w:rPr>
        <w:t xml:space="preserve">Compliance states for the HUF Compliance Diagnostic (Chapter 10 of Handbook v1.2.0). Eight tests (T1–T8) mapped to vocabulary terms and failure modes.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2400"/>
        <w:gridCol w:w="1140"/>
        <w:gridCol w:w="3840"/>
      </w:tblGrid>
      <w:tr>
        <w:trPr>
          <w:tblHeader/>
        </w:trPr>
        <w:tc>
          <w:tcPr>
            <w:tcW w:type="dxa" w:w="5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Test</w:t>
            </w:r>
          </w:p>
        </w:tc>
        <w:tc>
          <w:tcPr>
            <w:tcW w:type="dxa" w:w="14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Name</w:t>
            </w:r>
          </w:p>
        </w:tc>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Passes when</w:t>
            </w:r>
          </w:p>
        </w:tc>
        <w:tc>
          <w:tcPr>
            <w:tcW w:type="dxa" w:w="11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Failure mode detected</w:t>
            </w:r>
          </w:p>
        </w:tc>
        <w:tc>
          <w:tcPr>
            <w:tcW w:type="dxa" w:w="38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Vocabulary terms</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T1</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Unity constraint</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Σρ = 1.0; budget ceiling fully accounted</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FM-1</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budget ceiling, share, ratio state</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T2</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Declared weights</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Every element has a declared weight; declared weights sum to 1.0</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declared weight, silent drift, intentional reweighting</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T3</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Drift classification</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Every significant share gap is classified as intentional or silent</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intentional reweighting</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T4</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Concentration</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 computed; no unaddressed concentration trend</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FM-4</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 ratio blindness</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T5</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Fragmentation</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Reciprocal PROOF computed; no unaddressed fragmentation</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FM-5</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 fragmentation spiral</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T6</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Coverage</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Coverage record present; all deprioritization decisions documented</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FM-6</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coverage record, orphan element</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T7</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All inputs have recorded data age; stale inputs flagged</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FM-3</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 system Q, snapshot error</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T8</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computed and classified; action window status recorded</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All FM</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ground state, action window</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Compliance classification</w:t>
            </w:r>
          </w:p>
        </w:tc>
        <w:tc>
          <w:tcPr>
            <w:tcW w:type="dxa" w:w="69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Criteria</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HUF Compliant</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Passes all eight tests</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HUF Capable</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Passes T1, T2, T3; one or more of T4–T8 not yet implemented; remediation path documented</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HUF Registered</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is in the HUF record but has not yet completed compliance diagnostic; baseline data collection in progress</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Non-compliant</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Fails T1 or T2 (unity constraint or declared weight test); fundamental preconditions not met</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8</w:t>
      </w:r>
      <w:r>
        <w:rPr>
          <w:rFonts w:ascii="Calibri" w:cs="Calibri" w:eastAsia="Calibri" w:hAnsi="Calibri"/>
          <w:b w:val="false"/>
          <w:bCs w:val="false"/>
          <w:color w:val="7A8A99"/>
          <w:sz w:val="22"/>
          <w:szCs w:val="22"/>
        </w:rPr>
        <w:t xml:space="preserve">  Convergence Stage Taxonomy</w:t>
      </w:r>
    </w:p>
    <w:p>
      <w:pPr>
        <w:spacing w:before="0" w:after="100" w:line="288"/>
        <w:jc w:val="left"/>
      </w:pPr>
      <w:r>
        <w:rPr>
          <w:rFonts w:ascii="Calibri" w:cs="Calibri" w:eastAsia="Calibri" w:hAnsi="Calibri"/>
          <w:i w:val="false"/>
          <w:iCs w:val="false"/>
          <w:color w:val="1A1A1A"/>
          <w:sz w:val="22"/>
          <w:szCs w:val="22"/>
        </w:rPr>
        <w:t xml:space="preserve">The seven-cycle convergence model describes what a portfolio governance system experiences as it approaches the ground state. Each stage has observable properties in the portfolio change log.</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140"/>
        <w:gridCol w:w="3240"/>
        <w:gridCol w:w="3420"/>
      </w:tblGrid>
      <w:tr>
        <w:trPr>
          <w:tblHeader/>
        </w:trPr>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Stage</w:t>
            </w:r>
          </w:p>
        </w:tc>
        <w:tc>
          <w:tcPr>
            <w:tcW w:type="dxa" w:w="11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Cycle range</w:t>
            </w:r>
          </w:p>
        </w:tc>
        <w:tc>
          <w:tcPr>
            <w:tcW w:type="dxa" w:w="32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Observable properties</w:t>
            </w:r>
          </w:p>
        </w:tc>
        <w:tc>
          <w:tcPr>
            <w:tcW w:type="dxa" w:w="34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Governance posture</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Baseline</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 1</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share table established; no change log (no previous cycle). Mean drift gap is baseline reading against declared weights — not a change signal.</w:t>
            </w:r>
          </w:p>
        </w:tc>
        <w:tc>
          <w:tcPr>
            <w:tcW w:type="dxa" w:w="34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Establish declared weights; produce four artifacts; record data provenance.</w:t>
            </w:r>
          </w:p>
        </w:tc>
      </w:tr>
      <w:tr>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Trajectory establishment</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2–3</w:t>
            </w:r>
          </w:p>
        </w:tc>
        <w:tc>
          <w:tcPr>
            <w:tcW w:type="dxa" w:w="32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Change log shows first inter-cycle comparison. Trajectory visible: converging, diverging, or stable. Q-factor patterns beginning to emerge.</w:t>
            </w:r>
          </w:p>
        </w:tc>
        <w:tc>
          <w:tcPr>
            <w:tcW w:type="dxa" w:w="34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Respond to detected drift; begin classifying changes as intentional or silent.</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Q-factor characterization</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4–6</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Sufficient history to identify element characteristic periods. High-Q elements visible in leverage column and cycle-over-cycle share analysis. Orphan alerts issued if any elements approaching orphan threshold.</w:t>
            </w:r>
          </w:p>
        </w:tc>
        <w:tc>
          <w:tcPr>
            <w:tcW w:type="dxa" w:w="34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Phase-aware allocation decisions; cross-cycle comparison before any high-Q element is deprioritized.</w:t>
            </w:r>
          </w:p>
        </w:tc>
      </w:tr>
      <w:tr>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approach</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7+</w:t>
            </w:r>
          </w:p>
        </w:tc>
        <w:tc>
          <w:tcPr>
            <w:tcW w:type="dxa" w:w="32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declining trend. PROOF line stable or improving. Persistent silent drift triggering prompt correction. Institutional memory spanning multiple governance generations.</w:t>
            </w:r>
          </w:p>
        </w:tc>
        <w:tc>
          <w:tcPr>
            <w:tcW w:type="dxa" w:w="34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Self-correcting feedback loop; external intervention declining; portfolio change log primary governance reference.</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reached</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Variable</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near zero. All allocation change is either declared or corrected within one cycle. No persistent unclassified drift in any element.</w:t>
            </w:r>
          </w:p>
        </w:tc>
        <w:tc>
          <w:tcPr>
            <w:tcW w:type="dxa" w:w="34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Self-governing: governance system generates its own correction signals without external audit requirement.</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NOTE:  </w:t>
      </w:r>
      <w:r>
        <w:rPr>
          <w:rFonts w:ascii="Calibri" w:cs="Calibri" w:eastAsia="Calibri" w:hAnsi="Calibri"/>
          <w:i/>
          <w:iCs/>
          <w:color w:val="1A1A1A"/>
          <w:sz w:val="21"/>
          <w:szCs w:val="21"/>
        </w:rPr>
        <w:t xml:space="preserve">The convergence rate depends on the Q differential between portfolio elements. High Q-differential portfolios converge more slowly but reach a more stable ground state when they arrive.</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9</w:t>
      </w:r>
      <w:r>
        <w:rPr>
          <w:rFonts w:ascii="Calibri" w:cs="Calibri" w:eastAsia="Calibri" w:hAnsi="Calibri"/>
          <w:b w:val="false"/>
          <w:bCs w:val="false"/>
          <w:color w:val="7A8A99"/>
          <w:sz w:val="22"/>
          <w:szCs w:val="22"/>
        </w:rPr>
        <w:t xml:space="preserve">  Q-Factor Classification</w:t>
      </w:r>
    </w:p>
    <w:p>
      <w:pPr>
        <w:spacing w:before="0" w:after="100" w:line="288"/>
        <w:jc w:val="left"/>
      </w:pPr>
      <w:r>
        <w:rPr>
          <w:rFonts w:ascii="Calibri" w:cs="Calibri" w:eastAsia="Calibri" w:hAnsi="Calibri"/>
          <w:i w:val="false"/>
          <w:iCs w:val="false"/>
          <w:color w:val="1A1A1A"/>
          <w:sz w:val="22"/>
          <w:szCs w:val="22"/>
        </w:rPr>
        <w:t xml:space="preserve">The Q-factor taxonomy provides the vocabulary for discussing element characteristic frequencies in governance terms. Values are indicative; Q classification is domain-specific and should be calibrated from observed cycle data.</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920"/>
        <w:gridCol w:w="4560"/>
      </w:tblGrid>
      <w:tr>
        <w:trPr>
          <w:tblHeader/>
        </w:trPr>
        <w:tc>
          <w:tcPr>
            <w:tcW w:type="dxa" w:w="14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Q class</w:t>
            </w:r>
          </w:p>
        </w:tc>
        <w:tc>
          <w:tcPr>
            <w:tcW w:type="dxa" w:w="14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Leverage range</w:t>
            </w:r>
          </w:p>
        </w:tc>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Characteristic period</w:t>
            </w:r>
          </w:p>
        </w:tc>
        <w:tc>
          <w:tcPr>
            <w:tcW w:type="dxa" w:w="4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Governance implication</w:t>
            </w:r>
          </w:p>
        </w:tc>
      </w:tr>
      <w:tr>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Ultra-high Q</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500</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Multi-decadal or event-driven</w:t>
            </w:r>
          </w:p>
        </w:tc>
        <w:tc>
          <w:tcPr>
            <w:tcW w:type="dxa" w:w="4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Essentially irreplaceable within any governance horizon; treat removal as permanent</w:t>
            </w:r>
          </w:p>
        </w:tc>
      </w:tr>
      <w:tr>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 Q</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100–500</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Multi-year to decadal</w:t>
            </w:r>
          </w:p>
        </w:tc>
        <w:tc>
          <w:tcPr>
            <w:tcW w:type="dxa" w:w="4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Phase-dependent; requires cross-cycle observation before allocation decisions</w:t>
            </w:r>
          </w:p>
        </w:tc>
      </w:tr>
      <w:tr>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Medium Q</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10–100</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Seasonal to annual</w:t>
            </w:r>
          </w:p>
        </w:tc>
        <w:tc>
          <w:tcPr>
            <w:tcW w:type="dxa" w:w="4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Sensitive to single-cycle snapshot error; verify data age before allocation change</w:t>
            </w:r>
          </w:p>
        </w:tc>
      </w:tr>
      <w:tr>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Low Q</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&lt; 10</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Sub-annual or continuous</w:t>
            </w:r>
          </w:p>
        </w:tc>
        <w:tc>
          <w:tcPr>
            <w:tcW w:type="dxa" w:w="4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Broadly functional; visible in most observation windows; resilience elements</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Examples Across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020"/>
        <w:gridCol w:w="2700"/>
        <w:gridCol w:w="144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High-Q element</w:t>
            </w:r>
          </w:p>
        </w:tc>
        <w:tc>
          <w:tcPr>
            <w:tcW w:type="dxa" w:w="1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Leverage</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Low-Q element</w:t>
            </w:r>
          </w:p>
        </w:tc>
        <w:tc>
          <w:tcPr>
            <w:tcW w:type="dxa" w:w="14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Leverage</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Sourdough loaf</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Yeast</w:t>
            </w:r>
          </w:p>
        </w:tc>
        <w:tc>
          <w:tcPr>
            <w:tcW w:type="dxa" w:w="1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833</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Flour</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1.6</w:t>
            </w:r>
          </w:p>
        </w:tc>
      </w:tr>
      <w:tr>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Croatia Ramsar portfolio</w:t>
            </w:r>
          </w:p>
        </w:tc>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Crna Mlaka (endemic species)</w:t>
            </w:r>
          </w:p>
        </w:tc>
        <w:tc>
          <w:tcPr>
            <w:tcW w:type="dxa" w:w="10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149</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Lonjsko Polje</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1.8</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Software retrieval pipeline</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Archive / legacy namespace</w:t>
            </w:r>
          </w:p>
        </w:tc>
        <w:tc>
          <w:tcPr>
            <w:tcW w:type="dxa" w:w="1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14.3</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General documentation</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2.0</w:t>
            </w:r>
          </w:p>
        </w:tc>
      </w:tr>
      <w:tr>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assembly</w:t>
            </w:r>
          </w:p>
        </w:tc>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Dage X-ray (BGA audit)</w:t>
            </w:r>
          </w:p>
        </w:tc>
        <w:tc>
          <w:tcPr>
            <w:tcW w:type="dxa" w:w="10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~10–50</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Fuji NXTR placement</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~2–4</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IRREVERSIBILITY THRESHOLD:  </w:t>
      </w:r>
      <w:r>
        <w:rPr>
          <w:rFonts w:ascii="Calibri" w:cs="Calibri" w:eastAsia="Calibri" w:hAnsi="Calibri"/>
          <w:i/>
          <w:iCs/>
          <w:color w:val="1A1A1A"/>
          <w:sz w:val="21"/>
          <w:szCs w:val="21"/>
        </w:rPr>
        <w:t xml:space="preserve">An element with Q class high or ultra-high should not be removed from a portfolio based on a single-cycle snapshot. Recovery may not be possible once the element's characteristic period has elapsed. Document this risk explicitly in the coverage record.</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10</w:t>
      </w:r>
      <w:r>
        <w:rPr>
          <w:rFonts w:ascii="Calibri" w:cs="Calibri" w:eastAsia="Calibri" w:hAnsi="Calibri"/>
          <w:b w:val="false"/>
          <w:bCs w:val="false"/>
          <w:color w:val="7A8A99"/>
          <w:sz w:val="22"/>
          <w:szCs w:val="22"/>
        </w:rPr>
        <w:t xml:space="preserve">  Institutional Memory Theorem</w:t>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STATUS:  </w:t>
      </w:r>
      <w:r>
        <w:rPr>
          <w:rFonts w:ascii="Calibri" w:cs="Calibri" w:eastAsia="Calibri" w:hAnsi="Calibri"/>
          <w:i/>
          <w:iCs/>
          <w:color w:val="1A1A1A"/>
          <w:sz w:val="21"/>
          <w:szCs w:val="21"/>
        </w:rPr>
        <w:t xml:space="preserve">Formally proved in HUF Volume 2 Mathematics Compendium v1.0 (Proposition 7.5). Proof complete within framework assumptions.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Statement</w:t>
      </w:r>
    </w:p>
    <w:p>
      <w:pPr>
        <w:spacing w:before="0" w:after="100" w:line="288"/>
        <w:jc w:val="left"/>
      </w:pPr>
      <w:r>
        <w:rPr>
          <w:rFonts w:ascii="Calibri" w:cs="Calibri" w:eastAsia="Calibri" w:hAnsi="Calibri"/>
          <w:i w:val="false"/>
          <w:iCs w:val="false"/>
          <w:color w:val="1A1A1A"/>
          <w:sz w:val="22"/>
          <w:szCs w:val="22"/>
        </w:rPr>
        <w:t xml:space="preserve">A governance system operating under the fourth monitoring category — Ratio State Monitoring — accumulates institutional memory at the rate of one portfolio state per reporting cycle, permanently and without additional effort. After n cycles, the institution holds an n-period governance trajectory that is independent of personnel turnover, organizational restructuring, or administrative disruption.</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Operational Implications</w:t>
      </w:r>
    </w:p>
    <w:p>
      <w:pPr>
        <w:spacing w:before="0" w:after="100" w:line="288"/>
        <w:jc w:val="left"/>
      </w:pPr>
      <w:r>
        <w:rPr>
          <w:rFonts w:ascii="Calibri" w:cs="Calibri" w:eastAsia="Calibri" w:hAnsi="Calibri"/>
          <w:i w:val="false"/>
          <w:iCs w:val="false"/>
          <w:color w:val="1A1A1A"/>
          <w:sz w:val="22"/>
          <w:szCs w:val="22"/>
        </w:rPr>
        <w:t xml:space="preserve">Portfolio change logs must be treated as primary governance records, not administrative byproducts.</w:t>
      </w:r>
    </w:p>
    <w:p>
      <w:pPr>
        <w:spacing w:before="0" w:after="100" w:line="288"/>
        <w:jc w:val="left"/>
      </w:pPr>
      <w:r>
        <w:rPr>
          <w:rFonts w:ascii="Calibri" w:cs="Calibri" w:eastAsia="Calibri" w:hAnsi="Calibri"/>
          <w:i w:val="false"/>
          <w:iCs w:val="false"/>
          <w:color w:val="1A1A1A"/>
          <w:sz w:val="22"/>
          <w:szCs w:val="22"/>
        </w:rPr>
        <w:t xml:space="preserve">Archival retention and searchable indexing of change logs must be specified in governance protocols.</w:t>
      </w:r>
    </w:p>
    <w:p>
      <w:pPr>
        <w:spacing w:before="0" w:after="100" w:line="288"/>
        <w:jc w:val="left"/>
      </w:pPr>
      <w:r>
        <w:rPr>
          <w:rFonts w:ascii="Calibri" w:cs="Calibri" w:eastAsia="Calibri" w:hAnsi="Calibri"/>
          <w:i w:val="false"/>
          <w:iCs w:val="false"/>
          <w:color w:val="1A1A1A"/>
          <w:sz w:val="22"/>
          <w:szCs w:val="22"/>
        </w:rPr>
        <w:t xml:space="preserve">Change logs must be included in governance handover packages and audit procedures.</w:t>
      </w:r>
    </w:p>
    <w:p>
      <w:pPr>
        <w:spacing w:before="0" w:after="100" w:line="288"/>
        <w:jc w:val="left"/>
      </w:pPr>
      <w:r>
        <w:rPr>
          <w:rFonts w:ascii="Calibri" w:cs="Calibri" w:eastAsia="Calibri" w:hAnsi="Calibri"/>
          <w:i w:val="false"/>
          <w:iCs w:val="false"/>
          <w:color w:val="1A1A1A"/>
          <w:sz w:val="22"/>
          <w:szCs w:val="22"/>
        </w:rPr>
        <w:t xml:space="preserve">The value of the log is non-linear with cycle count: the first two or three cycles are thin; by cycle six or seven the trajectory is the most valuable governance document the institution possesses.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FF8E1" w:val="clear"/>
        <w:spacing w:before="80" w:after="100"/>
        <w:ind w:left="360"/>
      </w:pPr>
      <w:r>
        <w:rPr>
          <w:rFonts w:ascii="Calibri" w:cs="Calibri" w:eastAsia="Calibri" w:hAnsi="Calibri"/>
          <w:b/>
          <w:bCs/>
          <w:color w:val="7A8A99"/>
          <w:sz w:val="21"/>
          <w:szCs w:val="21"/>
        </w:rPr>
        <w:t xml:space="preserve">WHAT THE THEOREM DOES NOT CLAIM:  </w:t>
      </w:r>
      <w:r>
        <w:rPr>
          <w:rFonts w:ascii="Calibri" w:cs="Calibri" w:eastAsia="Calibri" w:hAnsi="Calibri"/>
          <w:i/>
          <w:iCs/>
          <w:color w:val="1A1A1A"/>
          <w:sz w:val="21"/>
          <w:szCs w:val="21"/>
        </w:rPr>
        <w:t xml:space="preserve">The record is only as accurate as the declarations that feed it. Under-reporting, fabricated site-level data, or deliberate misrepresentation of declared weights will produce an accurate record of a false history. The institutional memory theorem records what was declared and what was observed. It does not independently verify either.</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11</w:t>
      </w:r>
      <w:r>
        <w:rPr>
          <w:rFonts w:ascii="Calibri" w:cs="Calibri" w:eastAsia="Calibri" w:hAnsi="Calibri"/>
          <w:b w:val="false"/>
          <w:bCs w:val="false"/>
          <w:color w:val="7A8A99"/>
          <w:sz w:val="22"/>
          <w:szCs w:val="22"/>
        </w:rPr>
        <w:t xml:space="preserve">  Pilot Evaluation Rubric</w:t>
      </w:r>
    </w:p>
    <w:p>
      <w:pPr>
        <w:spacing w:before="0" w:after="100" w:line="288"/>
        <w:jc w:val="left"/>
      </w:pPr>
      <w:r>
        <w:rPr>
          <w:rFonts w:ascii="Calibri" w:cs="Calibri" w:eastAsia="Calibri" w:hAnsi="Calibri"/>
          <w:i w:val="false"/>
          <w:iCs w:val="false"/>
          <w:color w:val="1A1A1A"/>
          <w:sz w:val="22"/>
          <w:szCs w:val="22"/>
        </w:rPr>
        <w:t xml:space="preserve">For use in the Croatia pilot and transferable to any domain deployment.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Metric</w:t>
            </w:r>
          </w:p>
        </w:tc>
        <w:tc>
          <w:tcPr>
            <w:tcW w:type="dxa" w:w="51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How to measure</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Target</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Detection precision</w:t>
            </w:r>
          </w:p>
        </w:tc>
        <w:tc>
          <w:tcPr>
            <w:tcW w:type="dxa" w:w="5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Proportion of flagged shifts confirmed as silent reweighting after stakeholder review</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0.80</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False positive rate</w:t>
            </w:r>
          </w:p>
        </w:tc>
        <w:tc>
          <w:tcPr>
            <w:tcW w:type="dxa" w:w="5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Flagged events judged non-actionable / total flagged events</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0.25</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Operational usability</w:t>
            </w:r>
          </w:p>
        </w:tc>
        <w:tc>
          <w:tcPr>
            <w:tcW w:type="dxa" w:w="5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Median minutes for policy officer to interpret artifacts and produce 1-page briefing</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60 minutes</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Onboarding cost</w:t>
            </w:r>
          </w:p>
        </w:tc>
        <w:tc>
          <w:tcPr>
            <w:tcW w:type="dxa" w:w="5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Staff hours for baseline run; per-cycle hours for repeat</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Baseline ≤ 40 hr; repeat ≤ 8 hr</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Policy actionability</w:t>
            </w:r>
          </w:p>
        </w:tc>
        <w:tc>
          <w:tcPr>
            <w:tcW w:type="dxa" w:w="5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Artifacts that produced a recorded governance action / total artifacts presented</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0.25</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provenance completeness</w:t>
            </w:r>
          </w:p>
        </w:tc>
        <w:tc>
          <w:tcPr>
            <w:tcW w:type="dxa" w:w="5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Proportion of inputs with provenance metadata (source filename + retrieval date)</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 (100%)</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Stakeholder confidence</w:t>
            </w:r>
          </w:p>
        </w:tc>
        <w:tc>
          <w:tcPr>
            <w:tcW w:type="dxa" w:w="5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Median Likert (1–5) among site managers and policy officers that artifacts reflect operational reality</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Median ≥ 3.5</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12</w:t>
      </w:r>
      <w:r>
        <w:rPr>
          <w:rFonts w:ascii="Calibri" w:cs="Calibri" w:eastAsia="Calibri" w:hAnsi="Calibri"/>
          <w:b w:val="false"/>
          <w:bCs w:val="false"/>
          <w:color w:val="7A8A99"/>
          <w:sz w:val="22"/>
          <w:szCs w:val="22"/>
        </w:rPr>
        <w:t xml:space="preserve">  Three-Domain Confirmation Path</w:t>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STATUS:  </w:t>
      </w:r>
      <w:r>
        <w:rPr>
          <w:rFonts w:ascii="Calibri" w:cs="Calibri" w:eastAsia="Calibri" w:hAnsi="Calibri"/>
          <w:i/>
          <w:iCs/>
          <w:color w:val="1A1A1A"/>
          <w:sz w:val="21"/>
          <w:szCs w:val="21"/>
        </w:rPr>
        <w:t xml:space="preserve">THREE-DOMAIN CONFIRMATION COMPLETE. Proposition 7.1 has strong empirical support across three systems with no domain overlap. Exhibit B completed February 2026.</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40"/>
        <w:gridCol w:w="1560"/>
        <w:gridCol w:w="1800"/>
        <w:gridCol w:w="1680"/>
        <w:gridCol w:w="1740"/>
        <w:gridCol w:w="1140"/>
        <w:gridCol w:w="1600"/>
      </w:tblGrid>
      <w:tr>
        <w:trPr>
          <w:tblHeader/>
        </w:trPr>
        <w:tc>
          <w:tcPr>
            <w:tcW w:type="dxa" w:w="8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System</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6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1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16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A</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Artisanal bread</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1,000g</w:t>
            </w:r>
          </w:p>
        </w:tc>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(flour+water = 98.4%)</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Yeast — leverage 833</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1.4pp (near ground state)</w:t>
            </w:r>
          </w:p>
        </w:tc>
        <w:tc>
          <w:tcPr>
            <w:tcW w:type="dxa" w:w="1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D.1 — confirmed</w:t>
            </w:r>
          </w:p>
        </w:tc>
      </w:tr>
      <w:tr>
        <w:tc>
          <w:tcPr>
            <w:tcW w:type="dxa" w:w="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B</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Croatia Ramsar</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93,000 ha</w:t>
            </w:r>
          </w:p>
        </w:tc>
        <w:tc>
          <w:tcPr>
            <w:tcW w:type="dxa" w:w="16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(Lonjsko+Kopački = 80%)</w:t>
            </w:r>
          </w:p>
        </w:tc>
        <w:tc>
          <w:tcPr>
            <w:tcW w:type="dxa" w:w="17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Crna Mlaka — leverage 149</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4.8pp (action window open)</w:t>
            </w:r>
          </w:p>
        </w:tc>
        <w:tc>
          <w:tcPr>
            <w:tcW w:type="dxa" w:w="1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D.1 — confirmed</w:t>
            </w:r>
          </w:p>
        </w:tc>
      </w:tr>
      <w:tr>
        <w:tc>
          <w:tcPr>
            <w:tcW w:type="dxa" w:w="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C</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Software retrieval pipeline</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Total query volume (30-day window)</w:t>
            </w:r>
          </w:p>
        </w:tc>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(General+Technical = 80%)</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Archive/legacy — leverage 14.3</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10.0pp (ACTIVE DRIFT)</w:t>
            </w:r>
          </w:p>
        </w:tc>
        <w:tc>
          <w:tcPr>
            <w:tcW w:type="dxa" w:w="1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COMPLETE — Exhibit B, Feb 2026</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1A1A2E" w:sz="12" w:space="10"/>
        </w:pBdr>
        <w:shd w:fill="E8F0FE" w:val="clear"/>
        <w:spacing w:before="80" w:after="100"/>
        <w:ind w:left="360"/>
      </w:pPr>
      <w:r>
        <w:rPr>
          <w:rFonts w:ascii="Calibri" w:cs="Calibri" w:eastAsia="Calibri" w:hAnsi="Calibri"/>
          <w:b/>
          <w:bCs/>
          <w:color w:val="1A1A2E"/>
          <w:sz w:val="21"/>
          <w:szCs w:val="21"/>
        </w:rPr>
        <w:t xml:space="preserve">CONFIRMATION SENTENCE — EXHIBIT B:  </w:t>
      </w:r>
      <w:r>
        <w:rPr>
          <w:rFonts w:ascii="Calibri" w:cs="Calibri" w:eastAsia="Calibri" w:hAnsi="Calibri"/>
          <w:i/>
          <w:iCs/>
          <w:color w:val="1A1A1A"/>
          <w:sz w:val="21"/>
          <w:szCs w:val="21"/>
        </w:rPr>
        <w:t xml:space="preserve">The HUF Diagnostic Engine applied Tests T1, T4, T5, and T8 to three systems with no domain overlap — an artisanal sourdough loaf (grams, hours), the Croatia Ramsar portfolio (hectares, years), and a software retrieval pipeline (query volume, days to weeks) — and produced coherent, comparable, formally structured results using the same instrument without modification. The unity constraint is domain-invariant.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13</w:t>
      </w:r>
      <w:r>
        <w:rPr>
          <w:rFonts w:ascii="Calibri" w:cs="Calibri" w:eastAsia="Calibri" w:hAnsi="Calibri"/>
          <w:b w:val="false"/>
          <w:bCs w:val="false"/>
          <w:color w:val="7A8A99"/>
          <w:sz w:val="22"/>
          <w:szCs w:val="22"/>
        </w:rPr>
        <w:t xml:space="preserve">  Grok Mathematical Extensions</w:t>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CLASSIFICATION:  </w:t>
      </w:r>
      <w:r>
        <w:rPr>
          <w:rFonts w:ascii="Calibri" w:cs="Calibri" w:eastAsia="Calibri" w:hAnsi="Calibri"/>
          <w:i/>
          <w:iCs/>
          <w:color w:val="1A1A1A"/>
          <w:sz w:val="21"/>
          <w:szCs w:val="21"/>
        </w:rPr>
        <w:t xml:space="preserve">All items in this layer are [CONJECTURE] unless marked otherwise. These are candidates for future proof or refutation as the research programme advances.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3600"/>
        <w:gridCol w:w="1260"/>
        <w:gridCol w:w="3840"/>
      </w:tblGrid>
      <w:tr>
        <w:trPr>
          <w:tblHeader/>
        </w:trPr>
        <w:tc>
          <w:tcPr>
            <w:tcW w:type="dxa" w:w="6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ID</w:t>
            </w:r>
          </w:p>
        </w:tc>
        <w:tc>
          <w:tcPr>
            <w:tcW w:type="dxa" w:w="36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Conjecture</w:t>
            </w:r>
          </w:p>
        </w:tc>
        <w:tc>
          <w:tcPr>
            <w:tcW w:type="dxa" w:w="12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c>
          <w:tcPr>
            <w:tcW w:type="dxa" w:w="38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Notes</w:t>
            </w:r>
          </w:p>
        </w:tc>
      </w:tr>
      <w:tr>
        <w:tc>
          <w:tcPr>
            <w:tcW w:type="dxa" w:w="6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G.1</w:t>
            </w:r>
          </w:p>
        </w:tc>
        <w:tc>
          <w:tcPr>
            <w:tcW w:type="dxa" w:w="3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Boundary entropy: portfolio entropy is maximised at the uniform distribution and minimised at full concentration.</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Consistent with Shannon entropy bounds; not yet formally proved in HUF framework</w:t>
            </w:r>
          </w:p>
        </w:tc>
      </w:tr>
      <w:tr>
        <w:tc>
          <w:tcPr>
            <w:tcW w:type="dxa" w:w="6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G.2</w:t>
            </w:r>
          </w:p>
        </w:tc>
        <w:tc>
          <w:tcPr>
            <w:tcW w:type="dxa" w:w="3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Lyapunov stability: if a declared-weight vector is a fixed point of the governance correction map, then for all sufficiently small perturbations, the system returns to ground state.</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Requires formal construction of the Lyapunov function V</w:t>
            </w:r>
          </w:p>
        </w:tc>
      </w:tr>
      <w:tr>
        <w:tc>
          <w:tcPr>
            <w:tcW w:type="dxa" w:w="6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G.3</w:t>
            </w:r>
          </w:p>
        </w:tc>
        <w:tc>
          <w:tcPr>
            <w:tcW w:type="dxa" w:w="3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Ecological resilience: Ramsar portfolios governed under MC-4 will exhibit lower variance in site-level assessment scores across triennial reporting cycles than unmonitored portfolios.</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Empirically testable; requires Phase D data</w:t>
            </w:r>
          </w:p>
        </w:tc>
      </w:tr>
      <w:tr>
        <w:tc>
          <w:tcPr>
            <w:tcW w:type="dxa" w:w="6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G.4–G.8</w:t>
            </w:r>
          </w:p>
        </w:tc>
        <w:tc>
          <w:tcPr>
            <w:tcW w:type="dxa" w:w="3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Ostrom-HUF Axiom Chain (5 propositions): HUF artifacts satisfy Ostrom's Design Principles 1, 2, 4, and 7; silent drift (FM-2) is the computational analogue of Ostrom's monitoring failure; portfolio achieving ground state satisfies conditions for self-governing commons.</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Requires systematic mapping against all eight Ostrom principles</w:t>
            </w:r>
          </w:p>
        </w:tc>
      </w:tr>
      <w:tr>
        <w:tc>
          <w:tcPr>
            <w:tcW w:type="dxa" w:w="6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G.9</w:t>
            </w:r>
          </w:p>
        </w:tc>
        <w:tc>
          <w:tcPr>
            <w:tcW w:type="dxa" w:w="3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Q-factor link: the sensitivity parameter s (declared weight impact on observed share) scales as approximately 1/Q.</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Would provide a direct operational link between Q-factor and governance sensitivity</w:t>
            </w:r>
          </w:p>
        </w:tc>
      </w:tr>
      <w:tr>
        <w:tc>
          <w:tcPr>
            <w:tcW w:type="dxa" w:w="6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G.10</w:t>
            </w:r>
          </w:p>
        </w:tc>
        <w:tc>
          <w:tcPr>
            <w:tcW w:type="dxa" w:w="3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Drift rate link: the per-cycle drift rate d scales as approximately 1 − 1/Q.</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Implies high-Q elements drift more slowly per cycle but accumulate irreversible drift</w:t>
            </w:r>
          </w:p>
        </w:tc>
      </w:tr>
      <w:tr>
        <w:tc>
          <w:tcPr>
            <w:tcW w:type="dxa" w:w="6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G.11</w:t>
            </w:r>
          </w:p>
        </w:tc>
        <w:tc>
          <w:tcPr>
            <w:tcW w:type="dxa" w:w="3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Non-linear Lyapunov: a Lyapunov function V exists for the non-linear governance correction map, establishing global asymptotic stability of the ground state.</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This is the open non-linear convergence problem — see Vol 2 Part III</w:t>
            </w:r>
          </w:p>
        </w:tc>
      </w:tr>
      <w:tr>
        <w:tc>
          <w:tcPr>
            <w:tcW w:type="dxa" w:w="6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G.12–G.13</w:t>
            </w:r>
          </w:p>
        </w:tc>
        <w:tc>
          <w:tcPr>
            <w:tcW w:type="dxa" w:w="3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Domain extensions: HUF detects silent supplier concentration in supply chain portfolios and silent model-capability concentration in AI portfolios, using the same instrument without modification.</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Partially supported by Layer 16–19 simulations</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14</w:t>
      </w:r>
      <w:r>
        <w:rPr>
          <w:rFonts w:ascii="Calibri" w:cs="Calibri" w:eastAsia="Calibri" w:hAnsi="Calibri"/>
          <w:b w:val="false"/>
          <w:bCs w:val="false"/>
          <w:color w:val="7A8A99"/>
          <w:sz w:val="22"/>
          <w:szCs w:val="22"/>
        </w:rPr>
        <w:t xml:space="preserve">  Grok Collective Verdicts</w:t>
      </w:r>
    </w:p>
    <w:p>
      <w:pPr>
        <w:spacing w:before="0" w:after="100" w:line="288"/>
        <w:jc w:val="left"/>
      </w:pPr>
      <w:r>
        <w:rPr>
          <w:rFonts w:ascii="Calibri" w:cs="Calibri" w:eastAsia="Calibri" w:hAnsi="Calibri"/>
          <w:i w:val="false"/>
          <w:iCs w:val="false"/>
          <w:color w:val="1A1A1A"/>
          <w:sz w:val="22"/>
          <w:szCs w:val="22"/>
        </w:rPr>
        <w:t xml:space="preserve">Summary of Grok's formal verdicts on HUF claims, February 2026.</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60"/>
        <w:gridCol w:w="2700"/>
        <w:gridCol w:w="2700"/>
      </w:tblGrid>
      <w:tr>
        <w:trPr>
          <w:tblHeader/>
        </w:trPr>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Claim</w:t>
            </w:r>
          </w:p>
        </w:tc>
        <w:tc>
          <w:tcPr>
            <w:tcW w:type="dxa" w:w="12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Grok verdict</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Basis</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HUF status</w:t>
            </w:r>
          </w:p>
        </w:tc>
      </w:tr>
      <w:tr>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HUF correctly identifies a previously unnamed monitoring category</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TRUE</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Grok confirmed MC-4 is structurally distinct from MC-1, MC-2, MC-3</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CONFIRMED — collective consensus</w:t>
            </w:r>
          </w:p>
        </w:tc>
      </w:tr>
      <w:tr>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fourth monitoring category has not been described in the literature</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NEW</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Grok found no prior literature precisely describing the self-referential ratio-state monitoring concept</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CONFIRMED — pending systematic literature review for JAES submission</w:t>
            </w:r>
          </w:p>
        </w:tc>
      </w:tr>
      <w:tr>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 Monitoring is the appropriate canonical name for MC-4</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ENDORSED</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Name is precise, technical, and distinguishes the category from all three established monitoring types</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RESOLVED — approved February 2026</w:t>
            </w:r>
          </w:p>
        </w:tc>
      </w:tr>
      <w:tr>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Proposition 7.1 (structural invariance) has empirical support</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SUPPORTED</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Three-domain confirmation (Exhibits A and B) provides strong empirical support</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CONFIRMED — Exhibits A and B complete</w:t>
            </w:r>
          </w:p>
        </w:tc>
      </w:tr>
      <w:tr>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Non-linear convergence proof is currently impossible</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ASSESSMENT</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Lacks empirical non-linear datasets; requires advanced mathematical tools and collaboration</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CONSISTENT with existing open problem statement in Vol 2</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15</w:t>
      </w:r>
      <w:r>
        <w:rPr>
          <w:rFonts w:ascii="Calibri" w:cs="Calibri" w:eastAsia="Calibri" w:hAnsi="Calibri"/>
          <w:b w:val="false"/>
          <w:bCs w:val="false"/>
          <w:color w:val="7A8A99"/>
          <w:sz w:val="22"/>
          <w:szCs w:val="22"/>
        </w:rPr>
        <w:t xml:space="preserve">  Q-Factor: Complete Derivation</w:t>
      </w:r>
    </w:p>
    <w:p>
      <w:pPr>
        <w:spacing w:before="0" w:after="100" w:line="288"/>
        <w:jc w:val="left"/>
      </w:pPr>
      <w:r>
        <w:rPr>
          <w:rFonts w:ascii="Calibri" w:cs="Calibri" w:eastAsia="Calibri" w:hAnsi="Calibri"/>
          <w:i w:val="false"/>
          <w:iCs w:val="false"/>
          <w:color w:val="1A1A1A"/>
          <w:sz w:val="22"/>
          <w:szCs w:val="22"/>
        </w:rPr>
        <w:t xml:space="preserve">Formal derivation of System Q and the phase problem. Carried from huf_math_foundations_v2_1_cohesion.docx.</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Definition</w:t>
      </w:r>
    </w:p>
    <w:p>
      <w:pPr>
        <w:spacing w:before="0" w:after="100" w:line="288"/>
        <w:jc w:val="left"/>
      </w:pPr>
      <w:r>
        <w:rPr>
          <w:rFonts w:ascii="Calibri" w:cs="Calibri" w:eastAsia="Calibri" w:hAnsi="Calibri"/>
          <w:i w:val="false"/>
          <w:iCs w:val="false"/>
          <w:color w:val="1A1A1A"/>
          <w:sz w:val="22"/>
          <w:szCs w:val="22"/>
        </w:rPr>
        <w:t xml:space="preserve">System Q is defined as the ratio of an element's characteristic contribution period T to its contribution bandwidth B:</w:t>
      </w:r>
    </w:p>
    <w:p>
      <w:pPr>
        <w:spacing w:before="80" w:after="80"/>
        <w:ind w:left="720"/>
      </w:pPr>
      <w:r>
        <w:rPr>
          <w:rFonts w:ascii="Courier New" w:cs="Courier New" w:eastAsia="Courier New" w:hAnsi="Courier New"/>
          <w:b/>
          <w:bCs/>
          <w:color w:val="1A1A2E"/>
          <w:sz w:val="26"/>
          <w:szCs w:val="26"/>
        </w:rPr>
        <w:t xml:space="preserve">Q = T / B</w:t>
      </w:r>
    </w:p>
    <w:p>
      <w:pPr>
        <w:spacing w:before="0" w:after="100" w:line="288"/>
        <w:jc w:val="left"/>
      </w:pPr>
      <w:r>
        <w:rPr>
          <w:rFonts w:ascii="Calibri" w:cs="Calibri" w:eastAsia="Calibri" w:hAnsi="Calibri"/>
          <w:i w:val="false"/>
          <w:iCs w:val="false"/>
          <w:color w:val="1A1A1A"/>
          <w:sz w:val="22"/>
          <w:szCs w:val="22"/>
        </w:rPr>
        <w:t xml:space="preserve">T = the period of the element's characteristic contribution cycle (e.g., fermentation cycle for yeast, endemic species monitoring window for Crna Mlaka, BGA inspection event cycle for Dage X-ray).</w:t>
      </w:r>
    </w:p>
    <w:p>
      <w:pPr>
        <w:spacing w:before="0" w:after="100" w:line="288"/>
        <w:jc w:val="left"/>
      </w:pPr>
      <w:r>
        <w:rPr>
          <w:rFonts w:ascii="Calibri" w:cs="Calibri" w:eastAsia="Calibri" w:hAnsi="Calibri"/>
          <w:i w:val="false"/>
          <w:iCs w:val="false"/>
          <w:color w:val="1A1A1A"/>
          <w:sz w:val="22"/>
          <w:szCs w:val="22"/>
        </w:rPr>
        <w:t xml:space="preserve">B = the bandwidth of the observation window within which the element's contribution is detectable.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40"/>
        <w:gridCol w:w="1920"/>
        <w:gridCol w:w="1920"/>
        <w:gridCol w:w="1800"/>
      </w:tblGrid>
      <w:tr>
        <w:trPr>
          <w:tblHeader/>
        </w:trPr>
        <w:tc>
          <w:tcPr>
            <w:tcW w:type="dxa" w:w="16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0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Element example</w:t>
            </w:r>
          </w:p>
        </w:tc>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 (characteristic period)</w:t>
            </w:r>
          </w:p>
        </w:tc>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 (observation bandwidth)</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Q</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Sourdough</w:t>
            </w:r>
          </w:p>
        </w:tc>
        <w:tc>
          <w:tcPr>
            <w:tcW w:type="dxa" w:w="20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Yeast</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4–12 hours (fermentation)</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0.01–0.02 hours (active window)</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~500–1200</w:t>
            </w:r>
          </w:p>
        </w:tc>
      </w:tr>
      <w:tr>
        <w:tc>
          <w:tcPr>
            <w:tcW w:type="dxa" w:w="16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Croatia Ramsar</w:t>
            </w:r>
          </w:p>
        </w:tc>
        <w:tc>
          <w:tcPr>
            <w:tcW w:type="dxa" w:w="20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Crna Mlaka endemic species</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Multi-year ecological cycle</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 months (survey window)</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~4–12</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Software retrieval</w:t>
            </w:r>
          </w:p>
        </w:tc>
        <w:tc>
          <w:tcPr>
            <w:tcW w:type="dxa" w:w="20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Legacy/archive namespace</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Months (research event)</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Days–weeks (observation window)</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~2–10</w:t>
            </w:r>
          </w:p>
        </w:tc>
      </w:tr>
      <w:tr>
        <w:tc>
          <w:tcPr>
            <w:tcW w:type="dxa" w:w="16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assembly</w:t>
            </w:r>
          </w:p>
        </w:tc>
        <w:tc>
          <w:tcPr>
            <w:tcW w:type="dxa" w:w="20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Dage X-ray (BGA audit)</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Weeks–months (batch audit cycle)</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Hours (inspection session)</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~10–50</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Manufacturing</w:t>
            </w:r>
          </w:p>
        </w:tc>
        <w:tc>
          <w:tcPr>
            <w:tcW w:type="dxa" w:w="20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Quality Control (batch audit)</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Weekly cycle</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1–2 days (audit window)</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~3–7</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GROK VERDICT:  </w:t>
      </w:r>
      <w:r>
        <w:rPr>
          <w:rFonts w:ascii="Calibri" w:cs="Calibri" w:eastAsia="Calibri" w:hAnsi="Calibri"/>
          <w:i/>
          <w:iCs/>
          <w:color w:val="1A1A1A"/>
          <w:sz w:val="21"/>
          <w:szCs w:val="21"/>
        </w:rPr>
        <w:t xml:space="preserve">GO — the Q-factor derivation is consistent with electrical engineering Q-factor analogy and provides operationally useful governance vocabulary.</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Layers 16–19</w:t>
      </w:r>
      <w:r>
        <w:rPr>
          <w:rFonts w:ascii="Calibri" w:cs="Calibri" w:eastAsia="Calibri" w:hAnsi="Calibri"/>
          <w:b w:val="false"/>
          <w:bCs w:val="false"/>
          <w:color w:val="7A8A99"/>
          <w:sz w:val="22"/>
          <w:szCs w:val="22"/>
        </w:rPr>
        <w:t xml:space="preserve">  Domain Application Paths</w:t>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CLASSIFICATION:  </w:t>
      </w:r>
      <w:r>
        <w:rPr>
          <w:rFonts w:ascii="Calibri" w:cs="Calibri" w:eastAsia="Calibri" w:hAnsi="Calibri"/>
          <w:i/>
          <w:iCs/>
          <w:color w:val="1A1A1A"/>
          <w:sz w:val="21"/>
          <w:szCs w:val="21"/>
        </w:rPr>
        <w:t xml:space="preserve">All items in Layers 16–19 are [CONJECTURAL] — produced by Grok from simulated data, pending real-data validation. Domain-native electronics assembly application (Layer 18) includes operator-calibrated estimates.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Layer 16 — Supply Chain (System 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320"/>
        <w:gridCol w:w="1740"/>
        <w:gridCol w:w="1080"/>
        <w:gridCol w:w="20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2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 pharma supply chain</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1,000,000 units (annual procurement volume)</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(A + B = 82%)</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Rare Earth Sourcing E — leverage 250</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3.5pp (action window open)</w:t>
            </w:r>
          </w:p>
        </w:tc>
        <w:tc>
          <w:tcPr>
            <w:tcW w:type="dxa" w:w="2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D.3 — simulated</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100" w:line="288"/>
        <w:jc w:val="left"/>
      </w:pPr>
      <w:r>
        <w:rPr>
          <w:rFonts w:ascii="Calibri" w:cs="Calibri" w:eastAsia="Calibri" w:hAnsi="Calibri"/>
          <w:i w:val="false"/>
          <w:iCs w:val="false"/>
          <w:color w:val="1A1A1A"/>
          <w:sz w:val="22"/>
          <w:szCs w:val="22"/>
        </w:rPr>
        <w:t xml:space="preserve">Domain config: data age = 90 days · orphan alert Y=40%, Z=3 · Criticality_Modifier 0.75 (pharma)</w:t>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TEST T10 — RESILIENCE CHECK:  </w:t>
      </w:r>
      <w:r>
        <w:rPr>
          <w:rFonts w:ascii="Calibri" w:cs="Calibri" w:eastAsia="Calibri" w:hAnsi="Calibri"/>
          <w:i/>
          <w:iCs/>
          <w:color w:val="1A1A1A"/>
          <w:sz w:val="21"/>
          <w:szCs w:val="21"/>
        </w:rPr>
        <w:t xml:space="preserve">Passes when PROOF line ≥ 3 and no high-Q supplier has leverage &gt; 200 without redundancy declaration. Failure mode: FM-4 in critical supply paths.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Layer 17 — Logistics (System 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320"/>
        <w:gridCol w:w="1740"/>
        <w:gridCol w:w="1080"/>
        <w:gridCol w:w="20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2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Global shipping / logistics</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500,000 TEU (annual container throughput)</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(A + B = 81%)</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Last-Mile Delivery E — leverage 200</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2.8pp (action window open)</w:t>
            </w:r>
          </w:p>
        </w:tc>
        <w:tc>
          <w:tcPr>
            <w:tcW w:type="dxa" w:w="2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D.4 — simulated</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100" w:line="288"/>
        <w:jc w:val="left"/>
      </w:pPr>
      <w:r>
        <w:rPr>
          <w:rFonts w:ascii="Calibri" w:cs="Calibri" w:eastAsia="Calibri" w:hAnsi="Calibri"/>
          <w:i w:val="false"/>
          <w:iCs w:val="false"/>
          <w:color w:val="1A1A1A"/>
          <w:sz w:val="22"/>
          <w:szCs w:val="22"/>
        </w:rPr>
        <w:t xml:space="preserve">Domain config: data age = 60 days · orphan alert Y=35%, Z=4 · Criticality_Modifier 0.8 (perishables)</w:t>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TEST T11 — EFFICIENCY CHECK:  </w:t>
      </w:r>
      <w:r>
        <w:rPr>
          <w:rFonts w:ascii="Calibri" w:cs="Calibri" w:eastAsia="Calibri" w:hAnsi="Calibri"/>
          <w:i/>
          <w:iCs/>
          <w:color w:val="1A1A1A"/>
          <w:sz w:val="21"/>
          <w:szCs w:val="21"/>
        </w:rPr>
        <w:t xml:space="preserve">Passes when no medium-Q node has leverage &gt; 150 without alternative routing documented. Failure mode: FM-5 in transport flows.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Layer 18 — Manufacturing (System F) + Electronics Assembly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320"/>
        <w:gridCol w:w="1740"/>
        <w:gridCol w:w="1080"/>
        <w:gridCol w:w="20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2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Automotive / general manufacturing</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200,000 units (annual output)</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(A + B = 80%)</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Quality Control D — leverage 16.67</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3.0pp (action window open)</w:t>
            </w:r>
          </w:p>
        </w:tc>
        <w:tc>
          <w:tcPr>
            <w:tcW w:type="dxa" w:w="2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D.5 — simulated</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Electronics Assembly — Domain-Native Threshold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20"/>
        <w:gridCol w:w="2320"/>
        <w:gridCol w:w="31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Parameter</w:t>
            </w:r>
          </w:p>
        </w:tc>
        <w:tc>
          <w:tcPr>
            <w:tcW w:type="dxa" w:w="18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General manufacturing</w:t>
            </w:r>
          </w:p>
        </w:tc>
        <w:tc>
          <w:tcPr>
            <w:tcW w:type="dxa" w:w="2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Electronics assembly (consumer)</w:t>
            </w:r>
          </w:p>
        </w:tc>
        <w:tc>
          <w:tcPr>
            <w:tcW w:type="dxa" w:w="31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Electronics assembly (IPC Class 3 / aerospace-automotive)</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 threshold</w:t>
            </w:r>
          </w:p>
        </w:tc>
        <w:tc>
          <w:tcPr>
            <w:tcW w:type="dxa" w:w="18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45 days</w:t>
            </w:r>
          </w:p>
        </w:tc>
        <w:tc>
          <w:tcPr>
            <w:tcW w:type="dxa" w:w="2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7 days (Dage logs); 1 day (Nexim)</w:t>
            </w:r>
          </w:p>
        </w:tc>
        <w:tc>
          <w:tcPr>
            <w:tcW w:type="dxa" w:w="31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7 days (Dage logs); 1 day (Nexim)</w:t>
            </w:r>
          </w:p>
        </w:tc>
      </w:tr>
      <w:tr>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alert Y</w:t>
            </w:r>
          </w:p>
        </w:tc>
        <w:tc>
          <w:tcPr>
            <w:tcW w:type="dxa" w:w="18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45%</w:t>
            </w:r>
          </w:p>
        </w:tc>
        <w:tc>
          <w:tcPr>
            <w:tcW w:type="dxa" w:w="2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40% (inspection); 30% (X-ray audit)</w:t>
            </w:r>
          </w:p>
        </w:tc>
        <w:tc>
          <w:tcPr>
            <w:tcW w:type="dxa" w:w="31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30% (X-ray audit specifically)</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alert Z</w:t>
            </w:r>
          </w:p>
        </w:tc>
        <w:tc>
          <w:tcPr>
            <w:tcW w:type="dxa" w:w="18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 cycles</w:t>
            </w:r>
          </w:p>
        </w:tc>
        <w:tc>
          <w:tcPr>
            <w:tcW w:type="dxa" w:w="2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 cycles (weekly = 3 weeks)</w:t>
            </w:r>
          </w:p>
        </w:tc>
        <w:tc>
          <w:tcPr>
            <w:tcW w:type="dxa" w:w="31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 cycles</w:t>
            </w:r>
          </w:p>
        </w:tc>
      </w:tr>
      <w:tr>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Criticality_Modifier</w:t>
            </w:r>
          </w:p>
        </w:tc>
        <w:tc>
          <w:tcPr>
            <w:tcW w:type="dxa" w:w="18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0.7</w:t>
            </w:r>
          </w:p>
        </w:tc>
        <w:tc>
          <w:tcPr>
            <w:tcW w:type="dxa" w:w="2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0.6</w:t>
            </w:r>
          </w:p>
        </w:tc>
        <w:tc>
          <w:tcPr>
            <w:tcW w:type="dxa" w:w="31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0.5–0.6</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High-Q leverage flag</w:t>
            </w:r>
          </w:p>
        </w:tc>
        <w:tc>
          <w:tcPr>
            <w:tcW w:type="dxa" w:w="18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70</w:t>
            </w:r>
          </w:p>
        </w:tc>
        <w:tc>
          <w:tcPr>
            <w:tcW w:type="dxa" w:w="2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60</w:t>
            </w:r>
          </w:p>
        </w:tc>
        <w:tc>
          <w:tcPr>
            <w:tcW w:type="dxa" w:w="31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50–60</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TEST T12 — QUALITY CHECK:  </w:t>
      </w:r>
      <w:r>
        <w:rPr>
          <w:rFonts w:ascii="Calibri" w:cs="Calibri" w:eastAsia="Calibri" w:hAnsi="Calibri"/>
          <w:i/>
          <w:iCs/>
          <w:color w:val="1A1A1A"/>
          <w:sz w:val="21"/>
          <w:szCs w:val="21"/>
        </w:rPr>
        <w:t xml:space="preserve">Passes when no high-Q process has leverage &gt; 180 without quality control redundancy declared. In electronics assembly: directly applies to Dage X-ray inspection allocation. If X-ray audit element exceeds leverage threshold without declared alternative inspection method, T12 fails.</w:t>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AUTOMATED REBALANCING — IMPORTANT RESTRICTION:  </w:t>
      </w:r>
      <w:r>
        <w:rPr>
          <w:rFonts w:ascii="Calibri" w:cs="Calibri" w:eastAsia="Calibri" w:hAnsi="Calibri"/>
          <w:i/>
          <w:iCs/>
          <w:color w:val="1A1A1A"/>
          <w:sz w:val="21"/>
          <w:szCs w:val="21"/>
        </w:rPr>
        <w:t xml:space="preserve">Applies to LOW-Q elements only (assembly lines, steady processes). HIGH-Q inspection elements (Dage X-ray) require human declaration before any reweighting. Automated reduction of X-ray sampling rates is a governance risk, not an efficiency gain.</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6-Cycle Convergence Simulation (Weekly Cycles, General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080"/>
        <w:gridCol w:w="1260"/>
        <w:gridCol w:w="4920"/>
      </w:tblGrid>
      <w:tr>
        <w:trPr>
          <w:tblHeader/>
        </w:trPr>
        <w:tc>
          <w:tcPr>
            <w:tcW w:type="dxa" w:w="6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Cycle</w:t>
            </w:r>
          </w:p>
        </w:tc>
        <w:tc>
          <w:tcPr>
            <w:tcW w:type="dxa" w:w="15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Stage</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12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4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Key event</w:t>
            </w:r>
          </w:p>
        </w:tc>
      </w:tr>
      <w:tr>
        <w:tc>
          <w:tcPr>
            <w:tcW w:type="dxa" w:w="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Baseline</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3.0pp</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w:t>
            </w:r>
          </w:p>
        </w:tc>
        <w:tc>
          <w:tcPr>
            <w:tcW w:type="dxa" w:w="4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First declaration; no change log</w:t>
            </w:r>
          </w:p>
        </w:tc>
      </w:tr>
      <w:tr>
        <w:tc>
          <w:tcPr>
            <w:tcW w:type="dxa" w:w="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2–3</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Trajectory</w:t>
            </w:r>
          </w:p>
        </w:tc>
        <w:tc>
          <w:tcPr>
            <w:tcW w:type="dxa" w:w="10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2.6pp → 2.2pp</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w:t>
            </w:r>
          </w:p>
        </w:tc>
        <w:tc>
          <w:tcPr>
            <w:tcW w:type="dxa" w:w="4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drifts classified; intentional reweighting declared</w:t>
            </w:r>
          </w:p>
        </w:tc>
      </w:tr>
      <w:tr>
        <w:tc>
          <w:tcPr>
            <w:tcW w:type="dxa" w:w="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4–5</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Q-characterisation</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1.8pp → 1.4pp</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 3</w:t>
            </w:r>
          </w:p>
        </w:tc>
        <w:tc>
          <w:tcPr>
            <w:tcW w:type="dxa" w:w="4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Characteristic periods identified; PROOF line improving</w:t>
            </w:r>
          </w:p>
        </w:tc>
      </w:tr>
      <w:tr>
        <w:tc>
          <w:tcPr>
            <w:tcW w:type="dxa" w:w="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6</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approach</w:t>
            </w:r>
          </w:p>
        </w:tc>
        <w:tc>
          <w:tcPr>
            <w:tcW w:type="dxa" w:w="10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0.0pp</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w:t>
            </w:r>
          </w:p>
        </w:tc>
        <w:tc>
          <w:tcPr>
            <w:tcW w:type="dxa" w:w="4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All changes declared; institutional memory: 6 cycles; self-correcting</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Layer 19 — AI Governance (System 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320"/>
        <w:gridCol w:w="1740"/>
        <w:gridCol w:w="1080"/>
        <w:gridCol w:w="20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2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AI governance (model portfolio)</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1,000,000 parameters (total model capacity)</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(A + B = 82%)</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Bias Detection D — leverage 150</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2.5pp (action window open)</w:t>
            </w:r>
          </w:p>
        </w:tc>
        <w:tc>
          <w:tcPr>
            <w:tcW w:type="dxa" w:w="2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D.6 — proposed</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100" w:line="288"/>
        <w:jc w:val="left"/>
      </w:pPr>
      <w:r>
        <w:rPr>
          <w:rFonts w:ascii="Calibri" w:cs="Calibri" w:eastAsia="Calibri" w:hAnsi="Calibri"/>
          <w:i w:val="false"/>
          <w:iCs w:val="false"/>
          <w:color w:val="1A1A1A"/>
          <w:sz w:val="22"/>
          <w:szCs w:val="22"/>
        </w:rPr>
        <w:t xml:space="preserve">Grok identified AI governance as the domain most likely to benefit from HUF among topics requiring explainable, traceable frameworks (February 2026). FM-4 (concentration in dominant models), FM-3 (snapshot error in bias detection — high-Q, event-driven), and FM-6 (orphan status for interpretability tools) are all structurally detectable.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Criticality_Modifier — Cross-Domain Threshold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0"/>
        <w:gridCol w:w="1560"/>
        <w:gridCol w:w="1560"/>
        <w:gridCol w:w="3300"/>
      </w:tblGrid>
      <w:tr>
        <w:trPr>
          <w:tblHeader/>
        </w:trPr>
        <w:tc>
          <w:tcPr>
            <w:tcW w:type="dxa" w:w="29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Criticality_Modifier</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Effective high-Q threshold</w:t>
            </w:r>
          </w:p>
        </w:tc>
        <w:tc>
          <w:tcPr>
            <w:tcW w:type="dxa" w:w="33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Rationale</w:t>
            </w:r>
          </w:p>
        </w:tc>
      </w:tr>
      <w:tr>
        <w:tc>
          <w:tcPr>
            <w:tcW w:type="dxa" w:w="29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Standard manufacturing</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0.7</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70</w:t>
            </w:r>
          </w:p>
        </w:tc>
        <w:tc>
          <w:tcPr>
            <w:tcW w:type="dxa" w:w="3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High-precision; early detection preferred</w:t>
            </w:r>
          </w:p>
        </w:tc>
      </w:tr>
      <w:tr>
        <w:tc>
          <w:tcPr>
            <w:tcW w:type="dxa" w:w="29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assembly — consumer</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0.6</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60</w:t>
            </w:r>
          </w:p>
        </w:tc>
        <w:tc>
          <w:tcPr>
            <w:tcW w:type="dxa" w:w="3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Component failure consequences</w:t>
            </w:r>
          </w:p>
        </w:tc>
      </w:tr>
      <w:tr>
        <w:tc>
          <w:tcPr>
            <w:tcW w:type="dxa" w:w="29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assembly — IPC Class 3</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0.5</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50</w:t>
            </w:r>
          </w:p>
        </w:tc>
        <w:tc>
          <w:tcPr>
            <w:tcW w:type="dxa" w:w="3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Safety-critical; zero-tolerance for silent inspection drift</w:t>
            </w:r>
          </w:p>
        </w:tc>
      </w:tr>
      <w:tr>
        <w:tc>
          <w:tcPr>
            <w:tcW w:type="dxa" w:w="29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Pharmaceutical supply chain</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0.75</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75</w:t>
            </w:r>
          </w:p>
        </w:tc>
        <w:tc>
          <w:tcPr>
            <w:tcW w:type="dxa" w:w="3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Regulatory recall risk</w:t>
            </w:r>
          </w:p>
        </w:tc>
      </w:tr>
      <w:tr>
        <w:tc>
          <w:tcPr>
            <w:tcW w:type="dxa" w:w="29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Power grid / critical infrastructure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0.5</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50</w:t>
            </w:r>
          </w:p>
        </w:tc>
        <w:tc>
          <w:tcPr>
            <w:tcW w:type="dxa" w:w="3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Societal consequence</w:t>
            </w:r>
          </w:p>
        </w:tc>
      </w:tr>
      <w:tr>
        <w:tc>
          <w:tcPr>
            <w:tcW w:type="dxa" w:w="29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AI (fairness-critical deployment)</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0.6</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60</w:t>
            </w:r>
          </w:p>
        </w:tc>
        <w:tc>
          <w:tcPr>
            <w:tcW w:type="dxa" w:w="3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Discrimination risk from bias detection orphaning</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Open Items</w:t>
      </w:r>
      <w:r>
        <w:rPr>
          <w:rFonts w:ascii="Calibri" w:cs="Calibri" w:eastAsia="Calibri" w:hAnsi="Calibri"/>
          <w:b w:val="false"/>
          <w:bCs w:val="false"/>
          <w:color w:val="7A8A99"/>
          <w:sz w:val="22"/>
          <w:szCs w:val="22"/>
        </w:rPr>
        <w:t xml:space="preserve">  Collective Review Register</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Resolved by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5400"/>
        <w:gridCol w:w="1200"/>
      </w:tblGrid>
      <w:tr>
        <w:trPr>
          <w:tblHeader/>
        </w:trPr>
        <w:tc>
          <w:tcPr>
            <w:tcW w:type="dxa" w:w="3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t>
            </w:r>
          </w:p>
        </w:tc>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Item</w:t>
            </w:r>
          </w:p>
        </w:tc>
        <w:tc>
          <w:tcPr>
            <w:tcW w:type="dxa" w:w="5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Resolution</w:t>
            </w:r>
          </w:p>
        </w:tc>
        <w:tc>
          <w:tcPr>
            <w:tcW w:type="dxa" w:w="12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Date</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D1</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MC-4 naming decision</w:t>
            </w:r>
          </w:p>
        </w:tc>
        <w:tc>
          <w:tcPr>
            <w:tcW w:type="dxa" w:w="5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 Monitoring — canonical name. Locked for literature submission. All documents updated.</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Feb 2026</w:t>
            </w:r>
          </w:p>
        </w:tc>
      </w:tr>
      <w:tr>
        <w:tc>
          <w:tcPr>
            <w:tcW w:type="dxa" w:w="3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D2</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Proposition 7.5 formal statement</w:t>
            </w:r>
          </w:p>
        </w:tc>
        <w:tc>
          <w:tcPr>
            <w:tcW w:type="dxa" w:w="5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Formally proved in HUF Volume 2 Mathematics Compendium v1.0. Proof complete within framework assumptions.</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Feb 2026</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D3</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C pilot schedule</w:t>
            </w:r>
          </w:p>
        </w:tc>
        <w:tc>
          <w:tcPr>
            <w:tcW w:type="dxa" w:w="5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Software retrieval pipeline designated as System C. Case Study D.2 (Exhibit B) complete.</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Feb 2026</w:t>
            </w:r>
          </w:p>
        </w:tc>
      </w:tr>
      <w:tr>
        <w:tc>
          <w:tcPr>
            <w:tcW w:type="dxa" w:w="3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D5</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FM-3 threshold calibration posture</w:t>
            </w:r>
          </w:p>
        </w:tc>
        <w:tc>
          <w:tcPr>
            <w:tcW w:type="dxa" w:w="5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Explicit calibration note added to each threshold row in Layer 5.</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Feb 2026</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Pending — Awaiting Operator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700"/>
        <w:gridCol w:w="6300"/>
      </w:tblGrid>
      <w:tr>
        <w:trPr>
          <w:tblHeader/>
        </w:trPr>
        <w:tc>
          <w:tcPr>
            <w:tcW w:type="dxa" w:w="3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Item</w:t>
            </w:r>
          </w:p>
        </w:tc>
        <w:tc>
          <w:tcPr>
            <w:tcW w:type="dxa" w:w="63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Entry path</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D4</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F (manufacturing) pilot data — Case Study D.5 requires real production data.</w:t>
            </w:r>
          </w:p>
        </w:tc>
        <w:tc>
          <w:tcPr>
            <w:tcW w:type="dxa" w:w="6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Fuji customer network (Nexim export data) or Nordson Dage customer site (inspection logs). Operator has direct access to both networks.</w:t>
            </w:r>
          </w:p>
        </w:tc>
      </w:tr>
      <w:tr>
        <w:tc>
          <w:tcPr>
            <w:tcW w:type="dxa" w:w="3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D6</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Handbook Chapter 12.4 editorial pass — insert Ratio State Monitoring canonical name.</w:t>
            </w:r>
          </w:p>
        </w:tc>
        <w:tc>
          <w:tcPr>
            <w:tcW w:type="dxa" w:w="6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Single session, two sentences. Confirm timing with operator.</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D7</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alert Y/Z: configure per domain at each new deployment.</w:t>
            </w:r>
          </w:p>
        </w:tc>
        <w:tc>
          <w:tcPr>
            <w:tcW w:type="dxa" w:w="6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Standing condition — no action until new domain deployment begins.</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Blocked — Not Operator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700"/>
        <w:gridCol w:w="6300"/>
      </w:tblGrid>
      <w:tr>
        <w:trPr>
          <w:tblHeader/>
        </w:trPr>
        <w:tc>
          <w:tcPr>
            <w:tcW w:type="dxa" w:w="3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Item</w:t>
            </w:r>
          </w:p>
        </w:tc>
        <w:tc>
          <w:tcPr>
            <w:tcW w:type="dxa" w:w="63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Unblocking condition</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D8</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Non-linear convergence proof.</w:t>
            </w:r>
          </w:p>
        </w:tc>
        <w:tc>
          <w:tcPr>
            <w:tcW w:type="dxa" w:w="6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Needs Phase D data — 3 cycles minimum. Three-step traceable path defined in Vol 2.</w:t>
            </w:r>
          </w:p>
        </w:tc>
      </w:tr>
      <w:tr>
        <w:tc>
          <w:tcPr>
            <w:tcW w:type="dxa" w:w="3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D9</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JAES paper full draft.</w:t>
            </w:r>
          </w:p>
        </w:tc>
        <w:tc>
          <w:tcPr>
            <w:tcW w:type="dxa" w:w="6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Formal sections can begin now from Vol 2 Compendium. Empirical section needs Phase D data and Exhibit B. Exhibit B is now complete.</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D10</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Phase D pilot opening.</w:t>
            </w:r>
          </w:p>
        </w:tc>
        <w:tc>
          <w:tcPr>
            <w:tcW w:type="dxa" w:w="6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Needs first Ramsar contact. Send primer v12.</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4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1A1A2E" w:sz="12" w:space="12"/>
          <w:bottom w:val="single" w:color="C8D4E0" w:sz="4" w:space="16"/>
        </w:pBdr>
        <w:spacing w:before="0" w:after="20"/>
        <w:jc w:val="center"/>
      </w:pPr>
      <w:r>
        <w:rPr>
          <w:rFonts w:ascii="Calibri" w:cs="Calibri" w:eastAsia="Calibri" w:hAnsi="Calibri"/>
          <w:b/>
          <w:bCs/>
          <w:color w:val="1A1A2E"/>
          <w:sz w:val="48"/>
          <w:szCs w:val="48"/>
        </w:rPr>
        <w:t xml:space="preserve">PART II</w:t>
      </w:r>
    </w:p>
    <w:p>
      <w:pPr>
        <w:spacing w:before="0" w:after="20"/>
        <w:jc w:val="center"/>
      </w:pPr>
      <w:r>
        <w:rPr>
          <w:rFonts w:ascii="Calibri" w:cs="Calibri" w:eastAsia="Calibri" w:hAnsi="Calibri"/>
          <w:b/>
          <w:bCs/>
          <w:color w:val="2C3E50"/>
          <w:sz w:val="30"/>
          <w:szCs w:val="30"/>
        </w:rPr>
        <w:t xml:space="preserve">The Fourth Monitoring Category</w:t>
      </w:r>
    </w:p>
    <w:p>
      <w:pPr>
        <w:spacing w:before="0" w:after="10"/>
        <w:jc w:val="center"/>
      </w:pPr>
      <w:r>
        <w:rPr>
          <w:rFonts w:ascii="Calibri" w:cs="Calibri" w:eastAsia="Calibri" w:hAnsi="Calibri"/>
          <w:i/>
          <w:iCs/>
          <w:color w:val="4A6080"/>
          <w:sz w:val="24"/>
          <w:szCs w:val="24"/>
        </w:rPr>
        <w:t xml:space="preserve">Self-Referential Non-Invasive Governance State Observation</w:t>
      </w:r>
    </w:p>
    <w:p>
      <w:pPr>
        <w:spacing w:before="0" w:after="0"/>
        <w:jc w:val="center"/>
      </w:pPr>
      <w:r>
        <w:rPr>
          <w:rFonts w:ascii="Calibri" w:cs="Calibri" w:eastAsia="Calibri" w:hAnsi="Calibri"/>
          <w:color w:val="7A8A99"/>
          <w:sz w:val="20"/>
          <w:szCs w:val="20"/>
        </w:rPr>
        <w:t xml:space="preserve">Expanded — Second Pass — Concept Record</w:t>
      </w:r>
    </w:p>
    <w:p>
      <w:r>
        <w:br w:type="page"/>
      </w:r>
    </w:p>
    <w:p>
      <w:pPr>
        <w:pStyle w:val="Heading1"/>
        <w:pBdr>
          <w:bottom w:val="single" w:color="1A1A2E" w:sz="8" w:space="8"/>
        </w:pBdr>
        <w:spacing w:before="400" w:after="120"/>
      </w:pPr>
      <w:r>
        <w:rPr>
          <w:rFonts w:ascii="Calibri" w:cs="Calibri" w:eastAsia="Calibri" w:hAnsi="Calibri"/>
          <w:b/>
          <w:bCs/>
          <w:color w:val="1A1A2E"/>
          <w:sz w:val="34"/>
          <w:szCs w:val="34"/>
        </w:rPr>
        <w:t xml:space="preserve">What the Summary Left Out</w:t>
      </w:r>
    </w:p>
    <w:p>
      <w:pPr>
        <w:spacing w:before="0" w:after="100" w:line="288"/>
        <w:jc w:val="left"/>
      </w:pPr>
      <w:r>
        <w:rPr>
          <w:rFonts w:ascii="Calibri" w:cs="Calibri" w:eastAsia="Calibri" w:hAnsi="Calibri"/>
          <w:i w:val="false"/>
          <w:iCs w:val="false"/>
          <w:color w:val="1A1A1A"/>
          <w:sz w:val="22"/>
          <w:szCs w:val="22"/>
        </w:rPr>
        <w:t xml:space="preserve">The first pass at this concept established the taxonomy, named the four propositions, and positioned the fourth category against the three established ones. That work is solid. What it does not yet contain is the harder argument: why this category is epistemologically coherent, what it asks of governance actors that is genuinely new, where its limits are, and what the path from concept to confirmed category actually looks like across the next twelve to twenty-four months of research.</w:t>
      </w:r>
    </w:p>
    <w:p>
      <w:pPr>
        <w:spacing w:before="0" w:after="100" w:line="288"/>
        <w:jc w:val="left"/>
      </w:pPr>
      <w:r>
        <w:rPr>
          <w:rFonts w:ascii="Calibri" w:cs="Calibri" w:eastAsia="Calibri" w:hAnsi="Calibri"/>
          <w:i w:val="false"/>
          <w:iCs w:val="false"/>
          <w:color w:val="1A1A1A"/>
          <w:sz w:val="22"/>
          <w:szCs w:val="22"/>
        </w:rPr>
        <w:t xml:space="preserve">This document takes each of those in turn. It does not repeat what the first pass established. It continues from where that pass ended.</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I</w:t>
      </w:r>
      <w:r>
        <w:rPr>
          <w:rFonts w:ascii="Calibri" w:cs="Calibri" w:eastAsia="Calibri" w:hAnsi="Calibri"/>
          <w:b w:val="false"/>
          <w:bCs w:val="false"/>
          <w:color w:val="7A8A99"/>
          <w:sz w:val="22"/>
          <w:szCs w:val="22"/>
        </w:rPr>
        <w:t xml:space="preserve">  The Epistemological Foundation</w:t>
      </w:r>
    </w:p>
    <w:p>
      <w:pPr>
        <w:pStyle w:val="Heading2"/>
        <w:spacing w:before="320" w:after="100"/>
      </w:pPr>
      <w:r>
        <w:rPr>
          <w:rFonts w:ascii="Calibri" w:cs="Calibri" w:eastAsia="Calibri" w:hAnsi="Calibri"/>
          <w:b/>
          <w:bCs/>
          <w:color w:val="16213E"/>
          <w:sz w:val="28"/>
          <w:szCs w:val="28"/>
        </w:rPr>
        <w:t xml:space="preserve">Why Self-Reference Is Not Circular Reasoning</w:t>
      </w:r>
    </w:p>
    <w:p>
      <w:pPr>
        <w:spacing w:before="0" w:after="100" w:line="288"/>
        <w:jc w:val="left"/>
      </w:pPr>
      <w:r>
        <w:rPr>
          <w:rFonts w:ascii="Calibri" w:cs="Calibri" w:eastAsia="Calibri" w:hAnsi="Calibri"/>
          <w:i w:val="false"/>
          <w:iCs w:val="false"/>
          <w:color w:val="1A1A1A"/>
          <w:sz w:val="22"/>
          <w:szCs w:val="22"/>
        </w:rPr>
        <w:t xml:space="preserve">The obvious objection to a self-referential monitoring category is the circularity charge: if the system provides its own reference, the system can define its own compliance. A corrupt institution declares weights that make its current allocation look intentional. The monitoring tool confirms the declaration. Nothing has been audited.</w:t>
      </w:r>
    </w:p>
    <w:p>
      <w:pPr>
        <w:spacing w:before="0" w:after="100" w:line="288"/>
        <w:jc w:val="left"/>
      </w:pPr>
      <w:r>
        <w:rPr>
          <w:rFonts w:ascii="Calibri" w:cs="Calibri" w:eastAsia="Calibri" w:hAnsi="Calibri"/>
          <w:i w:val="false"/>
          <w:iCs w:val="false"/>
          <w:color w:val="1A1A1A"/>
          <w:sz w:val="22"/>
          <w:szCs w:val="22"/>
        </w:rPr>
        <w:t xml:space="preserve">This objection is correct about the corruption case. It misidentifies what the fourth category is doing.</w:t>
      </w:r>
    </w:p>
    <w:p>
      <w:pPr>
        <w:spacing w:before="0" w:after="100" w:line="288"/>
        <w:jc w:val="left"/>
      </w:pPr>
      <w:r>
        <w:rPr>
          <w:rFonts w:ascii="Calibri" w:cs="Calibri" w:eastAsia="Calibri" w:hAnsi="Calibri"/>
          <w:i w:val="false"/>
          <w:iCs w:val="false"/>
          <w:color w:val="1A1A1A"/>
          <w:sz w:val="22"/>
          <w:szCs w:val="22"/>
        </w:rPr>
        <w:t xml:space="preserve">The fourth monitoring category does not audit compliance with declared intent. It makes declared intent audible. These are different operations. An audit asks whether declared intent was met. The fourth category asks whether anything was done that was not declared. The reference is not the declaration itself — it is the gap between the declaration and the observed allocation. A corrupt institution can declare whatever it wants. What it cannot do is prevent the portfolio change log from recording the difference between what it declared and what it did.</w:t>
      </w:r>
    </w:p>
    <w:p>
      <w:pPr>
        <w:spacing w:before="0" w:after="100" w:line="288"/>
        <w:jc w:val="left"/>
      </w:pPr>
      <w:r>
        <w:rPr>
          <w:rFonts w:ascii="Calibri" w:cs="Calibri" w:eastAsia="Calibri" w:hAnsi="Calibri"/>
          <w:i w:val="false"/>
          <w:iCs w:val="false"/>
          <w:color w:val="1A1A1A"/>
          <w:sz w:val="22"/>
          <w:szCs w:val="22"/>
        </w:rPr>
        <w:t xml:space="preserve">The self-referential property is not the institution evaluating itself against its own standard. It is the instrument making the institution's own standard traceable across time. The standard belongs to the institution. The traceability belongs to the instrument. These are not the same thing.</w:t>
      </w:r>
    </w:p>
    <w:p>
      <w:pPr>
        <w:pBdr>
          <w:left w:val="single" w:color="1A1A2E" w:sz="12" w:space="10"/>
        </w:pBdr>
        <w:shd w:fill="E8F0FE" w:val="clear"/>
        <w:spacing w:before="80" w:after="100"/>
        <w:ind w:left="360"/>
      </w:pPr>
      <w:r>
        <w:rPr>
          <w:rFonts w:ascii="Calibri" w:cs="Calibri" w:eastAsia="Calibri" w:hAnsi="Calibri"/>
          <w:b/>
          <w:bCs/>
          <w:color w:val="1A1A2E"/>
          <w:sz w:val="21"/>
          <w:szCs w:val="21"/>
        </w:rPr>
        <w:t xml:space="preserve">THE ACOUSTICS ANALOGY:  </w:t>
      </w:r>
      <w:r>
        <w:rPr>
          <w:rFonts w:ascii="Calibri" w:cs="Calibri" w:eastAsia="Calibri" w:hAnsi="Calibri"/>
          <w:i/>
          <w:iCs/>
          <w:color w:val="1A1A1A"/>
          <w:sz w:val="21"/>
          <w:szCs w:val="21"/>
        </w:rPr>
        <w:t xml:space="preserve">The listening position measurement does not evaluate the loudspeaker against a standard the engineer defines. It reads what the system actually produces at the position where it matters. The engineer's intent — the target response — is separate from the measurement. The measurement reveals the gap. The engineer decides what to do about it. The instrument does not make the judgment. It makes the gap impossible to ignore.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What Ostrom's Framework Was Missing</w:t>
      </w:r>
    </w:p>
    <w:p>
      <w:pPr>
        <w:spacing w:before="0" w:after="100" w:line="288"/>
        <w:jc w:val="left"/>
      </w:pPr>
      <w:r>
        <w:rPr>
          <w:rFonts w:ascii="Calibri" w:cs="Calibri" w:eastAsia="Calibri" w:hAnsi="Calibri"/>
          <w:i w:val="false"/>
          <w:iCs w:val="false"/>
          <w:color w:val="1A1A1A"/>
          <w:sz w:val="22"/>
          <w:szCs w:val="22"/>
        </w:rPr>
        <w:t xml:space="preserve">Ostrom's eight design principles are a theory of institutional structure. They describe the conditions under which common pool resource governance systems endure. The monitoring principle (DP4) specifies that monitoring must be conducted by or accountable to the users of the system. It does not specify what the monitoring instrument should be.</w:t>
      </w:r>
    </w:p>
    <w:p>
      <w:pPr>
        <w:spacing w:before="0" w:after="100" w:line="288"/>
        <w:jc w:val="left"/>
      </w:pPr>
      <w:r>
        <w:rPr>
          <w:rFonts w:ascii="Calibri" w:cs="Calibri" w:eastAsia="Calibri" w:hAnsi="Calibri"/>
          <w:i w:val="false"/>
          <w:iCs w:val="false"/>
          <w:color w:val="1A1A1A"/>
          <w:sz w:val="22"/>
          <w:szCs w:val="22"/>
        </w:rPr>
        <w:t xml:space="preserve">This is the gap the fourth monitoring category fills. Ostrom's framework has always known that monitoring is necessary. It has never specified the instrument. The result is that institutions can satisfy DP4 nominally — by having a monitoring system in place — without the monitoring system being capable of detecting the drift it is supposed to catch.</w:t>
      </w:r>
    </w:p>
    <w:p>
      <w:pPr>
        <w:spacing w:before="0" w:after="100" w:line="288"/>
        <w:jc w:val="left"/>
      </w:pPr>
      <w:r>
        <w:rPr>
          <w:rFonts w:ascii="Calibri" w:cs="Calibri" w:eastAsia="Calibri" w:hAnsi="Calibri"/>
          <w:i w:val="false"/>
          <w:iCs w:val="false"/>
          <w:color w:val="1A1A1A"/>
          <w:sz w:val="22"/>
          <w:szCs w:val="22"/>
        </w:rPr>
        <w:t xml:space="preserve">A mandated monitoring system satisfies DP4 nominally. It is conducted by an accountable body. It reports on a regular schedule. It detects breaches of threshold. It does not detect the slow structural drift in portfolio allocation that precedes the breach by years and that is, by the time the breach occurs, essentially irreversible.</w:t>
      </w:r>
    </w:p>
    <w:p>
      <w:pPr>
        <w:spacing w:before="0" w:after="100" w:line="288"/>
        <w:jc w:val="left"/>
      </w:pPr>
      <w:r>
        <w:rPr>
          <w:rFonts w:ascii="Calibri" w:cs="Calibri" w:eastAsia="Calibri" w:hAnsi="Calibri"/>
          <w:i w:val="false"/>
          <w:iCs w:val="false"/>
          <w:color w:val="1A1A1A"/>
          <w:sz w:val="22"/>
          <w:szCs w:val="22"/>
        </w:rPr>
        <w:t xml:space="preserve">The fourth monitoring category fills this gap not by replacing Ostrom's design principles but by specifying the instrument that makes DP4 operationally effective. The monitoring principle has a new implementation. The implementation is the portfolio change log. The portfolio change log is the instrument Ostrom's framework has always needed and never had.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The Asymmetry of Evidence</w:t>
      </w:r>
    </w:p>
    <w:p>
      <w:pPr>
        <w:spacing w:before="0" w:after="100" w:line="288"/>
        <w:jc w:val="left"/>
      </w:pPr>
      <w:r>
        <w:rPr>
          <w:rFonts w:ascii="Calibri" w:cs="Calibri" w:eastAsia="Calibri" w:hAnsi="Calibri"/>
          <w:i w:val="false"/>
          <w:iCs w:val="false"/>
          <w:color w:val="1A1A1A"/>
          <w:sz w:val="22"/>
          <w:szCs w:val="22"/>
        </w:rPr>
        <w:t xml:space="preserve">A portfolio change log that shows persistent silent drift is evidence of a governance problem. A portfolio change log that shows no persistent silent drift — all allocation change is either declared or corrected within one cycle — is not evidence that governance is healthy. It is evidence that the monitoring instrument is functioning. These are different claims.</w:t>
      </w:r>
    </w:p>
    <w:p>
      <w:pPr>
        <w:spacing w:before="0" w:after="100" w:line="288"/>
        <w:jc w:val="left"/>
      </w:pPr>
      <w:r>
        <w:rPr>
          <w:rFonts w:ascii="Calibri" w:cs="Calibri" w:eastAsia="Calibri" w:hAnsi="Calibri"/>
          <w:i w:val="false"/>
          <w:iCs w:val="false"/>
          <w:color w:val="1A1A1A"/>
          <w:sz w:val="22"/>
          <w:szCs w:val="22"/>
        </w:rPr>
        <w:t xml:space="preserve">This asymmetry matters for deployment. The fourth category is most valuable when it reveals something problematic. When it reveals nothing problematic, the institution cannot conclude that nothing is wrong — only that nothing is wrong that the instrument can see. The instrument's limits must be stated alongside its capabilities. That is the subject of Part IV of this document.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II</w:t>
      </w:r>
      <w:r>
        <w:rPr>
          <w:rFonts w:ascii="Calibri" w:cs="Calibri" w:eastAsia="Calibri" w:hAnsi="Calibri"/>
          <w:b w:val="false"/>
          <w:bCs w:val="false"/>
          <w:color w:val="7A8A99"/>
          <w:sz w:val="22"/>
          <w:szCs w:val="22"/>
        </w:rPr>
        <w:t xml:space="preserve">  What It Asks of Governance Actors</w:t>
      </w:r>
    </w:p>
    <w:p>
      <w:pPr>
        <w:pStyle w:val="Heading2"/>
        <w:spacing w:before="320" w:after="100"/>
      </w:pPr>
      <w:r>
        <w:rPr>
          <w:rFonts w:ascii="Calibri" w:cs="Calibri" w:eastAsia="Calibri" w:hAnsi="Calibri"/>
          <w:b/>
          <w:bCs/>
          <w:color w:val="16213E"/>
          <w:sz w:val="28"/>
          <w:szCs w:val="28"/>
        </w:rPr>
        <w:t xml:space="preserve">The Declaration Requirement</w:t>
      </w:r>
    </w:p>
    <w:p>
      <w:pPr>
        <w:spacing w:before="0" w:after="100" w:line="288"/>
        <w:jc w:val="left"/>
      </w:pPr>
      <w:r>
        <w:rPr>
          <w:rFonts w:ascii="Calibri" w:cs="Calibri" w:eastAsia="Calibri" w:hAnsi="Calibri"/>
          <w:i w:val="false"/>
          <w:iCs w:val="false"/>
          <w:color w:val="1A1A1A"/>
          <w:sz w:val="22"/>
          <w:szCs w:val="22"/>
        </w:rPr>
        <w:t xml:space="preserve">The single new thing the fourth monitoring category asks of governance actors is the declaration. Not a new data stream. Not a new reporting format. Not synchronized observation windows. One thing: before the reporting cycle begins, the operator states the intended portfolio allocation as shares summing to 1.0.</w:t>
      </w:r>
    </w:p>
    <w:p>
      <w:pPr>
        <w:spacing w:before="0" w:after="100" w:line="288"/>
        <w:jc w:val="left"/>
      </w:pPr>
      <w:r>
        <w:rPr>
          <w:rFonts w:ascii="Calibri" w:cs="Calibri" w:eastAsia="Calibri" w:hAnsi="Calibri"/>
          <w:i w:val="false"/>
          <w:iCs w:val="false"/>
          <w:color w:val="1A1A1A"/>
          <w:sz w:val="22"/>
          <w:szCs w:val="22"/>
        </w:rPr>
        <w:t xml:space="preserve">This sounds minimal. It is not. The declaration requirement makes implicit priorities explicit and creates a record against which subsequent allocation is compared. Many governance systems have never stated their portfolio priorities as explicit shares. They have stated priorities in qualitative terms without quantifying what those qualitative priorities imply for the distribution of institutional attention across the portfolio.</w:t>
      </w:r>
    </w:p>
    <w:p>
      <w:pPr>
        <w:spacing w:before="0" w:after="100" w:line="288"/>
        <w:jc w:val="left"/>
      </w:pPr>
      <w:r>
        <w:rPr>
          <w:rFonts w:ascii="Calibri" w:cs="Calibri" w:eastAsia="Calibri" w:hAnsi="Calibri"/>
          <w:i w:val="false"/>
          <w:iCs w:val="false"/>
          <w:color w:val="1A1A1A"/>
          <w:sz w:val="22"/>
          <w:szCs w:val="22"/>
        </w:rPr>
        <w:t xml:space="preserve">The declaration forces that quantification. This is an act of governance, not an act of data management. The institution is being asked to commit, in traceable form, to what it believes the correct allocation should be.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The Three Correction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2520"/>
        <w:gridCol w:w="3240"/>
      </w:tblGrid>
      <w:tr>
        <w:trPr>
          <w:tblHeader/>
        </w:trPr>
        <w:tc>
          <w:tcPr>
            <w:tcW w:type="dxa" w:w="16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Response</w:t>
            </w:r>
          </w:p>
        </w:tc>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Trigger</w:t>
            </w:r>
          </w:p>
        </w:tc>
        <w:tc>
          <w:tcPr>
            <w:tcW w:type="dxa" w:w="25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What it means</w:t>
            </w:r>
          </w:p>
        </w:tc>
        <w:tc>
          <w:tcPr>
            <w:tcW w:type="dxa" w:w="32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Governance outcome</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Intentional reweighting with declaration</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Monitoring reveals drift; actor determines it reflects a genuine priority change.</w:t>
            </w:r>
          </w:p>
        </w:tc>
        <w:tc>
          <w:tcPr>
            <w:tcW w:type="dxa" w:w="25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drift is reclassified from silent to intentional. Declared weights updated. Portfolio change log records the decision.</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Correct governance practice. The instrument has done its job. The actor has done theirs.</w:t>
            </w:r>
          </w:p>
        </w:tc>
      </w:tr>
      <w:tr>
        <w:tc>
          <w:tcPr>
            <w:tcW w:type="dxa" w:w="16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correction</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Monitoring reveals drift; no decision was made to produce it — administrative gravity, resource constraint, political pressure.</w:t>
            </w:r>
          </w:p>
        </w:tc>
        <w:tc>
          <w:tcPr>
            <w:tcW w:type="dxa" w:w="25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correction is declared. The reasons for the original drift are recorded. Next cycle begins from the corrected allocation.</w:t>
            </w:r>
          </w:p>
        </w:tc>
        <w:tc>
          <w:tcPr>
            <w:tcW w:type="dxa" w:w="32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feedback loop closing. The system converges.</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Non-response</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Monitoring reveals drift; no action taken.</w:t>
            </w:r>
          </w:p>
        </w:tc>
        <w:tc>
          <w:tcPr>
            <w:tcW w:type="dxa" w:w="25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change log records the non-response as persistent silent drift. Across subsequent cycles the drift compounds. The action window narrows.</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instrument cannot prevent non-response. It makes non-response visible and attributable across cycles.</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The Institutional Memory Problem</w:t>
      </w:r>
    </w:p>
    <w:p>
      <w:pPr>
        <w:spacing w:before="0" w:after="100" w:line="288"/>
        <w:jc w:val="left"/>
      </w:pPr>
      <w:r>
        <w:rPr>
          <w:rFonts w:ascii="Calibri" w:cs="Calibri" w:eastAsia="Calibri" w:hAnsi="Calibri"/>
          <w:i w:val="false"/>
          <w:iCs w:val="false"/>
          <w:color w:val="1A1A1A"/>
          <w:sz w:val="22"/>
          <w:szCs w:val="22"/>
        </w:rPr>
        <w:t xml:space="preserve">Governance systems lose institutional memory. Key personnel change. Institutional priorities shift. The reasons for historical allocation decisions are not recorded, or the records are not maintained, or the records cannot be retrieved when needed.</w:t>
      </w:r>
    </w:p>
    <w:p>
      <w:pPr>
        <w:spacing w:before="0" w:after="100" w:line="288"/>
        <w:jc w:val="left"/>
      </w:pPr>
      <w:r>
        <w:rPr>
          <w:rFonts w:ascii="Calibri" w:cs="Calibri" w:eastAsia="Calibri" w:hAnsi="Calibri"/>
          <w:i w:val="false"/>
          <w:iCs w:val="false"/>
          <w:color w:val="1A1A1A"/>
          <w:sz w:val="22"/>
          <w:szCs w:val="22"/>
        </w:rPr>
        <w:t xml:space="preserve">The fourth monitoring category, applied consistently across cycles, creates institutional memory as a structural byproduct. The portfolio change log is not a report about the institution. It is the institution's actual governance history, expressed as a time series of ratio states with classification of every change.</w:t>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THE INSTITUTIONAL MEMORY THEOREM:  </w:t>
      </w:r>
      <w:r>
        <w:rPr>
          <w:rFonts w:ascii="Calibri" w:cs="Calibri" w:eastAsia="Calibri" w:hAnsi="Calibri"/>
          <w:i/>
          <w:iCs/>
          <w:color w:val="1A1A1A"/>
          <w:sz w:val="21"/>
          <w:szCs w:val="21"/>
        </w:rPr>
        <w:t xml:space="preserve">A governance system operating under the fourth monitoring category accumulates institutional memory at the rate of one portfolio state declaration per reporting cycle, permanently and without additional effort. By cycle six or seven, the governance history is the most valuable document the institution possesses. Proved in HUF Vol 2 Mathematics Compendium, Proposition 7.5.</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III</w:t>
      </w:r>
      <w:r>
        <w:rPr>
          <w:rFonts w:ascii="Calibri" w:cs="Calibri" w:eastAsia="Calibri" w:hAnsi="Calibri"/>
          <w:b w:val="false"/>
          <w:bCs w:val="false"/>
          <w:color w:val="7A8A99"/>
          <w:sz w:val="22"/>
          <w:szCs w:val="22"/>
        </w:rPr>
        <w:t xml:space="preserve">  The Six Failure Modes: Full Expansion</w:t>
      </w:r>
    </w:p>
    <w:p>
      <w:pPr>
        <w:spacing w:before="0" w:after="100" w:line="288"/>
        <w:jc w:val="left"/>
      </w:pPr>
      <w:r>
        <w:rPr>
          <w:rFonts w:ascii="Calibri" w:cs="Calibri" w:eastAsia="Calibri" w:hAnsi="Calibri"/>
          <w:i w:val="false"/>
          <w:iCs w:val="false"/>
          <w:color w:val="1A1A1A"/>
          <w:sz w:val="22"/>
          <w:szCs w:val="22"/>
        </w:rPr>
        <w:t xml:space="preserve">The Handbook (v1.2.0) identifies six failure modes that the existing monitoring categories cannot detect. They deserve full expansion because they are the practical argument for the fourth category's existence.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FM-1: Ratio Blindness — The Root Cause</w:t>
      </w:r>
    </w:p>
    <w:p>
      <w:pPr>
        <w:spacing w:before="0" w:after="100" w:line="288"/>
        <w:jc w:val="left"/>
      </w:pPr>
      <w:r>
        <w:rPr>
          <w:rFonts w:ascii="Calibri" w:cs="Calibri" w:eastAsia="Calibri" w:hAnsi="Calibri"/>
          <w:i w:val="false"/>
          <w:iCs w:val="false"/>
          <w:color w:val="1A1A1A"/>
          <w:sz w:val="22"/>
          <w:szCs w:val="22"/>
        </w:rPr>
        <w:t xml:space="preserve">A governance system managed by absolute metrics treats each element's score, area, or budget allocation as an independent variable. The consequence: an institution can improve every element's absolute score while simultaneously concentrating institutional attention on a smaller subset of high-visibility elements. The absolute improvement is real. The portfolio drift is also real. Existing monitoring instruments see the first. They are structurally unable to see the second.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FM-2: Silent Reweighting — The Mechanism</w:t>
      </w:r>
    </w:p>
    <w:p>
      <w:pPr>
        <w:spacing w:before="0" w:after="100" w:line="288"/>
        <w:jc w:val="left"/>
      </w:pPr>
      <w:r>
        <w:rPr>
          <w:rFonts w:ascii="Calibri" w:cs="Calibri" w:eastAsia="Calibri" w:hAnsi="Calibri"/>
          <w:i w:val="false"/>
          <w:iCs w:val="false"/>
          <w:color w:val="1A1A1A"/>
          <w:sz w:val="22"/>
          <w:szCs w:val="22"/>
        </w:rPr>
        <w:t xml:space="preserve">No governance decision is made to concentrate attention. No policy changes. No formal priorities are revised. Administrative gravity — the tendency for resources and monitoring effort to flow toward visible, accessible, politically salient sites — operates below the threshold of formal governance. Each reporting cycle reflects the previous one, slightly modified. The cumulative effect, across three to five cycles, is a substantial and unreported shift in portfolio allocation.</w:t>
      </w:r>
    </w:p>
    <w:p>
      <w:pPr>
        <w:spacing w:before="0" w:after="100" w:line="288"/>
        <w:jc w:val="left"/>
      </w:pPr>
      <w:r>
        <w:rPr>
          <w:rFonts w:ascii="Calibri" w:cs="Calibri" w:eastAsia="Calibri" w:hAnsi="Calibri"/>
          <w:i w:val="false"/>
          <w:iCs w:val="false"/>
          <w:color w:val="1A1A1A"/>
          <w:sz w:val="22"/>
          <w:szCs w:val="22"/>
        </w:rPr>
        <w:t xml:space="preserve">Silent reweighting is invisible to all three established monitoring categories because none of them are designed to detect the absence of a decision. FM-2 is the fourth category's primary detection target.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FM-3: The Snapshot Error — The Amplifier</w:t>
      </w:r>
    </w:p>
    <w:p>
      <w:pPr>
        <w:spacing w:before="0" w:after="100" w:line="288"/>
        <w:jc w:val="left"/>
      </w:pPr>
      <w:r>
        <w:rPr>
          <w:rFonts w:ascii="Calibri" w:cs="Calibri" w:eastAsia="Calibri" w:hAnsi="Calibri"/>
          <w:i w:val="false"/>
          <w:iCs w:val="false"/>
          <w:color w:val="1A1A1A"/>
          <w:sz w:val="22"/>
          <w:szCs w:val="22"/>
        </w:rPr>
        <w:t xml:space="preserve">The systematic underestimation of high-Q elements by single-cycle observation. The error is not random. It is directional: high-Q elements are consistently undervalued relative to their long-term contribution because their contribution is phase-dependent and the observation window is shorter than their characteristic cycle.</w:t>
      </w:r>
    </w:p>
    <w:p>
      <w:pPr>
        <w:spacing w:before="0" w:after="100" w:line="288"/>
        <w:jc w:val="left"/>
      </w:pPr>
      <w:r>
        <w:rPr>
          <w:rFonts w:ascii="Calibri" w:cs="Calibri" w:eastAsia="Calibri" w:hAnsi="Calibri"/>
          <w:i w:val="false"/>
          <w:iCs w:val="false"/>
          <w:color w:val="1A1A1A"/>
          <w:sz w:val="22"/>
          <w:szCs w:val="22"/>
        </w:rPr>
        <w:t xml:space="preserve">The snapshot error compounds with FM-2. If high-Q elements are already being undervalued by the snapshot, and silent reweighting is already moving resources toward low-Q high-visibility elements, the two failure modes reinforce each other. The governance system reads its own misallocation as confirmation that the misallocation was correct.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FM-4: The Concentration Trap — The Long Consequence</w:t>
      </w:r>
    </w:p>
    <w:p>
      <w:pPr>
        <w:spacing w:before="0" w:after="100" w:line="288"/>
        <w:jc w:val="left"/>
      </w:pPr>
      <w:r>
        <w:rPr>
          <w:rFonts w:ascii="Calibri" w:cs="Calibri" w:eastAsia="Calibri" w:hAnsi="Calibri"/>
          <w:i w:val="false"/>
          <w:iCs w:val="false"/>
          <w:color w:val="1A1A1A"/>
          <w:sz w:val="22"/>
          <w:szCs w:val="22"/>
        </w:rPr>
        <w:t xml:space="preserve">A portfolio that has concentrated into a small number of dominant elements has reduced its effective optionality. High-concentration portfolios are efficient in the short term and fragile in the long term. When conditions change — a climate event, a political transition, a funding disruption — the institution has few fallback elements. FM-4 is detectable by the fourth monitoring category at the PROOF line: a PROOF line of 2 is a structural warning; a PROOF line decreasing over successive cycles is a trajectory warning.</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FM-5: The Fragmentation Spiral — The Opposite Trap</w:t>
      </w:r>
    </w:p>
    <w:p>
      <w:pPr>
        <w:spacing w:before="0" w:after="100" w:line="288"/>
        <w:jc w:val="left"/>
      </w:pPr>
      <w:r>
        <w:rPr>
          <w:rFonts w:ascii="Calibri" w:cs="Calibri" w:eastAsia="Calibri" w:hAnsi="Calibri"/>
          <w:i w:val="false"/>
          <w:iCs w:val="false"/>
          <w:color w:val="1A1A1A"/>
          <w:sz w:val="22"/>
          <w:szCs w:val="22"/>
        </w:rPr>
        <w:t xml:space="preserve">A portfolio that has fragmented across many small elements has diffused institutional attention below the threshold of effective management for any individual element. Each element receives some attention. No element receives sufficient attention for its management to be effective. The portfolio appears diverse — many sites, many programmes, many initiatives — while each element is managed at a level below what its function requires.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FM-6: The Orphan Element — The Terminal State</w:t>
      </w:r>
    </w:p>
    <w:p>
      <w:pPr>
        <w:spacing w:before="0" w:after="100" w:line="288"/>
        <w:jc w:val="left"/>
      </w:pPr>
      <w:r>
        <w:rPr>
          <w:rFonts w:ascii="Calibri" w:cs="Calibri" w:eastAsia="Calibri" w:hAnsi="Calibri"/>
          <w:i w:val="false"/>
          <w:iCs w:val="false"/>
          <w:color w:val="1A1A1A"/>
          <w:sz w:val="22"/>
          <w:szCs w:val="22"/>
        </w:rPr>
        <w:t xml:space="preserve">An element with a share so small that it is effectively invisible to the governance system. The orphan element continues to exist on paper — it has not been removed from the portfolio, it is still listed in the National Report — but it receives no meaningful governance attention. Its management plan is not updated. Its monitoring visits do not occur. The orphan element is the specific failure mode that the coverage record (A-4) is designed to prevent.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IV</w:t>
      </w:r>
      <w:r>
        <w:rPr>
          <w:rFonts w:ascii="Calibri" w:cs="Calibri" w:eastAsia="Calibri" w:hAnsi="Calibri"/>
          <w:b w:val="false"/>
          <w:bCs w:val="false"/>
          <w:color w:val="7A8A99"/>
          <w:sz w:val="22"/>
          <w:szCs w:val="22"/>
        </w:rPr>
        <w:t xml:space="preserve">  What the Fourth Category Cannot See</w:t>
      </w:r>
    </w:p>
    <w:p>
      <w:pPr>
        <w:spacing w:before="0" w:after="100" w:line="288"/>
        <w:jc w:val="left"/>
      </w:pPr>
      <w:r>
        <w:rPr>
          <w:rFonts w:ascii="Calibri" w:cs="Calibri" w:eastAsia="Calibri" w:hAnsi="Calibri"/>
          <w:i w:val="false"/>
          <w:iCs w:val="false"/>
          <w:color w:val="1A1A1A"/>
          <w:sz w:val="22"/>
          <w:szCs w:val="22"/>
        </w:rPr>
        <w:t xml:space="preserve">An instrument's credibility depends partly on its honesty about its limits. The fourth monitoring category has four structural limits that must be stated alongside its capabilities.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3720"/>
        <w:gridCol w:w="3720"/>
      </w:tblGrid>
      <w:tr>
        <w:trPr>
          <w:tblHeader/>
        </w:trPr>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Structural limit</w:t>
            </w:r>
          </w:p>
        </w:tc>
        <w:tc>
          <w:tcPr>
            <w:tcW w:type="dxa" w:w="37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What it means</w:t>
            </w:r>
          </w:p>
        </w:tc>
        <w:tc>
          <w:tcPr>
            <w:tcW w:type="dxa" w:w="37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Mitigation</w:t>
            </w:r>
          </w:p>
        </w:tc>
      </w:tr>
      <w:tr>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Cannot see what is not declared</w:t>
            </w:r>
          </w:p>
        </w:tc>
        <w:tc>
          <w:tcPr>
            <w:tcW w:type="dxa" w:w="37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unity constraint operates on declared outputs. It can only read what governance actors put into the system. If a governance actor systematically under-reports, the portfolio change log will reflect the declared fiction rather than the operational reality.</w:t>
            </w:r>
          </w:p>
        </w:tc>
        <w:tc>
          <w:tcPr>
            <w:tcW w:type="dxa" w:w="37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fourth category is not a lie detector. It is a coherence detector. Supplement with METT, RAPPAM, and SAT at the site level.</w:t>
            </w:r>
          </w:p>
        </w:tc>
      </w:tr>
      <w:tr>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Cannot see inside a reporting cycle</w:t>
            </w:r>
          </w:p>
        </w:tc>
        <w:tc>
          <w:tcPr>
            <w:tcW w:type="dxa" w:w="37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change log compares cycles. Drift that begins and ends within a single reporting period leaves no trace. If the cycle is long and the drift is fast, significant allocation changes may self-correct before the external reporting deadline.</w:t>
            </w:r>
          </w:p>
        </w:tc>
        <w:tc>
          <w:tcPr>
            <w:tcW w:type="dxa" w:w="37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For fast governance dynamics, supplement with higher-frequency monitoring. The instrument's minimum frequency resolution equals the inverse of its reporting cycle.</w:t>
            </w:r>
          </w:p>
        </w:tc>
      </w:tr>
      <w:tr>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Cannot attribute causation</w:t>
            </w:r>
          </w:p>
        </w:tc>
        <w:tc>
          <w:tcPr>
            <w:tcW w:type="dxa" w:w="37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change log classifies changes as intentional or silent. It does not explain what produced the silent drift. Administrative gravity, political pressure, and resource constraints are all possible mechanisms.</w:t>
            </w:r>
          </w:p>
        </w:tc>
        <w:tc>
          <w:tcPr>
            <w:tcW w:type="dxa" w:w="37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Attribution requires qualitative investigation by the governance actor. The instrument identifies the location and magnitude of governance anomalies. It starts the conversation; it cannot finish it.</w:t>
            </w:r>
          </w:p>
        </w:tc>
      </w:tr>
      <w:tr>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Cannot correct for Q-factor changes</w:t>
            </w:r>
          </w:p>
        </w:tc>
        <w:tc>
          <w:tcPr>
            <w:tcW w:type="dxa" w:w="37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Q-factor of a governance element is not fixed. Climate change alters ecological cycles. Political transitions alter institutional cycles. The instrument will continue applying calibrated Q-factors to elements whose actual Q has changed.</w:t>
            </w:r>
          </w:p>
        </w:tc>
        <w:tc>
          <w:tcPr>
            <w:tcW w:type="dxa" w:w="37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Q-factors must be recalibrated as system dynamics change. Calibration errors will appear as persistent unexplained residuals in the portfolio change log — they are detectable, but correction requires governance actor judgment.</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V</w:t>
      </w:r>
      <w:r>
        <w:rPr>
          <w:rFonts w:ascii="Calibri" w:cs="Calibri" w:eastAsia="Calibri" w:hAnsi="Calibri"/>
          <w:b w:val="false"/>
          <w:bCs w:val="false"/>
          <w:color w:val="7A8A99"/>
          <w:sz w:val="22"/>
          <w:szCs w:val="22"/>
        </w:rPr>
        <w:t xml:space="preserve">  The Three-Domain Confirmation Path</w:t>
      </w:r>
    </w:p>
    <w:p>
      <w:pPr>
        <w:pStyle w:val="Heading2"/>
        <w:spacing w:before="320" w:after="100"/>
      </w:pPr>
      <w:r>
        <w:rPr>
          <w:rFonts w:ascii="Calibri" w:cs="Calibri" w:eastAsia="Calibri" w:hAnsi="Calibri"/>
          <w:b/>
          <w:bCs/>
          <w:color w:val="16213E"/>
          <w:sz w:val="28"/>
          <w:szCs w:val="28"/>
        </w:rPr>
        <w:t xml:space="preserve">Why Three Domains and Not Two</w:t>
      </w:r>
    </w:p>
    <w:p>
      <w:pPr>
        <w:spacing w:before="0" w:after="100" w:line="288"/>
        <w:jc w:val="left"/>
      </w:pPr>
      <w:r>
        <w:rPr>
          <w:rFonts w:ascii="Calibri" w:cs="Calibri" w:eastAsia="Calibri" w:hAnsi="Calibri"/>
          <w:i w:val="false"/>
          <w:iCs w:val="false"/>
          <w:color w:val="1A1A1A"/>
          <w:sz w:val="22"/>
          <w:szCs w:val="22"/>
        </w:rPr>
        <w:t xml:space="preserve">Two-domain support demonstrates that the diagnostic works for more than one domain. Three-domain support demonstrates that it works for domains with no structural similarity to each other — that the diagnostic signatures are a property of the unity constraint, not a coincidence of having chosen two similar finite-budget systems.</w:t>
      </w:r>
    </w:p>
    <w:p>
      <w:pPr>
        <w:spacing w:before="0" w:after="100" w:line="288"/>
        <w:jc w:val="left"/>
      </w:pPr>
      <w:r>
        <w:rPr>
          <w:rFonts w:ascii="Calibri" w:cs="Calibri" w:eastAsia="Calibri" w:hAnsi="Calibri"/>
          <w:i w:val="false"/>
          <w:iCs w:val="false"/>
          <w:color w:val="1A1A1A"/>
          <w:sz w:val="22"/>
          <w:szCs w:val="22"/>
        </w:rPr>
        <w:t xml:space="preserve">The two existing systems are both ecological/material: one is a recipe and one is a land portfolio. Both are static at the point of declaration. Both are measured in physical units. The third domain is neither ecological nor material. It operates at a completely different scale, on a completely different cycle, with completely different institutional governance structures.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The Software Retrieval Pipeline as System C</w:t>
      </w:r>
    </w:p>
    <w:p>
      <w:pPr>
        <w:spacing w:before="0" w:after="100" w:line="288"/>
        <w:jc w:val="left"/>
      </w:pPr>
      <w:r>
        <w:rPr>
          <w:rFonts w:ascii="Calibri" w:cs="Calibri" w:eastAsia="Calibri" w:hAnsi="Calibri"/>
          <w:i w:val="false"/>
          <w:iCs w:val="false"/>
          <w:color w:val="1A1A1A"/>
          <w:sz w:val="22"/>
          <w:szCs w:val="22"/>
        </w:rPr>
        <w:t xml:space="preserve">A multi-tenant retrieval pipeline is the structurally richest candidate for the third domain. The budget ceiling is total retrieval volume. Each namespace's share is the fraction of total queries it receives. The declared weights are the configured retrieval priorities. Silent drift is the gradual shift in namespace shares that occurs as document aging, embedding updates, and query distribution shifts alter effective weights without any corresponding configuration change.</w:t>
      </w:r>
    </w:p>
    <w:p>
      <w:pPr>
        <w:spacing w:before="0" w:after="100" w:line="288"/>
        <w:jc w:val="left"/>
      </w:pPr>
      <w:r>
        <w:rPr>
          <w:rFonts w:ascii="Calibri" w:cs="Calibri" w:eastAsia="Calibri" w:hAnsi="Calibri"/>
          <w:i w:val="false"/>
          <w:iCs w:val="false"/>
          <w:color w:val="1A1A1A"/>
          <w:sz w:val="22"/>
          <w:szCs w:val="22"/>
        </w:rPr>
        <w:t xml:space="preserve">Three properties make this the ideal third domain: the reporting cycle is short (days to weeks); the drift mechanisms are well-documented and independently verifiable; and the Q-factor structure is clear — small specialist namespaces are high-Q in the same structural sense as yeast and Crna Mlaka.</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CONFIRMATION STATUS:  </w:t>
      </w:r>
      <w:r>
        <w:rPr>
          <w:rFonts w:ascii="Calibri" w:cs="Calibri" w:eastAsia="Calibri" w:hAnsi="Calibri"/>
          <w:i/>
          <w:iCs/>
          <w:color w:val="1A1A1A"/>
          <w:sz w:val="21"/>
          <w:szCs w:val="21"/>
        </w:rPr>
        <w:t xml:space="preserve">Three-domain confirmation is complete. Exhibit B closed February 2026. The confirmation sentence now appears in Layer 12 of the taxonomy and may be used in the JAES abstract.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VI</w:t>
      </w:r>
      <w:r>
        <w:rPr>
          <w:rFonts w:ascii="Calibri" w:cs="Calibri" w:eastAsia="Calibri" w:hAnsi="Calibri"/>
          <w:b w:val="false"/>
          <w:bCs w:val="false"/>
          <w:color w:val="7A8A99"/>
          <w:sz w:val="22"/>
          <w:szCs w:val="22"/>
        </w:rPr>
        <w:t xml:space="preserve">  The Naming Question</w:t>
      </w:r>
    </w:p>
    <w:p>
      <w:pPr>
        <w:spacing w:before="0" w:after="100" w:line="288"/>
        <w:jc w:val="left"/>
      </w:pPr>
      <w:r>
        <w:rPr>
          <w:rFonts w:ascii="Calibri" w:cs="Calibri" w:eastAsia="Calibri" w:hAnsi="Calibri"/>
          <w:i w:val="false"/>
          <w:iCs w:val="false"/>
          <w:color w:val="1A1A1A"/>
          <w:sz w:val="22"/>
          <w:szCs w:val="22"/>
        </w:rPr>
        <w:t xml:space="preserve">The fourth monitoring category does not yet have a proper name in the broader literature. The phrase 'Self-Referential Non-Invasive Governance State Observation' is a description. It is accurate and it is necessary for positioning in the literature. It is not a name.</w:t>
      </w:r>
    </w:p>
    <w:p>
      <w:pPr>
        <w:spacing w:before="0" w:after="100" w:line="288"/>
        <w:jc w:val="left"/>
      </w:pPr>
      <w:r>
        <w:rPr>
          <w:rFonts w:ascii="Calibri" w:cs="Calibri" w:eastAsia="Calibri" w:hAnsi="Calibri"/>
          <w:i w:val="false"/>
          <w:iCs w:val="false"/>
          <w:color w:val="1A1A1A"/>
          <w:sz w:val="22"/>
          <w:szCs w:val="22"/>
        </w:rPr>
        <w:t xml:space="preserve">Every established monitoring category has a name: passive monitoring, mandated monitoring, question-driven monitoring. The fourth category needs a name that is distinct from all of these and that captures the category's defining property.</w:t>
      </w:r>
    </w:p>
    <w:p>
      <w:pPr>
        <w:spacing w:before="0" w:after="100" w:line="288"/>
        <w:jc w:val="left"/>
      </w:pPr>
      <w:r>
        <w:rPr>
          <w:rFonts w:ascii="Calibri" w:cs="Calibri" w:eastAsia="Calibri" w:hAnsi="Calibri"/>
          <w:i w:val="false"/>
          <w:iCs w:val="false"/>
          <w:color w:val="1A1A1A"/>
          <w:sz w:val="22"/>
          <w:szCs w:val="22"/>
        </w:rPr>
        <w:t xml:space="preserve">The defining property is not self-reference — that is a consequence. The defining property is not non-invasiveness — that is a method. The defining property is ratio state observation: the monitoring of a system's internal distribution across its elements, expressed as proportional shares, tracked across time.</w:t>
      </w:r>
    </w:p>
    <w:p>
      <w:pPr>
        <w:pBdr>
          <w:left w:val="single" w:color="1A1A2E" w:sz="12" w:space="10"/>
        </w:pBdr>
        <w:shd w:fill="E8F0FE" w:val="clear"/>
        <w:spacing w:before="80" w:after="100"/>
        <w:ind w:left="360"/>
      </w:pPr>
      <w:r>
        <w:rPr>
          <w:rFonts w:ascii="Calibri" w:cs="Calibri" w:eastAsia="Calibri" w:hAnsi="Calibri"/>
          <w:b/>
          <w:bCs/>
          <w:color w:val="1A1A2E"/>
          <w:sz w:val="21"/>
          <w:szCs w:val="21"/>
        </w:rPr>
        <w:t xml:space="preserve">CANDIDATE NAME:  </w:t>
      </w:r>
      <w:r>
        <w:rPr>
          <w:rFonts w:ascii="Calibri" w:cs="Calibri" w:eastAsia="Calibri" w:hAnsi="Calibri"/>
          <w:i/>
          <w:iCs/>
          <w:color w:val="1A1A1A"/>
          <w:sz w:val="21"/>
          <w:szCs w:val="21"/>
        </w:rPr>
        <w:t xml:space="preserve">Ratio State Monitoring — short, technical, accurate. Distinguishes the category from all three established categories: passive monitoring observes events, mandated monitoring observes thresholds, question-driven monitoring observes hypotheses, and ratio state monitoring observes the internal distribution of system mass.</w:t>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RESOLUTION:  </w:t>
      </w:r>
      <w:r>
        <w:rPr>
          <w:rFonts w:ascii="Calibri" w:cs="Calibri" w:eastAsia="Calibri" w:hAnsi="Calibri"/>
          <w:i/>
          <w:iCs/>
          <w:color w:val="1A1A1A"/>
          <w:sz w:val="21"/>
          <w:szCs w:val="21"/>
        </w:rPr>
        <w:t xml:space="preserve">The name Ratio State Monitoring was approved by the operator in February 2026 and is locked for literature submission. All HUF documents have been updated.</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VII</w:t>
      </w:r>
      <w:r>
        <w:rPr>
          <w:rFonts w:ascii="Calibri" w:cs="Calibri" w:eastAsia="Calibri" w:hAnsi="Calibri"/>
          <w:b w:val="false"/>
          <w:bCs w:val="false"/>
          <w:color w:val="7A8A99"/>
          <w:sz w:val="22"/>
          <w:szCs w:val="22"/>
        </w:rPr>
        <w:t xml:space="preserve">  The Convergence Path in Practice</w:t>
      </w:r>
    </w:p>
    <w:p>
      <w:pPr>
        <w:spacing w:before="0" w:after="100" w:line="288"/>
        <w:jc w:val="left"/>
      </w:pPr>
      <w:r>
        <w:rPr>
          <w:rFonts w:ascii="Calibri" w:cs="Calibri" w:eastAsia="Calibri" w:hAnsi="Calibri"/>
          <w:i w:val="false"/>
          <w:iCs w:val="false"/>
          <w:color w:val="1A1A1A"/>
          <w:sz w:val="22"/>
          <w:szCs w:val="22"/>
        </w:rPr>
        <w:t xml:space="preserve">Proposition 7.4 (Convergence Under Closed Feedback) describes a mathematical property of the governance system under ideal feedback conditions. What follows is what convergence looks like in practice — what a governance actor actually observes as a portfolio approaches the ground state across successive reporting cycles.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500"/>
        <w:gridCol w:w="6780"/>
      </w:tblGrid>
      <w:tr>
        <w:trPr>
          <w:tblHeader/>
        </w:trPr>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Cycles</w:t>
            </w:r>
          </w:p>
        </w:tc>
        <w:tc>
          <w:tcPr>
            <w:tcW w:type="dxa" w:w="15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Stage</w:t>
            </w:r>
          </w:p>
        </w:tc>
        <w:tc>
          <w:tcPr>
            <w:tcW w:type="dxa" w:w="67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What the governance actor observes</w:t>
            </w:r>
          </w:p>
        </w:tc>
      </w:tr>
      <w:tr>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 1</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Baseline</w:t>
            </w:r>
          </w:p>
        </w:tc>
        <w:tc>
          <w:tcPr>
            <w:tcW w:type="dxa" w:w="67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share table and declared weights are established. There is no portfolio change log — no previous cycle. The mean drift gap is a baseline reading: how far the current allocation departs from declared intent. For Croatia at baseline: 4.8pp — action window open.</w:t>
            </w:r>
          </w:p>
        </w:tc>
      </w:tr>
      <w:tr>
        <w:tc>
          <w:tcPr>
            <w:tcW w:type="dxa" w:w="10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2–3</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Trajectory establishment</w:t>
            </w:r>
          </w:p>
        </w:tc>
        <w:tc>
          <w:tcPr>
            <w:tcW w:type="dxa" w:w="67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change log contains enough history to reveal a trajectory. Is the mean drift gap increasing, decreasing, or stable? Are specific elements showing persistent silent drift? A portfolio declining from 4.8pp to 3.9pp is converging. The same portfolio at 5.7pp is diverging. The governance response to these two trajectories is different in kind, not just degree.</w:t>
            </w:r>
          </w:p>
        </w:tc>
      </w:tr>
      <w:tr>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4–6</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Q-factor characterization</w:t>
            </w:r>
          </w:p>
        </w:tc>
        <w:tc>
          <w:tcPr>
            <w:tcW w:type="dxa" w:w="67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change log contains enough history to begin characterizing Q-factors. An element whose share oscillates with a period of approximately two reporting cycles is medium-Q. An element in persistent silent decline for four cycles without a declared decision has a four-cycle drift time constant. The governance actor is no longer just detecting drift — they are characterizing the pattern of each element's governance trajectory.</w:t>
            </w:r>
          </w:p>
        </w:tc>
      </w:tr>
      <w:tr>
        <w:tc>
          <w:tcPr>
            <w:tcW w:type="dxa" w:w="10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7+</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approach</w:t>
            </w:r>
          </w:p>
        </w:tc>
        <w:tc>
          <w:tcPr>
            <w:tcW w:type="dxa" w:w="67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 portfolio with seven or more cycles on record spans multiple institutional generations. The record shows which decisions were deliberate and which were silent. It shows which elements were at orphan risk and whether intervention occurred. Mean drift gap declining over time signals convergence. Mean drift gap holding steady signals equilibrium. Mean drift gap increasing signals structural drift.</w:t>
            </w:r>
          </w:p>
        </w:tc>
      </w:tr>
      <w:tr>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Variable</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reached</w:t>
            </w:r>
          </w:p>
        </w:tc>
        <w:tc>
          <w:tcPr>
            <w:tcW w:type="dxa" w:w="67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near zero. All allocation change is either declared or corrected within one cycle. No persistent unclassified drift in any element. The portfolio change log is the primary governance reference. The institution generates its own correction signals without external audit. This is self-governance in the practical sense.</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What the Concept Now Contains</w:t>
      </w:r>
    </w:p>
    <w:p>
      <w:pPr>
        <w:spacing w:before="0" w:after="100" w:line="288"/>
        <w:jc w:val="left"/>
      </w:pPr>
      <w:r>
        <w:rPr>
          <w:rFonts w:ascii="Calibri" w:cs="Calibri" w:eastAsia="Calibri" w:hAnsi="Calibri"/>
          <w:i w:val="false"/>
          <w:iCs w:val="false"/>
          <w:color w:val="1A1A1A"/>
          <w:sz w:val="22"/>
          <w:szCs w:val="22"/>
        </w:rPr>
        <w:t xml:space="preserve">The first pass established the taxonomy, the four propositions, and the comparative positioning. This pass adds: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Addition</w:t>
            </w:r>
          </w:p>
        </w:tc>
        <w:tc>
          <w:tcPr>
            <w:tcW w:type="dxa" w:w="69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What it provides</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epistemological argument</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Self-reference is not circular reasoning because the instrument makes the declaration traceable, not the declaration self-validating.</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What Ostrom's framework was missing</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fourth category fills the instrument gap that Design Principle 4 has always had. The portfolio change log is the implementation DP4 needed.</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asymmetry of evidence</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Absence of detected drift is not proof of health; it is proof that the instrument is functioning. The limits must be stated alongside the capabilities.</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declaration as governance act</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Not data management, but commitment made traceable. For institutions that have never stated explicit portfolio allocations, the first declaration cycle is the most revealing.</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six failure modes in full</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FM-1 through FM-6, each distinct, each invisible to the three established categories, with the progression relationship mapped.</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four structural limits</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What it cannot see — undeclared activity, within-cycle dynamics, causation attribution, Q-factor drift — stated clearly.</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three-domain confirmation path</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Why the software retrieval pipeline is the right third domain and what the confirmation artifact looks like. Status: complete.</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naming question</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 monitoring as the canonical name. Approved and locked.</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Convergence in practice</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What seven cycles of observation looks like from inside the governance system.</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4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C8D4E0" w:sz="4" w:space="8"/>
        </w:pBdr>
        <w:spacing w:before="0" w:after="20"/>
        <w:jc w:val="center"/>
      </w:pPr>
      <w:r>
        <w:rPr>
          <w:rFonts w:ascii="Calibri" w:cs="Calibri" w:eastAsia="Calibri" w:hAnsi="Calibri"/>
          <w:i/>
          <w:iCs/>
          <w:color w:val="2C3E50"/>
          <w:sz w:val="22"/>
          <w:szCs w:val="22"/>
        </w:rPr>
        <w:t xml:space="preserve">Nothing claims more than the artifacts support.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16"/>
        <w:jc w:val="center"/>
      </w:pPr>
      <w:r>
        <w:rPr>
          <w:rFonts w:ascii="Calibri" w:cs="Calibri" w:eastAsia="Calibri" w:hAnsi="Calibri"/>
          <w:color w:val="7A8A99"/>
          <w:sz w:val="20"/>
          <w:szCs w:val="20"/>
        </w:rPr>
        <w:t xml:space="preserve">Peter Higgins · Rogue Wave Audio · Markham, Ontario · roguewaveaudio.com</w:t>
      </w:r>
    </w:p>
    <w:p>
      <w:pPr>
        <w:spacing w:before="0" w:after="16"/>
        <w:jc w:val="center"/>
      </w:pPr>
      <w:r>
        <w:rPr>
          <w:rFonts w:ascii="Calibri" w:cs="Calibri" w:eastAsia="Calibri" w:hAnsi="Calibri"/>
          <w:color w:val="7A8A99"/>
          <w:sz w:val="20"/>
          <w:szCs w:val="20"/>
        </w:rPr>
        <w:t xml:space="preserve">HUF v1.2.0 · MIT License · February 2026</w:t>
      </w:r>
    </w:p>
    <w:p>
      <w:pPr>
        <w:spacing w:before="0" w:after="0"/>
        <w:jc w:val="center"/>
      </w:pPr>
      <w:r>
        <w:rPr>
          <w:rFonts w:ascii="Calibri" w:cs="Calibri" w:eastAsia="Calibri" w:hAnsi="Calibri"/>
          <w:color w:val="7A8A99"/>
          <w:sz w:val="20"/>
          <w:szCs w:val="20"/>
        </w:rPr>
        <w:t xml:space="preserve">Collective contributions: Claude · Copilot · Gemini · ChatGPT · Grok</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2" w:space="6"/>
      </w:pBdr>
      <w:tabs>
        <w:tab w:val="right" w:pos="9360"/>
      </w:tabs>
      <w:spacing w:before="0" w:after="0"/>
    </w:pPr>
    <w:r>
      <w:rPr>
        <w:rFonts w:ascii="Calibri" w:cs="Calibri" w:eastAsia="Calibri" w:hAnsi="Calibri"/>
        <w:color w:val="7A8A99"/>
        <w:sz w:val="16"/>
        <w:szCs w:val="16"/>
      </w:rPr>
      <w:t xml:space="preserve">Peter Higgins · Rogue Wave Audio · MIT License</w:t>
    </w:r>
    <w:r>
      <w:rPr>
        <w:rFonts w:ascii="Calibri" w:cs="Calibri" w:eastAsia="Calibri" w:hAnsi="Calibri"/>
        <w:sz w:val="16"/>
        <w:szCs w:val="16"/>
      </w:rPr>
      <w:t xml:space="preserve">	</w:t>
    </w:r>
    <w:r>
      <w:rPr>
        <w:rFonts w:ascii="Calibri" w:cs="Calibri" w:eastAsia="Calibri" w:hAnsi="Calibri"/>
        <w:color w:val="7A8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0" w:sz="4" w:space="6"/>
      </w:pBdr>
      <w:spacing w:before="0" w:after="0"/>
    </w:pPr>
    <w:r>
      <w:rPr>
        <w:rFonts w:ascii="Calibri" w:cs="Calibri" w:eastAsia="Calibri" w:hAnsi="Calibri"/>
        <w:smallCaps/>
        <w:color w:val="7A8A99"/>
        <w:sz w:val="16"/>
        <w:szCs w:val="16"/>
      </w:rPr>
      <w:t xml:space="preserve">HIGGINS UNITY FRAMEWORK</w:t>
    </w:r>
    <w:r>
      <w:rPr>
        <w:rFonts w:ascii="Calibri" w:cs="Calibri" w:eastAsia="Calibri" w:hAnsi="Calibri"/>
        <w:color w:val="7A8A99"/>
        <w:sz w:val="16"/>
        <w:szCs w:val="16"/>
      </w:rPr>
      <w:t xml:space="preserve">   ·   HUF v1.2.0   ·   Complete Reference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sz w:val="34"/>
      <w:szCs w:val="34"/>
    </w:rPr>
  </w:style>
  <w:style w:type="paragraph" w:styleId="Heading2">
    <w:name w:val="Heading 2"/>
    <w:basedOn w:val="Normal"/>
    <w:next w:val="Normal"/>
    <w:qFormat/>
    <w:pPr>
      <w:spacing w:before="320" w:after="100"/>
      <w:outlineLvl w:val="1"/>
    </w:pPr>
    <w:rPr>
      <w:rFonts w:ascii="Calibri" w:cs="Calibri" w:eastAsia="Calibri" w:hAnsi="Calibri"/>
      <w:b/>
      <w:bCs/>
      <w:sz w:val="28"/>
      <w:szCs w:val="28"/>
    </w:rPr>
  </w:style>
  <w:style w:type="paragraph" w:styleId="Heading3">
    <w:name w:val="Heading 3"/>
    <w:basedOn w:val="Normal"/>
    <w:next w:val="Normal"/>
    <w:qFormat/>
    <w:pPr>
      <w:spacing w:before="200" w:after="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2026-02-28T18:45:04.497Z</dcterms:created>
  <dcterms:modified xsi:type="dcterms:W3CDTF">2026-02-28T18:45:04.498Z</dcterms:modified>
</cp:coreProperties>
</file>

<file path=docProps/custom.xml><?xml version="1.0" encoding="utf-8"?>
<Properties xmlns="http://schemas.openxmlformats.org/officeDocument/2006/custom-properties" xmlns:vt="http://schemas.openxmlformats.org/officeDocument/2006/docPropsVTypes"/>
</file>