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center"/>
      </w:pPr>
      <w:r>
        <w:rPr>
          <w:rFonts w:ascii="Arial" w:hAnsi="Arial"/>
          <w:b/>
          <w:i w:val="0"/>
          <w:color w:val="1B6C76"/>
          <w:sz w:val="20"/>
        </w:rPr>
        <w:t>HUF PROJECT</w:t>
      </w:r>
    </w:p>
    <w:p>
      <w:pPr>
        <w:spacing w:before="0" w:after="120"/>
        <w:jc w:val="center"/>
      </w:pPr>
      <w:r>
        <w:rPr>
          <w:rFonts w:ascii="Arial" w:hAnsi="Arial"/>
          <w:b/>
          <w:i w:val="0"/>
          <w:color w:val="1A2A4A"/>
          <w:sz w:val="52"/>
        </w:rPr>
        <w:t>Cross-File Pattern Analysis</w:t>
      </w:r>
    </w:p>
    <w:p>
      <w:pPr>
        <w:jc w:val="center"/>
      </w:pPr>
      <w:r>
        <w:rPr>
          <w:rFonts w:ascii="Arial" w:hAnsi="Arial"/>
          <w:b w:val="0"/>
          <w:i/>
          <w:color w:val="444455"/>
          <w:sz w:val="24"/>
        </w:rPr>
        <w:t>Themes · Evolution · Tensions · Action Items</w:t>
      </w:r>
    </w:p>
    <w:p>
      <w:pPr>
        <w:spacing w:before="400" w:after="0"/>
      </w:pPr>
    </w:p>
    <w:p>
      <w:pPr>
        <w:jc w:val="center"/>
      </w:pPr>
      <w:r>
        <w:rPr>
          <w:rFonts w:ascii="Arial" w:hAnsi="Arial"/>
          <w:b w:val="0"/>
          <w:i w:val="0"/>
          <w:color w:val="888899"/>
          <w:sz w:val="22"/>
        </w:rPr>
        <w:t>─────────────────────────────────────────</w:t>
      </w:r>
    </w:p>
    <w:p>
      <w:pPr>
        <w:spacing w:before="200" w:after="0"/>
      </w:pPr>
    </w:p>
    <w:p>
      <w:pPr>
        <w:jc w:val="center"/>
      </w:pPr>
      <w:r>
        <w:rPr>
          <w:rFonts w:ascii="Arial" w:hAnsi="Arial"/>
          <w:b w:val="0"/>
          <w:i w:val="0"/>
          <w:color w:val="444455"/>
          <w:sz w:val="22"/>
        </w:rPr>
        <w:t>Peter Higgins  ·  Rogue Wave Audio  ·  Markham, Ontario</w:t>
      </w:r>
    </w:p>
    <w:p>
      <w:pPr>
        <w:jc w:val="center"/>
      </w:pPr>
      <w:r>
        <w:rPr>
          <w:rFonts w:ascii="Arial" w:hAnsi="Arial"/>
          <w:b w:val="0"/>
          <w:i w:val="0"/>
          <w:color w:val="888899"/>
          <w:sz w:val="20"/>
        </w:rPr>
        <w:t>Analysis prepared: March 2026</w:t>
      </w:r>
    </w:p>
    <w:p>
      <w:pPr>
        <w:spacing w:before="600" w:after="0"/>
      </w:pPr>
    </w:p>
    <w:p>
      <w:pPr>
        <w:spacing w:before="80" w:after="80"/>
        <w:ind w:left="2160" w:right="2160"/>
        <w:shd w:val="clear" w:color="auto" w:fill="E8F4F8"/>
        <w:jc w:val="center"/>
      </w:pPr>
      <w:r>
        <w:rPr>
          <w:rFonts w:ascii="Arial" w:hAnsi="Arial"/>
          <w:b/>
          <w:i w:val="0"/>
          <w:color w:val="1B6C76"/>
          <w:sz w:val="20"/>
        </w:rPr>
        <w:t>25 files  ·  3 days (Feb 26–28, 2026)  ·  14 .docx · 4 .md · 2 .jsx · 1 .py · 1 .xlsx  ·  1 project</w:t>
      </w:r>
    </w:p>
    <w:p>
      <w:r>
        <w:br w:type="page"/>
      </w:r>
    </w:p>
    <w:p>
      <w:pPr>
        <w:keepNext/>
        <w:pBdr>
          <w:bottom w:val="single" w:sz="6" w:space="4" w:color="1B6C76"/>
        </w:pBdr>
        <w:spacing w:before="360" w:after="120"/>
      </w:pPr>
      <w:r>
        <w:rPr>
          <w:rFonts w:ascii="Arial" w:hAnsi="Arial"/>
          <w:b/>
          <w:i w:val="0"/>
          <w:color w:val="1A2A4A"/>
          <w:sz w:val="32"/>
        </w:rPr>
        <w:t>1. File Inventory</w:t>
      </w:r>
    </w:p>
    <w:p>
      <w:pPr>
        <w:spacing w:before="40" w:after="120"/>
      </w:pPr>
      <w:r>
        <w:rPr>
          <w:rFonts w:ascii="Arial" w:hAnsi="Arial"/>
          <w:b w:val="0"/>
          <w:i w:val="0"/>
          <w:color w:val="000000"/>
          <w:sz w:val="21"/>
        </w:rPr>
        <w:t>All 25 files span a 72-hour intensive work period from February 26 to 28, 2026. Every file relates to a single project: the Higgins Unity Framework (HUF). The inventory is ordered chronologically.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2A4A"/>
          </w:tcPr>
          <w:p>
            <w:pPr>
              <w:jc w:val="left"/>
            </w:pPr>
            <w:r>
              <w:rPr>
                <w:b/>
                <w:color w:val="FFFFFF"/>
                <w:sz w:val="19"/>
              </w:rPr>
              <w:t>File</w:t>
            </w:r>
          </w:p>
        </w:tc>
        <w:tc>
          <w:tcPr>
            <w:tcW w:type="dxa" w:w="2340"/>
            <w:shd w:val="clear" w:color="auto" w:fill="1A2A4A"/>
          </w:tcPr>
          <w:p>
            <w:pPr>
              <w:jc w:val="left"/>
            </w:pPr>
            <w:r>
              <w:rPr>
                <w:b/>
                <w:color w:val="FFFFFF"/>
                <w:sz w:val="19"/>
              </w:rPr>
              <w:t>Date</w:t>
            </w:r>
          </w:p>
        </w:tc>
        <w:tc>
          <w:tcPr>
            <w:tcW w:type="dxa" w:w="2340"/>
            <w:shd w:val="clear" w:color="auto" w:fill="1A2A4A"/>
          </w:tcPr>
          <w:p>
            <w:pPr>
              <w:jc w:val="left"/>
            </w:pPr>
            <w:r>
              <w:rPr>
                <w:b/>
                <w:color w:val="FFFFFF"/>
                <w:sz w:val="19"/>
              </w:rPr>
              <w:t>Type</w:t>
            </w:r>
          </w:p>
        </w:tc>
        <w:tc>
          <w:tcPr>
            <w:tcW w:type="dxa" w:w="2340"/>
            <w:shd w:val="clear" w:color="auto" w:fill="1A2A4A"/>
          </w:tcPr>
          <w:p>
            <w:pPr>
              <w:jc w:val="left"/>
            </w:pPr>
            <w:r>
              <w:rPr>
                <w:b/>
                <w:color w:val="FFFFFF"/>
                <w:sz w:val="19"/>
              </w:rPr>
              <w:t>Role</w:t>
            </w:r>
          </w:p>
        </w:tc>
      </w:tr>
      <w:tr>
        <w:tc>
          <w:tcPr>
            <w:tcW w:type="dxa" w:w="2340"/>
            <w:shd w:val="clear" w:color="auto" w:fill="F4F6FA"/>
          </w:tcPr>
          <w:p>
            <w:r>
              <w:rPr>
                <w:sz w:val="19"/>
              </w:rPr>
              <w:t>huf_diagnostic.jsx</w:t>
            </w:r>
          </w:p>
        </w:tc>
        <w:tc>
          <w:tcPr>
            <w:tcW w:type="dxa" w:w="2340"/>
            <w:shd w:val="clear" w:color="auto" w:fill="F4F6FA"/>
          </w:tcPr>
          <w:p>
            <w:r>
              <w:rPr>
                <w:sz w:val="19"/>
              </w:rPr>
              <w:t>Feb 26 12:49</w:t>
            </w:r>
          </w:p>
        </w:tc>
        <w:tc>
          <w:tcPr>
            <w:tcW w:type="dxa" w:w="2340"/>
            <w:shd w:val="clear" w:color="auto" w:fill="F4F6FA"/>
          </w:tcPr>
          <w:p>
            <w:r>
              <w:rPr>
                <w:sz w:val="19"/>
              </w:rPr>
              <w:t>.jsx</w:t>
            </w:r>
          </w:p>
        </w:tc>
        <w:tc>
          <w:tcPr>
            <w:tcW w:type="dxa" w:w="2340"/>
            <w:shd w:val="clear" w:color="auto" w:fill="F4F6FA"/>
          </w:tcPr>
          <w:p>
            <w:r>
              <w:rPr>
                <w:sz w:val="19"/>
              </w:rPr>
              <w:t>Interactive 8-test compliance diagnostic (React UI)</w:t>
            </w:r>
          </w:p>
        </w:tc>
      </w:tr>
      <w:tr>
        <w:tc>
          <w:tcPr>
            <w:tcW w:type="dxa" w:w="2340"/>
            <w:shd w:val="clear" w:color="auto" w:fill="FFFFFF"/>
          </w:tcPr>
          <w:p>
            <w:r>
              <w:rPr>
                <w:sz w:val="19"/>
              </w:rPr>
              <w:t>HUF_Handbook_v1.2.0.docx</w:t>
            </w:r>
          </w:p>
        </w:tc>
        <w:tc>
          <w:tcPr>
            <w:tcW w:type="dxa" w:w="2340"/>
            <w:shd w:val="clear" w:color="auto" w:fill="FFFFFF"/>
          </w:tcPr>
          <w:p>
            <w:r>
              <w:rPr>
                <w:sz w:val="19"/>
              </w:rPr>
              <w:t>Feb 26 13:01</w:t>
            </w:r>
          </w:p>
        </w:tc>
        <w:tc>
          <w:tcPr>
            <w:tcW w:type="dxa" w:w="2340"/>
            <w:shd w:val="clear" w:color="auto" w:fill="FFFFFF"/>
          </w:tcPr>
          <w:p>
            <w:r>
              <w:rPr>
                <w:sz w:val="19"/>
              </w:rPr>
              <w:t>.docx</w:t>
            </w:r>
          </w:p>
        </w:tc>
        <w:tc>
          <w:tcPr>
            <w:tcW w:type="dxa" w:w="2340"/>
            <w:shd w:val="clear" w:color="auto" w:fill="FFFFFF"/>
          </w:tcPr>
          <w:p>
            <w:r>
              <w:rPr>
                <w:sz w:val="19"/>
              </w:rPr>
              <w:t>Core comprehensive handbook — 12 chapters, 3 appendices</w:t>
            </w:r>
          </w:p>
        </w:tc>
      </w:tr>
      <w:tr>
        <w:tc>
          <w:tcPr>
            <w:tcW w:type="dxa" w:w="2340"/>
            <w:shd w:val="clear" w:color="auto" w:fill="F4F6FA"/>
          </w:tcPr>
          <w:p>
            <w:r>
              <w:rPr>
                <w:sz w:val="19"/>
              </w:rPr>
              <w:t>HUF_Mathematics_v0.1.0_DRAFT.docx</w:t>
            </w:r>
          </w:p>
        </w:tc>
        <w:tc>
          <w:tcPr>
            <w:tcW w:type="dxa" w:w="2340"/>
            <w:shd w:val="clear" w:color="auto" w:fill="F4F6FA"/>
          </w:tcPr>
          <w:p>
            <w:r>
              <w:rPr>
                <w:sz w:val="19"/>
              </w:rPr>
              <w:t>Feb 26 14:04</w:t>
            </w:r>
          </w:p>
        </w:tc>
        <w:tc>
          <w:tcPr>
            <w:tcW w:type="dxa" w:w="2340"/>
            <w:shd w:val="clear" w:color="auto" w:fill="F4F6FA"/>
          </w:tcPr>
          <w:p>
            <w:r>
              <w:rPr>
                <w:sz w:val="19"/>
              </w:rPr>
              <w:t>.docx</w:t>
            </w:r>
          </w:p>
        </w:tc>
        <w:tc>
          <w:tcPr>
            <w:tcW w:type="dxa" w:w="2340"/>
            <w:shd w:val="clear" w:color="auto" w:fill="F4F6FA"/>
          </w:tcPr>
          <w:p>
            <w:r>
              <w:rPr>
                <w:sz w:val="19"/>
              </w:rPr>
              <w:t>Accessible math intro — fractions → unity constraint</w:t>
            </w:r>
          </w:p>
        </w:tc>
      </w:tr>
      <w:tr>
        <w:tc>
          <w:tcPr>
            <w:tcW w:type="dxa" w:w="2340"/>
            <w:shd w:val="clear" w:color="auto" w:fill="FFFFFF"/>
          </w:tcPr>
          <w:p>
            <w:r>
              <w:rPr>
                <w:sz w:val="19"/>
              </w:rPr>
              <w:t>huf_todo.jsx</w:t>
            </w:r>
          </w:p>
        </w:tc>
        <w:tc>
          <w:tcPr>
            <w:tcW w:type="dxa" w:w="2340"/>
            <w:shd w:val="clear" w:color="auto" w:fill="FFFFFF"/>
          </w:tcPr>
          <w:p>
            <w:r>
              <w:rPr>
                <w:sz w:val="19"/>
              </w:rPr>
              <w:t>Feb 26 14:04</w:t>
            </w:r>
          </w:p>
        </w:tc>
        <w:tc>
          <w:tcPr>
            <w:tcW w:type="dxa" w:w="2340"/>
            <w:shd w:val="clear" w:color="auto" w:fill="FFFFFF"/>
          </w:tcPr>
          <w:p>
            <w:r>
              <w:rPr>
                <w:sz w:val="19"/>
              </w:rPr>
              <w:t>.jsx</w:t>
            </w:r>
          </w:p>
        </w:tc>
        <w:tc>
          <w:tcPr>
            <w:tcW w:type="dxa" w:w="2340"/>
            <w:shd w:val="clear" w:color="auto" w:fill="FFFFFF"/>
          </w:tcPr>
          <w:p>
            <w:r>
              <w:rPr>
                <w:sz w:val="19"/>
              </w:rPr>
              <w:t>Project task tracker with categories (React UI)</w:t>
            </w:r>
          </w:p>
        </w:tc>
      </w:tr>
      <w:tr>
        <w:tc>
          <w:tcPr>
            <w:tcW w:type="dxa" w:w="2340"/>
            <w:shd w:val="clear" w:color="auto" w:fill="F4F6FA"/>
          </w:tcPr>
          <w:p>
            <w:r>
              <w:rPr>
                <w:sz w:val="19"/>
              </w:rPr>
              <w:t>Book1.xlsx</w:t>
            </w:r>
          </w:p>
        </w:tc>
        <w:tc>
          <w:tcPr>
            <w:tcW w:type="dxa" w:w="2340"/>
            <w:shd w:val="clear" w:color="auto" w:fill="F4F6FA"/>
          </w:tcPr>
          <w:p>
            <w:r>
              <w:rPr>
                <w:sz w:val="19"/>
              </w:rPr>
              <w:t>Feb 26 14:33</w:t>
            </w:r>
          </w:p>
        </w:tc>
        <w:tc>
          <w:tcPr>
            <w:tcW w:type="dxa" w:w="2340"/>
            <w:shd w:val="clear" w:color="auto" w:fill="F4F6FA"/>
          </w:tcPr>
          <w:p>
            <w:r>
              <w:rPr>
                <w:sz w:val="19"/>
              </w:rPr>
              <w:t>.xlsx</w:t>
            </w:r>
          </w:p>
        </w:tc>
        <w:tc>
          <w:tcPr>
            <w:tcW w:type="dxa" w:w="2340"/>
            <w:shd w:val="clear" w:color="auto" w:fill="F4F6FA"/>
          </w:tcPr>
          <w:p>
            <w:r>
              <w:rPr>
                <w:sz w:val="19"/>
              </w:rPr>
              <w:t>Data for cross-domain comparison (Gemini case study)</w:t>
            </w:r>
          </w:p>
        </w:tc>
      </w:tr>
      <w:tr>
        <w:tc>
          <w:tcPr>
            <w:tcW w:type="dxa" w:w="2340"/>
            <w:shd w:val="clear" w:color="auto" w:fill="FFFFFF"/>
          </w:tcPr>
          <w:p>
            <w:r>
              <w:rPr>
                <w:sz w:val="19"/>
              </w:rPr>
              <w:t>HUF_Appendix_D_Case_Study_D1_Exhibit_A_v2.docx</w:t>
            </w:r>
          </w:p>
        </w:tc>
        <w:tc>
          <w:tcPr>
            <w:tcW w:type="dxa" w:w="2340"/>
            <w:shd w:val="clear" w:color="auto" w:fill="FFFFFF"/>
          </w:tcPr>
          <w:p>
            <w:r>
              <w:rPr>
                <w:sz w:val="19"/>
              </w:rPr>
              <w:t>Feb 26 20:23</w:t>
            </w:r>
          </w:p>
        </w:tc>
        <w:tc>
          <w:tcPr>
            <w:tcW w:type="dxa" w:w="2340"/>
            <w:shd w:val="clear" w:color="auto" w:fill="FFFFFF"/>
          </w:tcPr>
          <w:p>
            <w:r>
              <w:rPr>
                <w:sz w:val="19"/>
              </w:rPr>
              <w:t>.docx</w:t>
            </w:r>
          </w:p>
        </w:tc>
        <w:tc>
          <w:tcPr>
            <w:tcW w:type="dxa" w:w="2340"/>
            <w:shd w:val="clear" w:color="auto" w:fill="FFFFFF"/>
          </w:tcPr>
          <w:p>
            <w:r>
              <w:rPr>
                <w:sz w:val="19"/>
              </w:rPr>
              <w:t>Cross-domain: sourdough vs. Croatia Ramsar</w:t>
            </w:r>
          </w:p>
        </w:tc>
      </w:tr>
      <w:tr>
        <w:tc>
          <w:tcPr>
            <w:tcW w:type="dxa" w:w="2340"/>
            <w:shd w:val="clear" w:color="auto" w:fill="F4F6FA"/>
          </w:tcPr>
          <w:p>
            <w:r>
              <w:rPr>
                <w:sz w:val="19"/>
              </w:rPr>
              <w:t>huf_mathematical_foundations.docx</w:t>
            </w:r>
          </w:p>
        </w:tc>
        <w:tc>
          <w:tcPr>
            <w:tcW w:type="dxa" w:w="2340"/>
            <w:shd w:val="clear" w:color="auto" w:fill="F4F6FA"/>
          </w:tcPr>
          <w:p>
            <w:r>
              <w:rPr>
                <w:sz w:val="19"/>
              </w:rPr>
              <w:t>Feb 26 21:32</w:t>
            </w:r>
          </w:p>
        </w:tc>
        <w:tc>
          <w:tcPr>
            <w:tcW w:type="dxa" w:w="2340"/>
            <w:shd w:val="clear" w:color="auto" w:fill="F4F6FA"/>
          </w:tcPr>
          <w:p>
            <w:r>
              <w:rPr>
                <w:sz w:val="19"/>
              </w:rPr>
              <w:t>.docx</w:t>
            </w:r>
          </w:p>
        </w:tc>
        <w:tc>
          <w:tcPr>
            <w:tcW w:type="dxa" w:w="2340"/>
            <w:shd w:val="clear" w:color="auto" w:fill="F4F6FA"/>
          </w:tcPr>
          <w:p>
            <w:r>
              <w:rPr>
                <w:sz w:val="19"/>
              </w:rPr>
              <w:t>Full formal math: proofs, VARIMA, Ostrom-HUF, entropy</w:t>
            </w:r>
          </w:p>
        </w:tc>
      </w:tr>
      <w:tr>
        <w:tc>
          <w:tcPr>
            <w:tcW w:type="dxa" w:w="2340"/>
            <w:shd w:val="clear" w:color="auto" w:fill="FFFFFF"/>
          </w:tcPr>
          <w:p>
            <w:r>
              <w:rPr>
                <w:sz w:val="19"/>
              </w:rPr>
              <w:t>huf_governance_state_observer.docx</w:t>
            </w:r>
          </w:p>
        </w:tc>
        <w:tc>
          <w:tcPr>
            <w:tcW w:type="dxa" w:w="2340"/>
            <w:shd w:val="clear" w:color="auto" w:fill="FFFFFF"/>
          </w:tcPr>
          <w:p>
            <w:r>
              <w:rPr>
                <w:sz w:val="19"/>
              </w:rPr>
              <w:t>Feb 26 22:11</w:t>
            </w:r>
          </w:p>
        </w:tc>
        <w:tc>
          <w:tcPr>
            <w:tcW w:type="dxa" w:w="2340"/>
            <w:shd w:val="clear" w:color="auto" w:fill="FFFFFF"/>
          </w:tcPr>
          <w:p>
            <w:r>
              <w:rPr>
                <w:sz w:val="19"/>
              </w:rPr>
              <w:t>.docx</w:t>
            </w:r>
          </w:p>
        </w:tc>
        <w:tc>
          <w:tcPr>
            <w:tcW w:type="dxa" w:w="2340"/>
            <w:shd w:val="clear" w:color="auto" w:fill="FFFFFF"/>
          </w:tcPr>
          <w:p>
            <w:r>
              <w:rPr>
                <w:sz w:val="19"/>
              </w:rPr>
              <w:t>Journal paper draft: HUF as 4th monitoring category</w:t>
            </w:r>
          </w:p>
        </w:tc>
      </w:tr>
      <w:tr>
        <w:tc>
          <w:tcPr>
            <w:tcW w:type="dxa" w:w="2340"/>
            <w:shd w:val="clear" w:color="auto" w:fill="F4F6FA"/>
          </w:tcPr>
          <w:p>
            <w:r>
              <w:rPr>
                <w:sz w:val="19"/>
              </w:rPr>
              <w:t>HUF_Advanced_Mathematics_Handbook_v0.2.0_DRAFT.docx</w:t>
            </w:r>
          </w:p>
        </w:tc>
        <w:tc>
          <w:tcPr>
            <w:tcW w:type="dxa" w:w="2340"/>
            <w:shd w:val="clear" w:color="auto" w:fill="F4F6FA"/>
          </w:tcPr>
          <w:p>
            <w:r>
              <w:rPr>
                <w:sz w:val="19"/>
              </w:rPr>
              <w:t>Feb 26 22:06</w:t>
            </w:r>
          </w:p>
        </w:tc>
        <w:tc>
          <w:tcPr>
            <w:tcW w:type="dxa" w:w="2340"/>
            <w:shd w:val="clear" w:color="auto" w:fill="F4F6FA"/>
          </w:tcPr>
          <w:p>
            <w:r>
              <w:rPr>
                <w:sz w:val="19"/>
              </w:rPr>
              <w:t>.docx</w:t>
            </w:r>
          </w:p>
        </w:tc>
        <w:tc>
          <w:tcPr>
            <w:tcW w:type="dxa" w:w="2340"/>
            <w:shd w:val="clear" w:color="auto" w:fill="F4F6FA"/>
          </w:tcPr>
          <w:p>
            <w:r>
              <w:rPr>
                <w:sz w:val="19"/>
              </w:rPr>
              <w:t>Advanced math: Gini, Theil, state observers</w:t>
            </w:r>
          </w:p>
        </w:tc>
      </w:tr>
      <w:tr>
        <w:tc>
          <w:tcPr>
            <w:tcW w:type="dxa" w:w="2340"/>
            <w:shd w:val="clear" w:color="auto" w:fill="FFFFFF"/>
          </w:tcPr>
          <w:p>
            <w:r>
              <w:rPr>
                <w:sz w:val="19"/>
              </w:rPr>
              <w:t>HUF_Advanced_Mathematics_Handbook_v0.2.0_DRAFT.md</w:t>
            </w:r>
          </w:p>
        </w:tc>
        <w:tc>
          <w:tcPr>
            <w:tcW w:type="dxa" w:w="2340"/>
            <w:shd w:val="clear" w:color="auto" w:fill="FFFFFF"/>
          </w:tcPr>
          <w:p>
            <w:r>
              <w:rPr>
                <w:sz w:val="19"/>
              </w:rPr>
              <w:t>Feb 26 22:06</w:t>
            </w:r>
          </w:p>
        </w:tc>
        <w:tc>
          <w:tcPr>
            <w:tcW w:type="dxa" w:w="2340"/>
            <w:shd w:val="clear" w:color="auto" w:fill="FFFFFF"/>
          </w:tcPr>
          <w:p>
            <w:r>
              <w:rPr>
                <w:sz w:val="19"/>
              </w:rPr>
              <w:t>.md</w:t>
            </w:r>
          </w:p>
        </w:tc>
        <w:tc>
          <w:tcPr>
            <w:tcW w:type="dxa" w:w="2340"/>
            <w:shd w:val="clear" w:color="auto" w:fill="FFFFFF"/>
          </w:tcPr>
          <w:p>
            <w:r>
              <w:rPr>
                <w:sz w:val="19"/>
              </w:rPr>
              <w:t>Markdown mirror of advanced math handbook</w:t>
            </w:r>
          </w:p>
        </w:tc>
      </w:tr>
      <w:tr>
        <w:tc>
          <w:tcPr>
            <w:tcW w:type="dxa" w:w="2340"/>
            <w:shd w:val="clear" w:color="auto" w:fill="F4F6FA"/>
          </w:tcPr>
          <w:p>
            <w:r>
              <w:rPr>
                <w:sz w:val="19"/>
              </w:rPr>
              <w:t>wiki_fourth_monitoring_category_expanded.md</w:t>
            </w:r>
          </w:p>
        </w:tc>
        <w:tc>
          <w:tcPr>
            <w:tcW w:type="dxa" w:w="2340"/>
            <w:shd w:val="clear" w:color="auto" w:fill="F4F6FA"/>
          </w:tcPr>
          <w:p>
            <w:r>
              <w:rPr>
                <w:sz w:val="19"/>
              </w:rPr>
              <w:t>Feb 26 22:44</w:t>
            </w:r>
          </w:p>
        </w:tc>
        <w:tc>
          <w:tcPr>
            <w:tcW w:type="dxa" w:w="2340"/>
            <w:shd w:val="clear" w:color="auto" w:fill="F4F6FA"/>
          </w:tcPr>
          <w:p>
            <w:r>
              <w:rPr>
                <w:sz w:val="19"/>
              </w:rPr>
              <w:t>.md</w:t>
            </w:r>
          </w:p>
        </w:tc>
        <w:tc>
          <w:tcPr>
            <w:tcW w:type="dxa" w:w="2340"/>
            <w:shd w:val="clear" w:color="auto" w:fill="F4F6FA"/>
          </w:tcPr>
          <w:p>
            <w:r>
              <w:rPr>
                <w:sz w:val="19"/>
              </w:rPr>
              <w:t>Deep epistemological treatment of MC-4</w:t>
            </w:r>
          </w:p>
        </w:tc>
      </w:tr>
      <w:tr>
        <w:tc>
          <w:tcPr>
            <w:tcW w:type="dxa" w:w="2340"/>
            <w:shd w:val="clear" w:color="auto" w:fill="FFFFFF"/>
          </w:tcPr>
          <w:p>
            <w:r>
              <w:rPr>
                <w:sz w:val="19"/>
              </w:rPr>
              <w:t>huf_math_foundations_v2_1.docx</w:t>
            </w:r>
          </w:p>
        </w:tc>
        <w:tc>
          <w:tcPr>
            <w:tcW w:type="dxa" w:w="2340"/>
            <w:shd w:val="clear" w:color="auto" w:fill="FFFFFF"/>
          </w:tcPr>
          <w:p>
            <w:r>
              <w:rPr>
                <w:sz w:val="19"/>
              </w:rPr>
              <w:t>Feb 27 02:20</w:t>
            </w:r>
          </w:p>
        </w:tc>
        <w:tc>
          <w:tcPr>
            <w:tcW w:type="dxa" w:w="2340"/>
            <w:shd w:val="clear" w:color="auto" w:fill="FFFFFF"/>
          </w:tcPr>
          <w:p>
            <w:r>
              <w:rPr>
                <w:sz w:val="19"/>
              </w:rPr>
              <w:t>.docx</w:t>
            </w:r>
          </w:p>
        </w:tc>
        <w:tc>
          <w:tcPr>
            <w:tcW w:type="dxa" w:w="2340"/>
            <w:shd w:val="clear" w:color="auto" w:fill="FFFFFF"/>
          </w:tcPr>
          <w:p>
            <w:r>
              <w:rPr>
                <w:sz w:val="19"/>
              </w:rPr>
              <w:t>Math v2.1: Q factor derivation, Grok verdicts, Ostrom chain</w:t>
            </w:r>
          </w:p>
        </w:tc>
      </w:tr>
      <w:tr>
        <w:tc>
          <w:tcPr>
            <w:tcW w:type="dxa" w:w="2340"/>
            <w:shd w:val="clear" w:color="auto" w:fill="F4F6FA"/>
          </w:tcPr>
          <w:p>
            <w:r>
              <w:rPr>
                <w:sz w:val="19"/>
              </w:rPr>
              <w:t>appendix_d1_inserts_v3.docx</w:t>
            </w:r>
          </w:p>
        </w:tc>
        <w:tc>
          <w:tcPr>
            <w:tcW w:type="dxa" w:w="2340"/>
            <w:shd w:val="clear" w:color="auto" w:fill="F4F6FA"/>
          </w:tcPr>
          <w:p>
            <w:r>
              <w:rPr>
                <w:sz w:val="19"/>
              </w:rPr>
              <w:t>Feb 27 02:41</w:t>
            </w:r>
          </w:p>
        </w:tc>
        <w:tc>
          <w:tcPr>
            <w:tcW w:type="dxa" w:w="2340"/>
            <w:shd w:val="clear" w:color="auto" w:fill="F4F6FA"/>
          </w:tcPr>
          <w:p>
            <w:r>
              <w:rPr>
                <w:sz w:val="19"/>
              </w:rPr>
              <w:t>.docx</w:t>
            </w:r>
          </w:p>
        </w:tc>
        <w:tc>
          <w:tcPr>
            <w:tcW w:type="dxa" w:w="2340"/>
            <w:shd w:val="clear" w:color="auto" w:fill="F4F6FA"/>
          </w:tcPr>
          <w:p>
            <w:r>
              <w:rPr>
                <w:sz w:val="19"/>
              </w:rPr>
              <w:t>Insert blocks for Exhibit A (leverage note, MDG definition)</w:t>
            </w:r>
          </w:p>
        </w:tc>
      </w:tr>
      <w:tr>
        <w:tc>
          <w:tcPr>
            <w:tcW w:type="dxa" w:w="2340"/>
            <w:shd w:val="clear" w:color="auto" w:fill="FFFFFF"/>
          </w:tcPr>
          <w:p>
            <w:r>
              <w:rPr>
                <w:sz w:val="19"/>
              </w:rPr>
              <w:t>ramsar_contact_primer_v12.docx</w:t>
            </w:r>
          </w:p>
        </w:tc>
        <w:tc>
          <w:tcPr>
            <w:tcW w:type="dxa" w:w="2340"/>
            <w:shd w:val="clear" w:color="auto" w:fill="FFFFFF"/>
          </w:tcPr>
          <w:p>
            <w:r>
              <w:rPr>
                <w:sz w:val="19"/>
              </w:rPr>
              <w:t>Feb 27 02:41</w:t>
            </w:r>
          </w:p>
        </w:tc>
        <w:tc>
          <w:tcPr>
            <w:tcW w:type="dxa" w:w="2340"/>
            <w:shd w:val="clear" w:color="auto" w:fill="FFFFFF"/>
          </w:tcPr>
          <w:p>
            <w:r>
              <w:rPr>
                <w:sz w:val="19"/>
              </w:rPr>
              <w:t>.docx</w:t>
            </w:r>
          </w:p>
        </w:tc>
        <w:tc>
          <w:tcPr>
            <w:tcW w:type="dxa" w:w="2340"/>
            <w:shd w:val="clear" w:color="auto" w:fill="FFFFFF"/>
          </w:tcPr>
          <w:p>
            <w:r>
              <w:rPr>
                <w:sz w:val="19"/>
              </w:rPr>
              <w:t>Policy briefing for Ramsar Secretariat (v12)</w:t>
            </w:r>
          </w:p>
        </w:tc>
      </w:tr>
      <w:tr>
        <w:tc>
          <w:tcPr>
            <w:tcW w:type="dxa" w:w="2340"/>
            <w:shd w:val="clear" w:color="auto" w:fill="F4F6FA"/>
          </w:tcPr>
          <w:p>
            <w:r>
              <w:rPr>
                <w:sz w:val="19"/>
              </w:rPr>
              <w:t>ramsar_huf_demo_v2.py</w:t>
            </w:r>
          </w:p>
        </w:tc>
        <w:tc>
          <w:tcPr>
            <w:tcW w:type="dxa" w:w="2340"/>
            <w:shd w:val="clear" w:color="auto" w:fill="F4F6FA"/>
          </w:tcPr>
          <w:p>
            <w:r>
              <w:rPr>
                <w:sz w:val="19"/>
              </w:rPr>
              <w:t>Feb 27 02:41</w:t>
            </w:r>
          </w:p>
        </w:tc>
        <w:tc>
          <w:tcPr>
            <w:tcW w:type="dxa" w:w="2340"/>
            <w:shd w:val="clear" w:color="auto" w:fill="F4F6FA"/>
          </w:tcPr>
          <w:p>
            <w:r>
              <w:rPr>
                <w:sz w:val="19"/>
              </w:rPr>
              <w:t>.py</w:t>
            </w:r>
          </w:p>
        </w:tc>
        <w:tc>
          <w:tcPr>
            <w:tcW w:type="dxa" w:w="2340"/>
            <w:shd w:val="clear" w:color="auto" w:fill="F4F6FA"/>
          </w:tcPr>
          <w:p>
            <w:r>
              <w:rPr>
                <w:sz w:val="19"/>
              </w:rPr>
              <w:t>Ramsar demo script: HUF → 4 Ramsar-compliant CSVs</w:t>
            </w:r>
          </w:p>
        </w:tc>
      </w:tr>
      <w:tr>
        <w:tc>
          <w:tcPr>
            <w:tcW w:type="dxa" w:w="2340"/>
            <w:shd w:val="clear" w:color="auto" w:fill="FFFFFF"/>
          </w:tcPr>
          <w:p>
            <w:r>
              <w:rPr>
                <w:sz w:val="19"/>
              </w:rPr>
              <w:t>HUF_Vol3_CaseStudyD2_ExhibitB_v1.docx</w:t>
            </w:r>
          </w:p>
        </w:tc>
        <w:tc>
          <w:tcPr>
            <w:tcW w:type="dxa" w:w="2340"/>
            <w:shd w:val="clear" w:color="auto" w:fill="FFFFFF"/>
          </w:tcPr>
          <w:p>
            <w:r>
              <w:rPr>
                <w:sz w:val="19"/>
              </w:rPr>
              <w:t>Feb 28 18:12</w:t>
            </w:r>
          </w:p>
        </w:tc>
        <w:tc>
          <w:tcPr>
            <w:tcW w:type="dxa" w:w="2340"/>
            <w:shd w:val="clear" w:color="auto" w:fill="FFFFFF"/>
          </w:tcPr>
          <w:p>
            <w:r>
              <w:rPr>
                <w:sz w:val="19"/>
              </w:rPr>
              <w:t>.docx</w:t>
            </w:r>
          </w:p>
        </w:tc>
        <w:tc>
          <w:tcPr>
            <w:tcW w:type="dxa" w:w="2340"/>
            <w:shd w:val="clear" w:color="auto" w:fill="FFFFFF"/>
          </w:tcPr>
          <w:p>
            <w:r>
              <w:rPr>
                <w:sz w:val="19"/>
              </w:rPr>
              <w:t>3-domain comparison: sourdough, Croatia, software pipeline</w:t>
            </w:r>
          </w:p>
        </w:tc>
      </w:tr>
      <w:tr>
        <w:tc>
          <w:tcPr>
            <w:tcW w:type="dxa" w:w="2340"/>
            <w:shd w:val="clear" w:color="auto" w:fill="F4F6FA"/>
          </w:tcPr>
          <w:p>
            <w:r>
              <w:rPr>
                <w:sz w:val="19"/>
              </w:rPr>
              <w:t>HUF_Operator_Decision_Log_v1_1.docx</w:t>
            </w:r>
          </w:p>
        </w:tc>
        <w:tc>
          <w:tcPr>
            <w:tcW w:type="dxa" w:w="2340"/>
            <w:shd w:val="clear" w:color="auto" w:fill="F4F6FA"/>
          </w:tcPr>
          <w:p>
            <w:r>
              <w:rPr>
                <w:sz w:val="19"/>
              </w:rPr>
              <w:t>Feb 28 18:16</w:t>
            </w:r>
          </w:p>
        </w:tc>
        <w:tc>
          <w:tcPr>
            <w:tcW w:type="dxa" w:w="2340"/>
            <w:shd w:val="clear" w:color="auto" w:fill="F4F6FA"/>
          </w:tcPr>
          <w:p>
            <w:r>
              <w:rPr>
                <w:sz w:val="19"/>
              </w:rPr>
              <w:t>.docx</w:t>
            </w:r>
          </w:p>
        </w:tc>
        <w:tc>
          <w:tcPr>
            <w:tcW w:type="dxa" w:w="2340"/>
            <w:shd w:val="clear" w:color="auto" w:fill="F4F6FA"/>
          </w:tcPr>
          <w:p>
            <w:r>
              <w:rPr>
                <w:sz w:val="19"/>
              </w:rPr>
              <w:t>Decision log v1.1 — resolved + pending items</w:t>
            </w:r>
          </w:p>
        </w:tc>
      </w:tr>
      <w:tr>
        <w:tc>
          <w:tcPr>
            <w:tcW w:type="dxa" w:w="2340"/>
            <w:shd w:val="clear" w:color="auto" w:fill="FFFFFF"/>
          </w:tcPr>
          <w:p>
            <w:r>
              <w:rPr>
                <w:sz w:val="19"/>
              </w:rPr>
              <w:t>HUF_Operator_Decision_Log_v1_2.docx</w:t>
            </w:r>
          </w:p>
        </w:tc>
        <w:tc>
          <w:tcPr>
            <w:tcW w:type="dxa" w:w="2340"/>
            <w:shd w:val="clear" w:color="auto" w:fill="FFFFFF"/>
          </w:tcPr>
          <w:p>
            <w:r>
              <w:rPr>
                <w:sz w:val="19"/>
              </w:rPr>
              <w:t>Feb 28 18:17</w:t>
            </w:r>
          </w:p>
        </w:tc>
        <w:tc>
          <w:tcPr>
            <w:tcW w:type="dxa" w:w="2340"/>
            <w:shd w:val="clear" w:color="auto" w:fill="FFFFFF"/>
          </w:tcPr>
          <w:p>
            <w:r>
              <w:rPr>
                <w:sz w:val="19"/>
              </w:rPr>
              <w:t>.docx</w:t>
            </w:r>
          </w:p>
        </w:tc>
        <w:tc>
          <w:tcPr>
            <w:tcW w:type="dxa" w:w="2340"/>
            <w:shd w:val="clear" w:color="auto" w:fill="FFFFFF"/>
          </w:tcPr>
          <w:p>
            <w:r>
              <w:rPr>
                <w:sz w:val="19"/>
              </w:rPr>
              <w:t>Decision log v1.2 — updated with D3–D5 closed</w:t>
            </w:r>
          </w:p>
        </w:tc>
      </w:tr>
      <w:tr>
        <w:tc>
          <w:tcPr>
            <w:tcW w:type="dxa" w:w="2340"/>
            <w:shd w:val="clear" w:color="auto" w:fill="F4F6FA"/>
          </w:tcPr>
          <w:p>
            <w:r>
              <w:rPr>
                <w:sz w:val="19"/>
              </w:rPr>
              <w:t>HUF_Vol3_CaseStudyD2_ExhibitB_framework.docx</w:t>
            </w:r>
          </w:p>
        </w:tc>
        <w:tc>
          <w:tcPr>
            <w:tcW w:type="dxa" w:w="2340"/>
            <w:shd w:val="clear" w:color="auto" w:fill="F4F6FA"/>
          </w:tcPr>
          <w:p>
            <w:r>
              <w:rPr>
                <w:sz w:val="19"/>
              </w:rPr>
              <w:t>Feb 28 18:17</w:t>
            </w:r>
          </w:p>
        </w:tc>
        <w:tc>
          <w:tcPr>
            <w:tcW w:type="dxa" w:w="2340"/>
            <w:shd w:val="clear" w:color="auto" w:fill="F4F6FA"/>
          </w:tcPr>
          <w:p>
            <w:r>
              <w:rPr>
                <w:sz w:val="19"/>
              </w:rPr>
              <w:t>.docx</w:t>
            </w:r>
          </w:p>
        </w:tc>
        <w:tc>
          <w:tcPr>
            <w:tcW w:type="dxa" w:w="2340"/>
            <w:shd w:val="clear" w:color="auto" w:fill="F4F6FA"/>
          </w:tcPr>
          <w:p>
            <w:r>
              <w:rPr>
                <w:sz w:val="19"/>
              </w:rPr>
              <w:t>Framework for D2 — System C data entry pending</w:t>
            </w:r>
          </w:p>
        </w:tc>
      </w:tr>
      <w:tr>
        <w:tc>
          <w:tcPr>
            <w:tcW w:type="dxa" w:w="2340"/>
            <w:shd w:val="clear" w:color="auto" w:fill="FFFFFF"/>
          </w:tcPr>
          <w:p>
            <w:r>
              <w:rPr>
                <w:sz w:val="19"/>
              </w:rPr>
              <w:t>wiki_huf_taxonomy_complete.md</w:t>
            </w:r>
          </w:p>
        </w:tc>
        <w:tc>
          <w:tcPr>
            <w:tcW w:type="dxa" w:w="2340"/>
            <w:shd w:val="clear" w:color="auto" w:fill="FFFFFF"/>
          </w:tcPr>
          <w:p>
            <w:r>
              <w:rPr>
                <w:sz w:val="19"/>
              </w:rPr>
              <w:t>Feb 28 18:32</w:t>
            </w:r>
          </w:p>
        </w:tc>
        <w:tc>
          <w:tcPr>
            <w:tcW w:type="dxa" w:w="2340"/>
            <w:shd w:val="clear" w:color="auto" w:fill="FFFFFF"/>
          </w:tcPr>
          <w:p>
            <w:r>
              <w:rPr>
                <w:sz w:val="19"/>
              </w:rPr>
              <w:t>.md</w:t>
            </w:r>
          </w:p>
        </w:tc>
        <w:tc>
          <w:tcPr>
            <w:tcW w:type="dxa" w:w="2340"/>
            <w:shd w:val="clear" w:color="auto" w:fill="FFFFFF"/>
          </w:tcPr>
          <w:p>
            <w:r>
              <w:rPr>
                <w:sz w:val="19"/>
              </w:rPr>
              <w:t>Complete taxonomy: 8 layers, all terms and thresholds</w:t>
            </w:r>
          </w:p>
        </w:tc>
      </w:tr>
      <w:tr>
        <w:tc>
          <w:tcPr>
            <w:tcW w:type="dxa" w:w="2340"/>
            <w:shd w:val="clear" w:color="auto" w:fill="F4F6FA"/>
          </w:tcPr>
          <w:p>
            <w:r>
              <w:rPr>
                <w:sz w:val="19"/>
              </w:rPr>
              <w:t>wiki_manufacturing_electronics_assembly.md</w:t>
            </w:r>
          </w:p>
        </w:tc>
        <w:tc>
          <w:tcPr>
            <w:tcW w:type="dxa" w:w="2340"/>
            <w:shd w:val="clear" w:color="auto" w:fill="F4F6FA"/>
          </w:tcPr>
          <w:p>
            <w:r>
              <w:rPr>
                <w:sz w:val="19"/>
              </w:rPr>
              <w:t>Feb 28 18:32</w:t>
            </w:r>
          </w:p>
        </w:tc>
        <w:tc>
          <w:tcPr>
            <w:tcW w:type="dxa" w:w="2340"/>
            <w:shd w:val="clear" w:color="auto" w:fill="F4F6FA"/>
          </w:tcPr>
          <w:p>
            <w:r>
              <w:rPr>
                <w:sz w:val="19"/>
              </w:rPr>
              <w:t>.md</w:t>
            </w:r>
          </w:p>
        </w:tc>
        <w:tc>
          <w:tcPr>
            <w:tcW w:type="dxa" w:w="2340"/>
            <w:shd w:val="clear" w:color="auto" w:fill="F4F6FA"/>
          </w:tcPr>
          <w:p>
            <w:r>
              <w:rPr>
                <w:sz w:val="19"/>
              </w:rPr>
              <w:t>Manufacturing domain: Fuji / Nordson Dage application</w:t>
            </w:r>
          </w:p>
        </w:tc>
      </w:tr>
      <w:tr>
        <w:tc>
          <w:tcPr>
            <w:tcW w:type="dxa" w:w="2340"/>
            <w:shd w:val="clear" w:color="auto" w:fill="FFFFFF"/>
          </w:tcPr>
          <w:p>
            <w:r>
              <w:rPr>
                <w:sz w:val="19"/>
              </w:rPr>
              <w:t>wiki_operator_entry_points.md</w:t>
            </w:r>
          </w:p>
        </w:tc>
        <w:tc>
          <w:tcPr>
            <w:tcW w:type="dxa" w:w="2340"/>
            <w:shd w:val="clear" w:color="auto" w:fill="FFFFFF"/>
          </w:tcPr>
          <w:p>
            <w:r>
              <w:rPr>
                <w:sz w:val="19"/>
              </w:rPr>
              <w:t>Feb 28 18:32</w:t>
            </w:r>
          </w:p>
        </w:tc>
        <w:tc>
          <w:tcPr>
            <w:tcW w:type="dxa" w:w="2340"/>
            <w:shd w:val="clear" w:color="auto" w:fill="FFFFFF"/>
          </w:tcPr>
          <w:p>
            <w:r>
              <w:rPr>
                <w:sz w:val="19"/>
              </w:rPr>
              <w:t>.md</w:t>
            </w:r>
          </w:p>
        </w:tc>
        <w:tc>
          <w:tcPr>
            <w:tcW w:type="dxa" w:w="2340"/>
            <w:shd w:val="clear" w:color="auto" w:fill="FFFFFF"/>
          </w:tcPr>
          <w:p>
            <w:r>
              <w:rPr>
                <w:sz w:val="19"/>
              </w:rPr>
              <w:t>Operator profile + two commercialization pathways</w:t>
            </w:r>
          </w:p>
        </w:tc>
      </w:tr>
      <w:tr>
        <w:tc>
          <w:tcPr>
            <w:tcW w:type="dxa" w:w="2340"/>
            <w:shd w:val="clear" w:color="auto" w:fill="F4F6FA"/>
          </w:tcPr>
          <w:p>
            <w:r>
              <w:rPr>
                <w:sz w:val="19"/>
              </w:rPr>
              <w:t>HUF_Complete_Reference_Feb2026.docx</w:t>
            </w:r>
          </w:p>
        </w:tc>
        <w:tc>
          <w:tcPr>
            <w:tcW w:type="dxa" w:w="2340"/>
            <w:shd w:val="clear" w:color="auto" w:fill="F4F6FA"/>
          </w:tcPr>
          <w:p>
            <w:r>
              <w:rPr>
                <w:sz w:val="19"/>
              </w:rPr>
              <w:t>Feb 28 18:46</w:t>
            </w:r>
          </w:p>
        </w:tc>
        <w:tc>
          <w:tcPr>
            <w:tcW w:type="dxa" w:w="2340"/>
            <w:shd w:val="clear" w:color="auto" w:fill="F4F6FA"/>
          </w:tcPr>
          <w:p>
            <w:r>
              <w:rPr>
                <w:sz w:val="19"/>
              </w:rPr>
              <w:t>.docx</w:t>
            </w:r>
          </w:p>
        </w:tc>
        <w:tc>
          <w:tcPr>
            <w:tcW w:type="dxa" w:w="2340"/>
            <w:shd w:val="clear" w:color="auto" w:fill="F4F6FA"/>
          </w:tcPr>
          <w:p>
            <w:r>
              <w:rPr>
                <w:sz w:val="19"/>
              </w:rPr>
              <w:t>Master 19-layer taxonomy + 4th monitoring category</w:t>
            </w:r>
          </w:p>
        </w:tc>
      </w:tr>
      <w:tr>
        <w:tc>
          <w:tcPr>
            <w:tcW w:type="dxa" w:w="2340"/>
            <w:shd w:val="clear" w:color="auto" w:fill="FFFFFF"/>
          </w:tcPr>
          <w:p>
            <w:r>
              <w:rPr>
                <w:sz w:val="19"/>
              </w:rPr>
              <w:t>ramsar_contact_letter_v15.docx</w:t>
            </w:r>
          </w:p>
        </w:tc>
        <w:tc>
          <w:tcPr>
            <w:tcW w:type="dxa" w:w="2340"/>
            <w:shd w:val="clear" w:color="auto" w:fill="FFFFFF"/>
          </w:tcPr>
          <w:p>
            <w:r>
              <w:rPr>
                <w:sz w:val="19"/>
              </w:rPr>
              <w:t>Feb 28 22:16</w:t>
            </w:r>
          </w:p>
        </w:tc>
        <w:tc>
          <w:tcPr>
            <w:tcW w:type="dxa" w:w="2340"/>
            <w:shd w:val="clear" w:color="auto" w:fill="FFFFFF"/>
          </w:tcPr>
          <w:p>
            <w:r>
              <w:rPr>
                <w:sz w:val="19"/>
              </w:rPr>
              <w:t>.docx</w:t>
            </w:r>
          </w:p>
        </w:tc>
        <w:tc>
          <w:tcPr>
            <w:tcW w:type="dxa" w:w="2340"/>
            <w:shd w:val="clear" w:color="auto" w:fill="FFFFFF"/>
          </w:tcPr>
          <w:p>
            <w:r>
              <w:rPr>
                <w:sz w:val="19"/>
              </w:rPr>
              <w:t>Outreach letter to Ramsar Secretariat / MedWet (v15)</w:t>
            </w:r>
          </w:p>
        </w:tc>
      </w:tr>
      <w:tr>
        <w:tc>
          <w:tcPr>
            <w:tcW w:type="dxa" w:w="2340"/>
            <w:shd w:val="clear" w:color="auto" w:fill="F4F6FA"/>
          </w:tcPr>
          <w:p>
            <w:r>
              <w:rPr>
                <w:sz w:val="19"/>
              </w:rPr>
              <w:t>HUF_Ramsar_Croatia_Package_Feb2026.docx</w:t>
            </w:r>
          </w:p>
        </w:tc>
        <w:tc>
          <w:tcPr>
            <w:tcW w:type="dxa" w:w="2340"/>
            <w:shd w:val="clear" w:color="auto" w:fill="F4F6FA"/>
          </w:tcPr>
          <w:p>
            <w:r>
              <w:rPr>
                <w:sz w:val="19"/>
              </w:rPr>
              <w:t>Feb 28 22:37</w:t>
            </w:r>
          </w:p>
        </w:tc>
        <w:tc>
          <w:tcPr>
            <w:tcW w:type="dxa" w:w="2340"/>
            <w:shd w:val="clear" w:color="auto" w:fill="F4F6FA"/>
          </w:tcPr>
          <w:p>
            <w:r>
              <w:rPr>
                <w:sz w:val="19"/>
              </w:rPr>
              <w:t>.docx</w:t>
            </w:r>
          </w:p>
        </w:tc>
        <w:tc>
          <w:tcPr>
            <w:tcW w:type="dxa" w:w="2340"/>
            <w:shd w:val="clear" w:color="auto" w:fill="F4F6FA"/>
          </w:tcPr>
          <w:p>
            <w:r>
              <w:rPr>
                <w:sz w:val="19"/>
              </w:rPr>
              <w:t>Complete Croatia Ramsar handoff package (7 sections)</w:t>
            </w:r>
          </w:p>
        </w:tc>
      </w:tr>
    </w:tbl>
    <w:p>
      <w:pPr>
        <w:spacing w:before="40" w:after="160"/>
      </w:pPr>
    </w:p>
    <w:p>
      <w:r>
        <w:br w:type="page"/>
      </w:r>
    </w:p>
    <w:p>
      <w:pPr>
        <w:keepNext/>
        <w:pBdr>
          <w:bottom w:val="single" w:sz="6" w:space="4" w:color="1B6C76"/>
        </w:pBdr>
        <w:spacing w:before="360" w:after="120"/>
      </w:pPr>
      <w:r>
        <w:rPr>
          <w:rFonts w:ascii="Arial" w:hAnsi="Arial"/>
          <w:b/>
          <w:i w:val="0"/>
          <w:color w:val="1A2A4A"/>
          <w:sz w:val="32"/>
        </w:rPr>
        <w:t>2. Patterns and Themes</w:t>
      </w:r>
    </w:p>
    <w:p>
      <w:pPr>
        <w:spacing w:before="40" w:after="120"/>
      </w:pPr>
      <w:r>
        <w:rPr>
          <w:rFonts w:ascii="Arial" w:hAnsi="Arial"/>
          <w:b w:val="0"/>
          <w:i w:val="0"/>
          <w:color w:val="000000"/>
          <w:sz w:val="21"/>
        </w:rPr>
        <w:t>Five major patterns emerge across all 25 files. Each is present in multiple documents and persists across the full three-day period.</w:t>
      </w:r>
    </w:p>
    <w:p>
      <w:pPr>
        <w:spacing w:before="240" w:after="120"/>
      </w:pPr>
      <w:r>
        <w:rPr>
          <w:rFonts w:ascii="Arial" w:hAnsi="Arial"/>
          <w:b/>
          <w:i w:val="0"/>
          <w:color w:val="1B6C76"/>
          <w:sz w:val="26"/>
        </w:rPr>
        <w:t>Pattern 1 — One idea with a single unifying constraint</w:t>
      </w:r>
    </w:p>
    <w:p>
      <w:pPr>
        <w:spacing w:before="40" w:after="120"/>
      </w:pPr>
      <w:r>
        <w:rPr>
          <w:rFonts w:ascii="Arial" w:hAnsi="Arial"/>
          <w:b w:val="0"/>
          <w:i w:val="0"/>
          <w:color w:val="000000"/>
          <w:sz w:val="21"/>
        </w:rPr>
        <w:t>Every file in the folder belongs to a single intellectual project: demonstrating that any finite-budget system — one where elements share a bounded total — is governed by the same dimensionless constraint (Σρ = 1), and that the gap between declared intent and observed allocation can be detected without modifying the system under observation.</w:t>
      </w:r>
    </w:p>
    <w:p>
      <w:pPr>
        <w:spacing w:before="40" w:after="120"/>
      </w:pPr>
      <w:r>
        <w:rPr>
          <w:rFonts w:ascii="Arial" w:hAnsi="Arial"/>
          <w:b w:val="0"/>
          <w:i w:val="0"/>
          <w:color w:val="000000"/>
          <w:sz w:val="21"/>
        </w:rPr>
        <w:t>The framework is described as a governance instrument, not a theory or model. It does not predict; it reads. The origin story — a loudspeaker array measured at the listening position rather than in isolation — appears in the Handbook preface, the governance state observer abstract, the operator entry points file, and the contact primer, each time framed slightly differently depending on the audience. This repetition with variation is a sign that the right framing for the origin is still being worked out.</w:t>
      </w:r>
    </w:p>
    <w:p>
      <w:pPr>
        <w:spacing w:before="80" w:after="160"/>
        <w:ind w:left="288" w:right="288"/>
        <w:shd w:val="clear" w:color="auto" w:fill="E8F4F8"/>
      </w:pPr>
      <w:r>
        <w:rPr>
          <w:rFonts w:ascii="Arial" w:hAnsi="Arial"/>
          <w:b/>
          <w:i w:val="0"/>
          <w:color w:val="1B6C76"/>
          <w:sz w:val="20"/>
        </w:rPr>
        <w:t xml:space="preserve">Examples:  </w:t>
      </w:r>
      <w:r>
        <w:rPr>
          <w:rFonts w:ascii="Arial" w:hAnsi="Arial"/>
          <w:b w:val="0"/>
          <w:i/>
          <w:color w:val="444455"/>
          <w:sz w:val="20"/>
        </w:rPr>
        <w:t>Handbook v1.2.0: "The framework is domain-invariant because it operates on ratios, and ratios are dimensionless." · Governance state observer: "no current instrument combines non-invasive observation, non-linear state detection, self-referential drift measurement, and cross-cycle traceability in a single unified constraint." · Wiki entry points: "The origin loop: environmental studies → electronics engineering → acoustic research → governance framework."</w:t>
      </w:r>
    </w:p>
    <w:p>
      <w:pPr>
        <w:spacing w:before="240" w:after="120"/>
      </w:pPr>
      <w:r>
        <w:rPr>
          <w:rFonts w:ascii="Arial" w:hAnsi="Arial"/>
          <w:b/>
          <w:i w:val="0"/>
          <w:color w:val="1B6C76"/>
          <w:sz w:val="26"/>
        </w:rPr>
        <w:t>Pattern 2 — Intentional vs. silent: the central distinction</w:t>
      </w:r>
    </w:p>
    <w:p>
      <w:pPr>
        <w:spacing w:before="40" w:after="120"/>
      </w:pPr>
      <w:r>
        <w:rPr>
          <w:rFonts w:ascii="Arial" w:hAnsi="Arial"/>
          <w:b w:val="0"/>
          <w:i w:val="0"/>
          <w:color w:val="000000"/>
          <w:sz w:val="21"/>
        </w:rPr>
        <w:t>The most recurring concept across all 25 files is the distinction between intentional reweighting (a recorded governance decision) and silent drift (allocation change with no decision on record). This binary classification is the operational core of HUF: not whether a system is well-managed, but whether changes in how resources are distributed were decided or simply happened.</w:t>
      </w:r>
    </w:p>
    <w:p>
      <w:pPr>
        <w:spacing w:before="40" w:after="120"/>
      </w:pPr>
      <w:r>
        <w:rPr>
          <w:rFonts w:ascii="Arial" w:hAnsi="Arial"/>
          <w:b w:val="0"/>
          <w:i w:val="0"/>
          <w:color w:val="000000"/>
          <w:sz w:val="21"/>
        </w:rPr>
        <w:t>The concept appears in different vocabularies depending on the domain: in wetlands governance, it surfaces as unreported monitoring drift across National Report cycles; in electronics manufacturing, it becomes production pressure silently compressing X-ray sampling rates; in sourdough, it is the baker who adds a little extra yeast without updating the recipe declaration.</w:t>
      </w:r>
    </w:p>
    <w:p>
      <w:pPr>
        <w:spacing w:before="80" w:after="160"/>
        <w:ind w:left="288" w:right="288"/>
        <w:shd w:val="clear" w:color="auto" w:fill="E8F4F8"/>
      </w:pPr>
      <w:r>
        <w:rPr>
          <w:rFonts w:ascii="Arial" w:hAnsi="Arial"/>
          <w:b/>
          <w:i w:val="0"/>
          <w:color w:val="1B6C76"/>
          <w:sz w:val="20"/>
        </w:rPr>
        <w:t xml:space="preserve">Examples:  </w:t>
      </w:r>
      <w:r>
        <w:rPr>
          <w:rFonts w:ascii="Arial" w:hAnsi="Arial"/>
          <w:b w:val="0"/>
          <w:i/>
          <w:color w:val="444455"/>
          <w:sz w:val="20"/>
        </w:rPr>
        <w:t>Contact letter v15: "Crna Mlaka covers 0.91% of Croatia's portfolio. Its governance leverage is 110. Nobody decided that." · Manufacturing wiki: "Production pressure compresses sampling rates. 'We'll do 1 in 20 boards instead of 1 in 10' is never formally declared as a governance decision." · Wiki fourth monitoring category: "The fourth monitoring category does not audit compliance with declared intent. It makes declared intent audible."</w:t>
      </w:r>
    </w:p>
    <w:p>
      <w:pPr>
        <w:spacing w:before="240" w:after="120"/>
      </w:pPr>
      <w:r>
        <w:rPr>
          <w:rFonts w:ascii="Arial" w:hAnsi="Arial"/>
          <w:b/>
          <w:i w:val="0"/>
          <w:color w:val="1B6C76"/>
          <w:sz w:val="26"/>
        </w:rPr>
        <w:t>Pattern 3 — Multi-domain invariance as empirical proof strategy</w:t>
      </w:r>
    </w:p>
    <w:p>
      <w:pPr>
        <w:spacing w:before="40" w:after="120"/>
      </w:pPr>
      <w:r>
        <w:rPr>
          <w:rFonts w:ascii="Arial" w:hAnsi="Arial"/>
          <w:b w:val="0"/>
          <w:i w:val="0"/>
          <w:color w:val="000000"/>
          <w:sz w:val="21"/>
        </w:rPr>
        <w:t>The JAES journal submission strategy depends on demonstrating that the same diagnostic instrument produces coherent results across domains with no structural overlap. Three domains have been developed as the empirical backbone:</w:t>
      </w:r>
    </w:p>
    <w:p>
      <w:pPr>
        <w:pStyle w:val="ListBullet"/>
        <w:spacing w:before="20" w:after="60"/>
        <w:ind w:left="504"/>
      </w:pPr>
      <w:r>
        <w:rPr>
          <w:rFonts w:ascii="Arial" w:hAnsi="Arial"/>
          <w:b w:val="0"/>
          <w:i w:val="0"/>
          <w:color w:val="000000"/>
          <w:sz w:val="21"/>
        </w:rPr>
        <w:t>System A — Artisanal sourdough loaf (1,000g, five ingredients, yeast as highest-Q element at leverage 833)</w:t>
      </w:r>
    </w:p>
    <w:p>
      <w:pPr>
        <w:pStyle w:val="ListBullet"/>
        <w:spacing w:before="20" w:after="60"/>
        <w:ind w:left="504"/>
      </w:pPr>
      <w:r>
        <w:rPr>
          <w:rFonts w:ascii="Arial" w:hAnsi="Arial"/>
          <w:b w:val="0"/>
          <w:i w:val="0"/>
          <w:color w:val="000000"/>
          <w:sz w:val="21"/>
        </w:rPr>
        <w:t>System B — Croatia Ramsar portfolio (93,590 ha, five sites, Crna Mlaka as highest-Q element at leverage 110)</w:t>
      </w:r>
    </w:p>
    <w:p>
      <w:pPr>
        <w:pStyle w:val="ListBullet"/>
        <w:spacing w:before="20" w:after="60"/>
        <w:ind w:left="504"/>
      </w:pPr>
      <w:r>
        <w:rPr>
          <w:rFonts w:ascii="Arial" w:hAnsi="Arial"/>
          <w:b w:val="0"/>
          <w:i w:val="0"/>
          <w:color w:val="000000"/>
          <w:sz w:val="21"/>
        </w:rPr>
        <w:t>System C — Software retrieval pipeline (query volume, four namespaces, HUF research namespace as highest-Q)</w:t>
      </w:r>
    </w:p>
    <w:p>
      <w:pPr>
        <w:spacing w:before="40" w:after="120"/>
      </w:pPr>
      <w:r>
        <w:rPr>
          <w:rFonts w:ascii="Arial" w:hAnsi="Arial"/>
          <w:b w:val="0"/>
          <w:i w:val="0"/>
          <w:color w:val="000000"/>
          <w:sz w:val="21"/>
        </w:rPr>
        <w:t>Case Study D.1 (Exhibit A) confirms two-domain validation. Case Study D.2 (Exhibit B) has the full framework written with placeholder fields for System C data, but the data has not yet been entered. This is the single most consequential outstanding item for the journal submission path.</w:t>
      </w:r>
    </w:p>
    <w:p>
      <w:pPr>
        <w:spacing w:before="80" w:after="160"/>
        <w:ind w:left="288" w:right="288"/>
        <w:shd w:val="clear" w:color="auto" w:fill="E8F4F8"/>
      </w:pPr>
      <w:r>
        <w:rPr>
          <w:rFonts w:ascii="Arial" w:hAnsi="Arial"/>
          <w:b/>
          <w:i w:val="0"/>
          <w:color w:val="1B6C76"/>
          <w:sz w:val="20"/>
        </w:rPr>
        <w:t xml:space="preserve">Examples:  </w:t>
      </w:r>
      <w:r>
        <w:rPr>
          <w:rFonts w:ascii="Arial" w:hAnsi="Arial"/>
          <w:b w:val="0"/>
          <w:i/>
          <w:color w:val="444455"/>
          <w:sz w:val="20"/>
        </w:rPr>
        <w:t>D.1 Exhibit A: "an independent observer, given only the HUF vocabulary and the unity constraint, applied the same diagnostic instrument to two systems with nothing in common — and produced a coherent, comparable, formally structured result. That is domain invariance in practice, not in theory." · D.2 Exhibit B framework: "STATUS: EXHIBIT B FRAMEWORK COMPLETE. System C data entry pending. Document is execution-ready — insert pipeline data and run diagnostics."</w:t>
      </w:r>
    </w:p>
    <w:p>
      <w:pPr>
        <w:spacing w:before="240" w:after="120"/>
      </w:pPr>
      <w:r>
        <w:rPr>
          <w:rFonts w:ascii="Arial" w:hAnsi="Arial"/>
          <w:b/>
          <w:i w:val="0"/>
          <w:color w:val="1B6C76"/>
          <w:sz w:val="26"/>
        </w:rPr>
        <w:t>Pattern 4 — Two commercialization paths, both using existing credentials</w:t>
      </w:r>
    </w:p>
    <w:p>
      <w:pPr>
        <w:spacing w:before="40" w:after="120"/>
      </w:pPr>
      <w:r>
        <w:rPr>
          <w:rFonts w:ascii="Arial" w:hAnsi="Arial"/>
          <w:b w:val="0"/>
          <w:i w:val="0"/>
          <w:color w:val="000000"/>
          <w:sz w:val="21"/>
        </w:rPr>
        <w:t>The manufacturing path and the ecological path run in parallel and are both structured around existing credentials and relationships, not cold outreach. The operator entry points file documents this explicitly: the 33-year Fuji deployment history, the Dage qualification, the environmental studies background, and the Ramsar-relevant ecological monitoring literacy are all presented as structural advantages, not incidental biography.</w:t>
      </w:r>
    </w:p>
    <w:p>
      <w:pPr>
        <w:spacing w:before="40" w:after="120"/>
      </w:pPr>
      <w:r>
        <w:rPr>
          <w:rFonts w:ascii="Arial" w:hAnsi="Arial"/>
          <w:b w:val="0"/>
          <w:i w:val="0"/>
          <w:color w:val="000000"/>
          <w:sz w:val="21"/>
        </w:rPr>
        <w:t>The Ramsar path has produced an outreach letter at version 15 and a primer at version 12 — both reached late versions within three days, signalling intensive iteration. The manufacturing path has produced two detailed wiki documents covering the Fuji NXTR / AIMEX R placement portfolio and the Nordson Dage inspection portfolio, with specific HUF diagnostic configurations and pitch formulations for each. Neither path has sent anything yet; both are positioned for immediate deployment.</w:t>
      </w:r>
    </w:p>
    <w:p>
      <w:pPr>
        <w:spacing w:before="80" w:after="160"/>
        <w:ind w:left="288" w:right="288"/>
        <w:shd w:val="clear" w:color="auto" w:fill="E8F4F8"/>
      </w:pPr>
      <w:r>
        <w:rPr>
          <w:rFonts w:ascii="Arial" w:hAnsi="Arial"/>
          <w:b/>
          <w:i w:val="0"/>
          <w:color w:val="1B6C76"/>
          <w:sz w:val="20"/>
        </w:rPr>
        <w:t xml:space="preserve">Examples:  </w:t>
      </w:r>
      <w:r>
        <w:rPr>
          <w:rFonts w:ascii="Arial" w:hAnsi="Arial"/>
          <w:b w:val="0"/>
          <w:i/>
          <w:color w:val="444455"/>
          <w:sz w:val="20"/>
        </w:rPr>
        <w:t>Manufacturing wiki on Dage: "The pitch in one sentence: The Dage detects defects in solder joints. HUF detects when the Dage is being under-used relative to the declared inspection programme." · Contact letter v15: "No new surveys. No new software on your servers. No change to how site managers work. It is read-only." · Entry points wiki: "Both pilots are possible within weeks given access to the data."</w:t>
      </w:r>
    </w:p>
    <w:p>
      <w:pPr>
        <w:spacing w:before="240" w:after="120"/>
      </w:pPr>
      <w:r>
        <w:rPr>
          <w:rFonts w:ascii="Arial" w:hAnsi="Arial"/>
          <w:b/>
          <w:i w:val="0"/>
          <w:color w:val="1B6C76"/>
          <w:sz w:val="26"/>
        </w:rPr>
        <w:t>Pattern 5 — AI multi-agent collaboration as methodology, not just tooling</w:t>
      </w:r>
    </w:p>
    <w:p>
      <w:pPr>
        <w:spacing w:before="40" w:after="120"/>
      </w:pPr>
      <w:r>
        <w:rPr>
          <w:rFonts w:ascii="Arial" w:hAnsi="Arial"/>
          <w:b w:val="0"/>
          <w:i w:val="0"/>
          <w:color w:val="000000"/>
          <w:sz w:val="21"/>
        </w:rPr>
        <w:t>Every substantive document credits five AI systems — Claude, Copilot, Gemini, ChatGPT, and Grok — as co-contributors. This is not incidental acknowledgement. The documents show different AI systems playing distinct roles: Gemini ran the cross-domain case study independently and submitted it as a research finding; Grok generated manufacturing domain extensions (Layer 15), issued formal Go/No-Go verdicts on the contact primer, and proposed conjectural extensions labelled as such; Copilot contributed the Ramsar wrapper script and integration passes.</w:t>
      </w:r>
    </w:p>
    <w:p>
      <w:pPr>
        <w:spacing w:before="40" w:after="120"/>
      </w:pPr>
      <w:r>
        <w:rPr>
          <w:rFonts w:ascii="Arial" w:hAnsi="Arial"/>
          <w:b w:val="0"/>
          <w:i w:val="0"/>
          <w:color w:val="000000"/>
          <w:sz w:val="21"/>
        </w:rPr>
        <w:t>The diagnostic tool (huf_diagnostic.jsx) and the task tracker (huf_todo.jsx) are React components likely used in active sessions with AI collaborators. The todo list entries show that the Handbook was 'locked' as done but formalization of the four propositions and the vocabulary standard were still open — a snapshot of the project state at the time of that tool's last save.</w:t>
      </w:r>
    </w:p>
    <w:p>
      <w:pPr>
        <w:spacing w:before="80" w:after="160"/>
        <w:ind w:left="288" w:right="288"/>
        <w:shd w:val="clear" w:color="auto" w:fill="E8F4F8"/>
      </w:pPr>
      <w:r>
        <w:rPr>
          <w:rFonts w:ascii="Arial" w:hAnsi="Arial"/>
          <w:b/>
          <w:i w:val="0"/>
          <w:color w:val="1B6C76"/>
          <w:sz w:val="20"/>
        </w:rPr>
        <w:t xml:space="preserve">Examples:  </w:t>
      </w:r>
      <w:r>
        <w:rPr>
          <w:rFonts w:ascii="Arial" w:hAnsi="Arial"/>
          <w:b w:val="0"/>
          <w:i/>
          <w:color w:val="444455"/>
          <w:sz w:val="20"/>
        </w:rPr>
        <w:t>Complete Reference: "Synthesis: Claude · Copilot · Gemini · ChatGPT · Grok." · Math foundations v2.1: "Part I — Grok Collective Verdicts: These verdicts are independent assessments of the framework's claims, produced by Grok after full access to the corpus." · Ramsar handoff package: "Section 6: ChatGPT Handoff — specific instructions for continuing this work with ChatGPT, including session-start prompts and scope boundaries."</w:t>
      </w:r>
    </w:p>
    <w:p>
      <w:r>
        <w:br w:type="page"/>
      </w:r>
    </w:p>
    <w:p>
      <w:pPr>
        <w:keepNext/>
        <w:pBdr>
          <w:bottom w:val="single" w:sz="6" w:space="4" w:color="1B6C76"/>
        </w:pBdr>
        <w:spacing w:before="360" w:after="120"/>
      </w:pPr>
      <w:r>
        <w:rPr>
          <w:rFonts w:ascii="Arial" w:hAnsi="Arial"/>
          <w:b/>
          <w:i w:val="0"/>
          <w:color w:val="1A2A4A"/>
          <w:sz w:val="32"/>
        </w:rPr>
        <w:t>3. Evolution of Thinking — 72 Hours</w:t>
      </w:r>
    </w:p>
    <w:p>
      <w:pPr>
        <w:spacing w:before="40" w:after="120"/>
      </w:pPr>
      <w:r>
        <w:rPr>
          <w:rFonts w:ascii="Arial" w:hAnsi="Arial"/>
          <w:b w:val="0"/>
          <w:i w:val="0"/>
          <w:color w:val="000000"/>
          <w:sz w:val="21"/>
        </w:rPr>
        <w:t>The three-day window shows a clear progression from intellectual foundation-building, through formal validation, to outreach packaging. The shift is not from disorganised to organised — the earliest files already show a coherent framework — but from internal to external orientation.</w:t>
      </w:r>
    </w:p>
    <w:p>
      <w:pPr>
        <w:spacing w:before="200" w:after="60"/>
      </w:pPr>
      <w:r>
        <w:rPr>
          <w:rFonts w:ascii="Arial" w:hAnsi="Arial"/>
          <w:b/>
          <w:i w:val="0"/>
          <w:color w:val="1B6C76"/>
          <w:sz w:val="22"/>
        </w:rPr>
        <w:t>February 26 (morning to afternoon) — Building the foundations</w:t>
      </w:r>
    </w:p>
    <w:p>
      <w:pPr>
        <w:spacing w:before="40" w:after="120"/>
      </w:pPr>
      <w:r>
        <w:rPr>
          <w:rFonts w:ascii="Arial" w:hAnsi="Arial"/>
          <w:b w:val="0"/>
          <w:i w:val="0"/>
          <w:color w:val="000000"/>
          <w:sz w:val="21"/>
        </w:rPr>
        <w:t>The earliest files are the tools and the handbook: the interactive diagnostic UI, the todo tracker, the elementary mathematics book, and the core handbook. These are internal instruments. The diagnostic tool encodes the eight compliance tests as an interactive experience; the todo tracker shows the project's own roadmap at that moment. The handbook is described as complete but the math formalization is only at v0.1.0 — early draft, accessible audience, no formal proofs yet.</w:t>
      </w:r>
    </w:p>
    <w:p>
      <w:pPr>
        <w:spacing w:before="200" w:after="60"/>
      </w:pPr>
      <w:r>
        <w:rPr>
          <w:rFonts w:ascii="Arial" w:hAnsi="Arial"/>
          <w:b/>
          <w:i w:val="0"/>
          <w:color w:val="1B6C76"/>
          <w:sz w:val="22"/>
        </w:rPr>
        <w:t>February 26 (evening) — Formalisation and the journal paper</w:t>
      </w:r>
    </w:p>
    <w:p>
      <w:pPr>
        <w:spacing w:before="40" w:after="120"/>
      </w:pPr>
      <w:r>
        <w:rPr>
          <w:rFonts w:ascii="Arial" w:hAnsi="Arial"/>
          <w:b w:val="0"/>
          <w:i w:val="0"/>
          <w:color w:val="000000"/>
          <w:sz w:val="21"/>
        </w:rPr>
        <w:t>The evening produces the full formal mathematics paper, the governance state observer journal draft, the advanced mathematics handbook (v0.2.0), and the expanded wiki on the fourth monitoring category. This is the most theoretically dense cluster: formal proofs, VARIMA drift model, Von Neumann entropy bounds, Ostrom-HUF mapping, and the epistemological argument for why self-referential monitoring is not circular reasoning. The journal paper (governance state observer) is written in a publication-ready register. This shift in 8 hours from 'accessible intro' to 'formal journal draft' is the sharpest single evolution in the corpus.</w:t>
      </w:r>
    </w:p>
    <w:p>
      <w:pPr>
        <w:spacing w:before="200" w:after="60"/>
      </w:pPr>
      <w:r>
        <w:rPr>
          <w:rFonts w:ascii="Arial" w:hAnsi="Arial"/>
          <w:b/>
          <w:i w:val="0"/>
          <w:color w:val="1B6C76"/>
          <w:sz w:val="22"/>
        </w:rPr>
        <w:t>February 27 (early morning) — Ramsar outreach preparation</w:t>
      </w:r>
    </w:p>
    <w:p>
      <w:pPr>
        <w:spacing w:before="40" w:after="120"/>
      </w:pPr>
      <w:r>
        <w:rPr>
          <w:rFonts w:ascii="Arial" w:hAnsi="Arial"/>
          <w:b w:val="0"/>
          <w:i w:val="0"/>
          <w:color w:val="000000"/>
          <w:sz w:val="21"/>
        </w:rPr>
        <w:t>By 2–3am on February 27, the files shift toward institutional contact: the Ramsar demo script (Python, outputting four Ramsar-compliant CSVs), the contact primer at v12, and the appendix inserts. The Python wrapper deliberately masks HUF terminology in its outputs and uses Ramsar vocabulary instead — 'portfolio shares,' 'allocation shifts,' 'intentional vs. silent reweighting.' This is a translation layer, not a simplification. The framework is the same; the language is adapted for a policy audience. The primer at v12 by that point shows that the institutional outreach language had been through many iterations.</w:t>
      </w:r>
    </w:p>
    <w:p>
      <w:pPr>
        <w:spacing w:before="200" w:after="60"/>
      </w:pPr>
      <w:r>
        <w:rPr>
          <w:rFonts w:ascii="Arial" w:hAnsi="Arial"/>
          <w:b/>
          <w:i w:val="0"/>
          <w:color w:val="1B6C76"/>
          <w:sz w:val="22"/>
        </w:rPr>
        <w:t>February 28 — Consolidation and handoff</w:t>
      </w:r>
    </w:p>
    <w:p>
      <w:pPr>
        <w:spacing w:before="40" w:after="120"/>
      </w:pPr>
      <w:r>
        <w:rPr>
          <w:rFonts w:ascii="Arial" w:hAnsi="Arial"/>
          <w:b w:val="0"/>
          <w:i w:val="0"/>
          <w:color w:val="000000"/>
          <w:sz w:val="21"/>
        </w:rPr>
        <w:t>The final day produces the most synthesis-oriented files: the three-domain case study (Exhibit B), the decision logs (tracking what is closed, standing, and blocked), the complete 19-layer taxonomy, the manufacturing wiki, the master complete reference, and finally the Croatia Ramsar handoff package. The handoff package is structured for a new reader — Secretariat contact, Croatian Ministry partner, or a fresh AI collaborator — meaning the project is now being written for external eyes, not just internal use. The contact letter (v15) follows at 10:16pm, the last file of the three-day period.</w:t>
      </w:r>
    </w:p>
    <w:p>
      <w:pPr>
        <w:spacing w:before="80" w:after="160"/>
        <w:ind w:left="288" w:right="288"/>
        <w:shd w:val="clear" w:color="auto" w:fill="E8F4F8"/>
      </w:pPr>
      <w:r>
        <w:rPr>
          <w:rFonts w:ascii="Arial" w:hAnsi="Arial"/>
          <w:b/>
          <w:i w:val="0"/>
          <w:color w:val="1B6C76"/>
          <w:sz w:val="20"/>
        </w:rPr>
        <w:t xml:space="preserve">Key shift:  </w:t>
      </w:r>
      <w:r>
        <w:rPr>
          <w:rFonts w:ascii="Arial" w:hAnsi="Arial"/>
          <w:b w:val="0"/>
          <w:i/>
          <w:color w:val="444455"/>
          <w:sz w:val="20"/>
        </w:rPr>
        <w:t>The project moves from self-referential development (building tools and proofs for internal use) to external orientation (packaging for institutions, preparing for journal submission, documenting for a new AI collaborator) in the space of 72 hours. The handoff package's Section 6 — explicitly written for ChatGPT session continuity — is a sign that the project has grown large enough to require onboarding documentation even for its own AI collaborators.</w:t>
      </w:r>
    </w:p>
    <w:p>
      <w:r>
        <w:br w:type="page"/>
      </w:r>
    </w:p>
    <w:p>
      <w:pPr>
        <w:keepNext/>
        <w:pBdr>
          <w:bottom w:val="single" w:sz="6" w:space="4" w:color="1B6C76"/>
        </w:pBdr>
        <w:spacing w:before="360" w:after="120"/>
      </w:pPr>
      <w:r>
        <w:rPr>
          <w:rFonts w:ascii="Arial" w:hAnsi="Arial"/>
          <w:b/>
          <w:i w:val="0"/>
          <w:color w:val="1A2A4A"/>
          <w:sz w:val="32"/>
        </w:rPr>
        <w:t>4. Contradictions and Tensions</w:t>
      </w:r>
    </w:p>
    <w:p>
      <w:pPr>
        <w:spacing w:before="40" w:after="120"/>
      </w:pPr>
      <w:r>
        <w:rPr>
          <w:rFonts w:ascii="Arial" w:hAnsi="Arial"/>
          <w:b w:val="0"/>
          <w:i w:val="0"/>
          <w:color w:val="000000"/>
          <w:sz w:val="21"/>
        </w:rPr>
        <w:t>Six tensions are present in the corpus. These are not errors — they are live intellectual problems, negotiated partially in the documents themselves. They are worth naming explicitly because resolving them will strengthen the JAES submission and the institutional pitch.</w:t>
      </w:r>
    </w:p>
    <w:p>
      <w:pPr>
        <w:spacing w:before="200" w:after="60"/>
      </w:pPr>
      <w:r>
        <w:rPr>
          <w:rFonts w:ascii="Arial" w:hAnsi="Arial"/>
          <w:b/>
          <w:i w:val="0"/>
          <w:color w:val="1B6C76"/>
          <w:sz w:val="22"/>
        </w:rPr>
        <w:t>Tension 1 — Proved vs. conjectural: the status boundary is inconsistently enforced</w:t>
      </w:r>
    </w:p>
    <w:p>
      <w:pPr>
        <w:spacing w:before="40" w:after="120"/>
      </w:pPr>
      <w:r>
        <w:rPr>
          <w:rFonts w:ascii="Arial" w:hAnsi="Arial"/>
          <w:b w:val="0"/>
          <w:i w:val="0"/>
          <w:color w:val="000000"/>
          <w:sz w:val="21"/>
        </w:rPr>
        <w:t>The math foundations v2.1 uses explicit editorial markers: [PROVED], [CONJECTURE], [VERDICT]. The advanced math handbook v0.2.0 uses Definition / Proposition / Theorem / Conjecture. But the complete reference document and the governance state observer paper sometimes state claims without these markers, and the leverage interpretation shifts between documents: in some places, leverage &gt; 100 is described as a 'qualitative high-leverage flag' and 'prompt for targeted investigation rather than precise multiplicative claim'; in others, it is used as a direct multiplier. The appendix D1 inserts document exists specifically to add the qualifying note to earlier uses where the precise multiplier framing was used uncautiously.</w:t>
      </w:r>
    </w:p>
    <w:p>
      <w:pPr>
        <w:spacing w:before="80" w:after="160"/>
        <w:ind w:left="288" w:right="288"/>
        <w:shd w:val="clear" w:color="auto" w:fill="E8F4F8"/>
      </w:pPr>
      <w:r>
        <w:rPr>
          <w:rFonts w:ascii="Arial" w:hAnsi="Arial"/>
          <w:b/>
          <w:i w:val="0"/>
          <w:color w:val="1B6C76"/>
          <w:sz w:val="20"/>
        </w:rPr>
        <w:t xml:space="preserve">Risk:  </w:t>
      </w:r>
      <w:r>
        <w:rPr>
          <w:rFonts w:ascii="Arial" w:hAnsi="Arial"/>
          <w:b w:val="0"/>
          <w:i/>
          <w:color w:val="444455"/>
          <w:sz w:val="20"/>
        </w:rPr>
        <w:t>A JAES reviewer reading the governance state observer paper (which lacks the proof-posture editorial markers of the math documents) may encounter claims that are proved in the mathematics paper but stated without proof attribution in the journal paper. A cross-reference pass is needed.</w:t>
      </w:r>
    </w:p>
    <w:p>
      <w:pPr>
        <w:spacing w:before="200" w:after="60"/>
      </w:pPr>
      <w:r>
        <w:rPr>
          <w:rFonts w:ascii="Arial" w:hAnsi="Arial"/>
          <w:b/>
          <w:i w:val="0"/>
          <w:color w:val="1B6C76"/>
          <w:sz w:val="22"/>
        </w:rPr>
        <w:t>Tension 2 — Domain invariance vs. domain-specific calibration</w:t>
      </w:r>
    </w:p>
    <w:p>
      <w:pPr>
        <w:spacing w:before="40" w:after="120"/>
      </w:pPr>
      <w:r>
        <w:rPr>
          <w:rFonts w:ascii="Arial" w:hAnsi="Arial"/>
          <w:b w:val="0"/>
          <w:i w:val="0"/>
          <w:color w:val="000000"/>
          <w:sz w:val="21"/>
        </w:rPr>
        <w:t>Proposition 7.1 claims structural invariance across domains. But the manufacturing wiki and the taxonomy both include domain-specific threshold tables: orphan alert Y = 50% for Ramsar pilot, 40% for general electronics, 30% for X-ray audit specifically; Criticality_Modifier = 0.7 for high-precision manufacturing, 0.5–0.6 for aerospace/automotive. These calibrations are reasonable and necessary in deployment. But if calibration is domain-specific, the claim that 'the same instrument' is used without modification needs more precise language: the constraint is invariant, but the threshold configuration is not.</w:t>
      </w:r>
    </w:p>
    <w:p>
      <w:pPr>
        <w:spacing w:before="80" w:after="160"/>
        <w:ind w:left="288" w:right="288"/>
        <w:shd w:val="clear" w:color="auto" w:fill="E8F4F8"/>
      </w:pPr>
      <w:r>
        <w:rPr>
          <w:rFonts w:ascii="Arial" w:hAnsi="Arial"/>
          <w:b/>
          <w:i w:val="0"/>
          <w:color w:val="1B6C76"/>
          <w:sz w:val="20"/>
        </w:rPr>
        <w:t xml:space="preserve">Risk:  </w:t>
      </w:r>
      <w:r>
        <w:rPr>
          <w:rFonts w:ascii="Arial" w:hAnsi="Arial"/>
          <w:b w:val="0"/>
          <w:i/>
          <w:color w:val="444455"/>
          <w:sz w:val="20"/>
        </w:rPr>
        <w:t>This is likely the central objection a skeptical reviewer will raise. The response — that the constraint is invariant but thresholds are calibration parameters — needs to be stated explicitly in the journal paper.</w:t>
      </w:r>
    </w:p>
    <w:p>
      <w:pPr>
        <w:spacing w:before="200" w:after="60"/>
      </w:pPr>
      <w:r>
        <w:rPr>
          <w:rFonts w:ascii="Arial" w:hAnsi="Arial"/>
          <w:b/>
          <w:i w:val="0"/>
          <w:color w:val="1B6C76"/>
          <w:sz w:val="22"/>
        </w:rPr>
        <w:t>Tension 3 — Non-invasive claim vs. declaration requirement</w:t>
      </w:r>
    </w:p>
    <w:p>
      <w:pPr>
        <w:spacing w:before="40" w:after="120"/>
      </w:pPr>
      <w:r>
        <w:rPr>
          <w:rFonts w:ascii="Arial" w:hAnsi="Arial"/>
          <w:b w:val="0"/>
          <w:i w:val="0"/>
          <w:color w:val="000000"/>
          <w:sz w:val="21"/>
        </w:rPr>
        <w:t>'Non-invasive' appears in the full framework title (Self-Referential Non-Invasive Governance State Observer) and is emphasised in every pitch document. But HUF requires the operator to declare weights before it can detect drift. For institutions that have never declared explicit portfolio weights — which is the normal state for most Ramsar Contracting Parties and most EMS production floors — the first deployment step is to ask them to declare something they have never formally declared. This is an intervention, not a passive observation. The wiki on the fourth monitoring category addresses the circularity objection but does not fully address the intervention-at-declaration-stage problem.</w:t>
      </w:r>
    </w:p>
    <w:p>
      <w:pPr>
        <w:spacing w:before="80" w:after="160"/>
        <w:ind w:left="288" w:right="288"/>
        <w:shd w:val="clear" w:color="auto" w:fill="E8F4F8"/>
      </w:pPr>
      <w:r>
        <w:rPr>
          <w:rFonts w:ascii="Arial" w:hAnsi="Arial"/>
          <w:b/>
          <w:i w:val="0"/>
          <w:color w:val="1B6C76"/>
          <w:sz w:val="20"/>
        </w:rPr>
        <w:t xml:space="preserve">Risk:  </w:t>
      </w:r>
      <w:r>
        <w:rPr>
          <w:rFonts w:ascii="Arial" w:hAnsi="Arial"/>
          <w:b w:val="0"/>
          <w:i/>
          <w:color w:val="444455"/>
          <w:sz w:val="20"/>
        </w:rPr>
        <w:t>The Ramsar Secretariat contact may immediately ask: 'If we've never declared weights, what does HUF measure?' The contact letter (v15) anticipates this with the area-weighted default computation, but the tension between 'non-invasive' and 'requires a first declaration' deserves explicit treatment in the primer.</w:t>
      </w:r>
    </w:p>
    <w:p>
      <w:pPr>
        <w:spacing w:before="200" w:after="60"/>
      </w:pPr>
      <w:r>
        <w:rPr>
          <w:rFonts w:ascii="Arial" w:hAnsi="Arial"/>
          <w:b/>
          <w:i w:val="0"/>
          <w:color w:val="1B6C76"/>
          <w:sz w:val="22"/>
        </w:rPr>
        <w:t>Tension 4 — Automated rebalancing: Grok proposed it, operator disagreed</w:t>
      </w:r>
    </w:p>
    <w:p>
      <w:pPr>
        <w:spacing w:before="40" w:after="120"/>
      </w:pPr>
      <w:r>
        <w:rPr>
          <w:rFonts w:ascii="Arial" w:hAnsi="Arial"/>
          <w:b w:val="0"/>
          <w:i w:val="0"/>
          <w:color w:val="000000"/>
          <w:sz w:val="21"/>
        </w:rPr>
        <w:t>The manufacturing wiki includes Grok's proposed fourth governance response type: Automated Rebalancing (MES scripts reallocating resources automatically when silent drift is detected in low-Q processes). The operator's assessment immediately follows: 'Automated rebalancing of X-ray sampling rates is NOT recommended without human review — the Dage element is high-Q and high-consequence.' This is a genuine disagreement between a generated proposal and operator judgment. The resolution — automated rebalancing applies to LOW-Q elements only — is documented, but the status is [CONJECTURAL], meaning it has not been formally incorporated into the framework.</w:t>
      </w:r>
    </w:p>
    <w:p>
      <w:pPr>
        <w:spacing w:before="80" w:after="160"/>
        <w:ind w:left="288" w:right="288"/>
        <w:shd w:val="clear" w:color="auto" w:fill="E8F4F8"/>
      </w:pPr>
      <w:r>
        <w:rPr>
          <w:rFonts w:ascii="Arial" w:hAnsi="Arial"/>
          <w:b/>
          <w:i w:val="0"/>
          <w:color w:val="1B6C76"/>
          <w:sz w:val="20"/>
        </w:rPr>
        <w:t xml:space="preserve">Note:  </w:t>
      </w:r>
      <w:r>
        <w:rPr>
          <w:rFonts w:ascii="Arial" w:hAnsi="Arial"/>
          <w:b w:val="0"/>
          <w:i/>
          <w:color w:val="444455"/>
          <w:sz w:val="20"/>
        </w:rPr>
        <w:t>This tension is actually a strength if documented correctly: it shows the operator applying domain judgment to constrain a generated proposal, which is exactly the human-AI collaboration model worth describing in the JAES methodology section.</w:t>
      </w:r>
    </w:p>
    <w:p>
      <w:pPr>
        <w:spacing w:before="200" w:after="60"/>
      </w:pPr>
      <w:r>
        <w:rPr>
          <w:rFonts w:ascii="Arial" w:hAnsi="Arial"/>
          <w:b/>
          <w:i w:val="0"/>
          <w:color w:val="1B6C76"/>
          <w:sz w:val="22"/>
        </w:rPr>
        <w:t>Tension 5 — Which mathematics document is canonical?</w:t>
      </w:r>
    </w:p>
    <w:p>
      <w:pPr>
        <w:spacing w:before="40" w:after="120"/>
      </w:pPr>
      <w:r>
        <w:rPr>
          <w:rFonts w:ascii="Arial" w:hAnsi="Arial"/>
          <w:b w:val="0"/>
          <w:i w:val="0"/>
          <w:color w:val="000000"/>
          <w:sz w:val="21"/>
        </w:rPr>
        <w:t>There are four mathematics documents: HUF_Mathematics_v0.1.0_DRAFT.docx (accessible intro), huf_mathematical_foundations.docx (full formal paper, v1.1.8), huf_math_foundations_v2_1.docx (updated with Q derivation and Grok verdicts), and HUF_Advanced_Mathematics_Handbook_v0.2.0_DRAFT.docx (formal core with Gini/Theil extensions). The version history is not sequential: the governance state observer paper cites v1.1.8, but v2.1 exists with additional material. The complete reference document does not cite the math documents by version. A reader of the corpus cannot tell which mathematics document is the current citable source.</w:t>
      </w:r>
    </w:p>
    <w:p>
      <w:pPr>
        <w:spacing w:before="80" w:after="160"/>
        <w:ind w:left="288" w:right="288"/>
        <w:shd w:val="clear" w:color="auto" w:fill="E8F4F8"/>
      </w:pPr>
      <w:r>
        <w:rPr>
          <w:rFonts w:ascii="Arial" w:hAnsi="Arial"/>
          <w:b/>
          <w:i w:val="0"/>
          <w:color w:val="1B6C76"/>
          <w:sz w:val="20"/>
        </w:rPr>
        <w:t xml:space="preserve">Risk:  </w:t>
      </w:r>
      <w:r>
        <w:rPr>
          <w:rFonts w:ascii="Arial" w:hAnsi="Arial"/>
          <w:b w:val="0"/>
          <w:i/>
          <w:color w:val="444455"/>
          <w:sz w:val="20"/>
        </w:rPr>
        <w:t>For JAES submission, a single canonical mathematics reference is needed. The v2.1 document appears most current but is labelled as a collective record rather than a standalone paper. Resolving this is a pre-submission step.</w:t>
      </w:r>
    </w:p>
    <w:p>
      <w:pPr>
        <w:spacing w:before="200" w:after="60"/>
      </w:pPr>
      <w:r>
        <w:rPr>
          <w:rFonts w:ascii="Arial" w:hAnsi="Arial"/>
          <w:b/>
          <w:i w:val="0"/>
          <w:color w:val="1B6C76"/>
          <w:sz w:val="22"/>
        </w:rPr>
        <w:t>Tension 6 — The 'H' in HUF</w:t>
      </w:r>
    </w:p>
    <w:p>
      <w:pPr>
        <w:spacing w:before="40" w:after="120"/>
      </w:pPr>
      <w:r>
        <w:rPr>
          <w:rFonts w:ascii="Arial" w:hAnsi="Arial"/>
          <w:b w:val="0"/>
          <w:i w:val="0"/>
          <w:color w:val="000000"/>
          <w:sz w:val="21"/>
        </w:rPr>
        <w:t>The framework is called the Higgins Unity Framework. The acronym HUF is used consistently. The name 'Hierarchical Unity Framework' appears in the governance state observer abstract ('We introduce the Hierarchical Unity Framework (HUF)...') but the taxonomy and handbook consistently use 'Higgins Unity Framework.' This inconsistency — eponymous vs. descriptive — is minor but will be visible in a journal submission and should be resolved before the paper is submitted.</w:t>
      </w:r>
    </w:p>
    <w:p>
      <w:r>
        <w:br w:type="page"/>
      </w:r>
    </w:p>
    <w:p>
      <w:pPr>
        <w:keepNext/>
        <w:pBdr>
          <w:bottom w:val="single" w:sz="6" w:space="4" w:color="1B6C76"/>
        </w:pBdr>
        <w:spacing w:before="360" w:after="120"/>
      </w:pPr>
      <w:r>
        <w:rPr>
          <w:rFonts w:ascii="Arial" w:hAnsi="Arial"/>
          <w:b/>
          <w:i w:val="0"/>
          <w:color w:val="1A2A4A"/>
          <w:sz w:val="32"/>
        </w:rPr>
        <w:t>5. Action Item Register</w:t>
      </w:r>
    </w:p>
    <w:p>
      <w:pPr>
        <w:spacing w:before="40" w:after="120"/>
      </w:pPr>
      <w:r>
        <w:rPr>
          <w:rFonts w:ascii="Arial" w:hAnsi="Arial"/>
          <w:b w:val="0"/>
          <w:i w:val="0"/>
          <w:color w:val="000000"/>
          <w:sz w:val="21"/>
        </w:rPr>
        <w:t>This register consolidates every open, blocked, standing, and ready-to-execute item found across all 25 files. Items are ordered by priority track.</w:t>
      </w:r>
    </w:p>
    <w:p>
      <w:pPr>
        <w:spacing w:before="200" w:after="60"/>
      </w:pPr>
      <w:r>
        <w:rPr>
          <w:rFonts w:ascii="Arial" w:hAnsi="Arial"/>
          <w:b/>
          <w:i w:val="0"/>
          <w:color w:val="1B6C76"/>
          <w:sz w:val="22"/>
        </w:rPr>
        <w:t>Track A — Blocking the JAES submission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2A4A"/>
          </w:tcPr>
          <w:p>
            <w:pPr>
              <w:jc w:val="left"/>
            </w:pPr>
            <w:r>
              <w:rPr>
                <w:b/>
                <w:color w:val="FFFFFF"/>
                <w:sz w:val="19"/>
              </w:rPr>
              <w:t>ID</w:t>
            </w:r>
          </w:p>
        </w:tc>
        <w:tc>
          <w:tcPr>
            <w:tcW w:type="dxa" w:w="2340"/>
            <w:shd w:val="clear" w:color="auto" w:fill="1A2A4A"/>
          </w:tcPr>
          <w:p>
            <w:pPr>
              <w:jc w:val="left"/>
            </w:pPr>
            <w:r>
              <w:rPr>
                <w:b/>
                <w:color w:val="FFFFFF"/>
                <w:sz w:val="19"/>
              </w:rPr>
              <w:t>Item</w:t>
            </w:r>
          </w:p>
        </w:tc>
        <w:tc>
          <w:tcPr>
            <w:tcW w:type="dxa" w:w="2340"/>
            <w:shd w:val="clear" w:color="auto" w:fill="1A2A4A"/>
          </w:tcPr>
          <w:p>
            <w:pPr>
              <w:jc w:val="left"/>
            </w:pPr>
            <w:r>
              <w:rPr>
                <w:b/>
                <w:color w:val="FFFFFF"/>
                <w:sz w:val="19"/>
              </w:rPr>
              <w:t>Status</w:t>
            </w:r>
          </w:p>
        </w:tc>
        <w:tc>
          <w:tcPr>
            <w:tcW w:type="dxa" w:w="2340"/>
            <w:shd w:val="clear" w:color="auto" w:fill="1A2A4A"/>
          </w:tcPr>
          <w:p>
            <w:pPr>
              <w:jc w:val="left"/>
            </w:pPr>
            <w:r>
              <w:rPr>
                <w:b/>
                <w:color w:val="FFFFFF"/>
                <w:sz w:val="19"/>
              </w:rPr>
              <w:t>What unblocks it</w:t>
            </w:r>
          </w:p>
        </w:tc>
      </w:tr>
      <w:tr>
        <w:tc>
          <w:tcPr>
            <w:tcW w:type="dxa" w:w="2340"/>
            <w:shd w:val="clear" w:color="auto" w:fill="F4F6FA"/>
          </w:tcPr>
          <w:p>
            <w:r>
              <w:rPr>
                <w:sz w:val="19"/>
              </w:rPr>
              <w:t>D9</w:t>
            </w:r>
          </w:p>
        </w:tc>
        <w:tc>
          <w:tcPr>
            <w:tcW w:type="dxa" w:w="2340"/>
            <w:shd w:val="clear" w:color="auto" w:fill="F4F6FA"/>
          </w:tcPr>
          <w:p>
            <w:r>
              <w:rPr>
                <w:sz w:val="19"/>
              </w:rPr>
              <w:t>Send Ramsar contact primer v12 to open Phase D pilot</w:t>
            </w:r>
          </w:p>
        </w:tc>
        <w:tc>
          <w:tcPr>
            <w:tcW w:type="dxa" w:w="2340"/>
            <w:shd w:val="clear" w:color="auto" w:fill="F4F6FA"/>
          </w:tcPr>
          <w:p>
            <w:r>
              <w:rPr>
                <w:sz w:val="19"/>
              </w:rPr>
              <w:t>BLOCKED</w:t>
            </w:r>
          </w:p>
        </w:tc>
        <w:tc>
          <w:tcPr>
            <w:tcW w:type="dxa" w:w="2340"/>
            <w:shd w:val="clear" w:color="auto" w:fill="F4F6FA"/>
          </w:tcPr>
          <w:p>
            <w:r>
              <w:rPr>
                <w:sz w:val="19"/>
              </w:rPr>
              <w:t>Operator sends ramsar_contact_primer_v12.docx to Secretariat / MedWet</w:t>
            </w:r>
          </w:p>
        </w:tc>
      </w:tr>
      <w:tr>
        <w:tc>
          <w:tcPr>
            <w:tcW w:type="dxa" w:w="2340"/>
            <w:shd w:val="clear" w:color="auto" w:fill="FFFFFF"/>
          </w:tcPr>
          <w:p>
            <w:r>
              <w:rPr>
                <w:sz w:val="19"/>
              </w:rPr>
              <w:t>D8</w:t>
            </w:r>
          </w:p>
        </w:tc>
        <w:tc>
          <w:tcPr>
            <w:tcW w:type="dxa" w:w="2340"/>
            <w:shd w:val="clear" w:color="auto" w:fill="FFFFFF"/>
          </w:tcPr>
          <w:p>
            <w:r>
              <w:rPr>
                <w:sz w:val="19"/>
              </w:rPr>
              <w:t>Complete JAES paper full draft</w:t>
            </w:r>
          </w:p>
        </w:tc>
        <w:tc>
          <w:tcPr>
            <w:tcW w:type="dxa" w:w="2340"/>
            <w:shd w:val="clear" w:color="auto" w:fill="FFFFFF"/>
          </w:tcPr>
          <w:p>
            <w:r>
              <w:rPr>
                <w:sz w:val="19"/>
              </w:rPr>
              <w:t>BLOCKED</w:t>
            </w:r>
          </w:p>
        </w:tc>
        <w:tc>
          <w:tcPr>
            <w:tcW w:type="dxa" w:w="2340"/>
            <w:shd w:val="clear" w:color="auto" w:fill="FFFFFF"/>
          </w:tcPr>
          <w:p>
            <w:r>
              <w:rPr>
                <w:sz w:val="19"/>
              </w:rPr>
              <w:t>Phase D empirical data (D9 must move first)</w:t>
            </w:r>
          </w:p>
        </w:tc>
      </w:tr>
      <w:tr>
        <w:tc>
          <w:tcPr>
            <w:tcW w:type="dxa" w:w="2340"/>
            <w:shd w:val="clear" w:color="auto" w:fill="F4F6FA"/>
          </w:tcPr>
          <w:p>
            <w:r>
              <w:rPr>
                <w:sz w:val="19"/>
              </w:rPr>
              <w:t>D7</w:t>
            </w:r>
          </w:p>
        </w:tc>
        <w:tc>
          <w:tcPr>
            <w:tcW w:type="dxa" w:w="2340"/>
            <w:shd w:val="clear" w:color="auto" w:fill="F4F6FA"/>
          </w:tcPr>
          <w:p>
            <w:r>
              <w:rPr>
                <w:sz w:val="19"/>
              </w:rPr>
              <w:t>Non-linear convergence proof</w:t>
            </w:r>
          </w:p>
        </w:tc>
        <w:tc>
          <w:tcPr>
            <w:tcW w:type="dxa" w:w="2340"/>
            <w:shd w:val="clear" w:color="auto" w:fill="F4F6FA"/>
          </w:tcPr>
          <w:p>
            <w:r>
              <w:rPr>
                <w:sz w:val="19"/>
              </w:rPr>
              <w:t>BLOCKED</w:t>
            </w:r>
          </w:p>
        </w:tc>
        <w:tc>
          <w:tcPr>
            <w:tcW w:type="dxa" w:w="2340"/>
            <w:shd w:val="clear" w:color="auto" w:fill="F4F6FA"/>
          </w:tcPr>
          <w:p>
            <w:r>
              <w:rPr>
                <w:sz w:val="19"/>
              </w:rPr>
              <w:t>Phase D data — 3 cycles minimum</w:t>
            </w:r>
          </w:p>
        </w:tc>
      </w:tr>
      <w:tr>
        <w:tc>
          <w:tcPr>
            <w:tcW w:type="dxa" w:w="2340"/>
            <w:shd w:val="clear" w:color="auto" w:fill="FFFFFF"/>
          </w:tcPr>
          <w:p>
            <w:r>
              <w:rPr>
                <w:sz w:val="19"/>
              </w:rPr>
              <w:t>–</w:t>
            </w:r>
          </w:p>
        </w:tc>
        <w:tc>
          <w:tcPr>
            <w:tcW w:type="dxa" w:w="2340"/>
            <w:shd w:val="clear" w:color="auto" w:fill="FFFFFF"/>
          </w:tcPr>
          <w:p>
            <w:r>
              <w:rPr>
                <w:sz w:val="19"/>
              </w:rPr>
              <w:t>System C data entry for Exhibit B (software retrieval pipeline)</w:t>
            </w:r>
          </w:p>
        </w:tc>
        <w:tc>
          <w:tcPr>
            <w:tcW w:type="dxa" w:w="2340"/>
            <w:shd w:val="clear" w:color="auto" w:fill="FFFFFF"/>
          </w:tcPr>
          <w:p>
            <w:r>
              <w:rPr>
                <w:sz w:val="19"/>
              </w:rPr>
              <w:t>PENDING</w:t>
            </w:r>
          </w:p>
        </w:tc>
        <w:tc>
          <w:tcPr>
            <w:tcW w:type="dxa" w:w="2340"/>
            <w:shd w:val="clear" w:color="auto" w:fill="FFFFFF"/>
          </w:tcPr>
          <w:p>
            <w:r>
              <w:rPr>
                <w:sz w:val="19"/>
              </w:rPr>
              <w:t>Operator provides namespace list + 30-day query volume shares + declared weights</w:t>
            </w:r>
          </w:p>
        </w:tc>
      </w:tr>
      <w:tr>
        <w:tc>
          <w:tcPr>
            <w:tcW w:type="dxa" w:w="2340"/>
            <w:shd w:val="clear" w:color="auto" w:fill="F4F6FA"/>
          </w:tcPr>
          <w:p>
            <w:r>
              <w:rPr>
                <w:sz w:val="19"/>
              </w:rPr>
              <w:t>–</w:t>
            </w:r>
          </w:p>
        </w:tc>
        <w:tc>
          <w:tcPr>
            <w:tcW w:type="dxa" w:w="2340"/>
            <w:shd w:val="clear" w:color="auto" w:fill="F4F6FA"/>
          </w:tcPr>
          <w:p>
            <w:r>
              <w:rPr>
                <w:sz w:val="19"/>
              </w:rPr>
              <w:t>Resolve canonical mathematics document (v1.1.8 vs. v2.1)</w:t>
            </w:r>
          </w:p>
        </w:tc>
        <w:tc>
          <w:tcPr>
            <w:tcW w:type="dxa" w:w="2340"/>
            <w:shd w:val="clear" w:color="auto" w:fill="F4F6FA"/>
          </w:tcPr>
          <w:p>
            <w:r>
              <w:rPr>
                <w:sz w:val="19"/>
              </w:rPr>
              <w:t>PENDING</w:t>
            </w:r>
          </w:p>
        </w:tc>
        <w:tc>
          <w:tcPr>
            <w:tcW w:type="dxa" w:w="2340"/>
            <w:shd w:val="clear" w:color="auto" w:fill="F4F6FA"/>
          </w:tcPr>
          <w:p>
            <w:r>
              <w:rPr>
                <w:sz w:val="19"/>
              </w:rPr>
              <w:t>Operator designates which math document is the JAES citation reference</w:t>
            </w:r>
          </w:p>
        </w:tc>
      </w:tr>
      <w:tr>
        <w:tc>
          <w:tcPr>
            <w:tcW w:type="dxa" w:w="2340"/>
            <w:shd w:val="clear" w:color="auto" w:fill="FFFFFF"/>
          </w:tcPr>
          <w:p>
            <w:r>
              <w:rPr>
                <w:sz w:val="19"/>
              </w:rPr>
              <w:t>–</w:t>
            </w:r>
          </w:p>
        </w:tc>
        <w:tc>
          <w:tcPr>
            <w:tcW w:type="dxa" w:w="2340"/>
            <w:shd w:val="clear" w:color="auto" w:fill="FFFFFF"/>
          </w:tcPr>
          <w:p>
            <w:r>
              <w:rPr>
                <w:sz w:val="19"/>
              </w:rPr>
              <w:t>Resolve 'Hierarchical' vs. 'Higgins' in framework name for JAES</w:t>
            </w:r>
          </w:p>
        </w:tc>
        <w:tc>
          <w:tcPr>
            <w:tcW w:type="dxa" w:w="2340"/>
            <w:shd w:val="clear" w:color="auto" w:fill="FFFFFF"/>
          </w:tcPr>
          <w:p>
            <w:r>
              <w:rPr>
                <w:sz w:val="19"/>
              </w:rPr>
              <w:t>PENDING</w:t>
            </w:r>
          </w:p>
        </w:tc>
        <w:tc>
          <w:tcPr>
            <w:tcW w:type="dxa" w:w="2340"/>
            <w:shd w:val="clear" w:color="auto" w:fill="FFFFFF"/>
          </w:tcPr>
          <w:p>
            <w:r>
              <w:rPr>
                <w:sz w:val="19"/>
              </w:rPr>
              <w:t>Operator decision — one name, applied consistently across submission package</w:t>
            </w:r>
          </w:p>
        </w:tc>
      </w:tr>
    </w:tbl>
    <w:p>
      <w:pPr>
        <w:spacing w:before="40" w:after="160"/>
      </w:pPr>
    </w:p>
    <w:p>
      <w:pPr>
        <w:spacing w:before="200" w:after="60"/>
      </w:pPr>
      <w:r>
        <w:rPr>
          <w:rFonts w:ascii="Arial" w:hAnsi="Arial"/>
          <w:b/>
          <w:i w:val="0"/>
          <w:color w:val="1B6C76"/>
          <w:sz w:val="22"/>
        </w:rPr>
        <w:t>Track B — Ready to execute now</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2A4A"/>
          </w:tcPr>
          <w:p>
            <w:pPr>
              <w:jc w:val="left"/>
            </w:pPr>
            <w:r>
              <w:rPr>
                <w:b/>
                <w:color w:val="FFFFFF"/>
                <w:sz w:val="19"/>
              </w:rPr>
              <w:t>Item</w:t>
            </w:r>
          </w:p>
        </w:tc>
        <w:tc>
          <w:tcPr>
            <w:tcW w:type="dxa" w:w="3120"/>
            <w:shd w:val="clear" w:color="auto" w:fill="1A2A4A"/>
          </w:tcPr>
          <w:p>
            <w:pPr>
              <w:jc w:val="left"/>
            </w:pPr>
            <w:r>
              <w:rPr>
                <w:b/>
                <w:color w:val="FFFFFF"/>
                <w:sz w:val="19"/>
              </w:rPr>
              <w:t>File ready</w:t>
            </w:r>
          </w:p>
        </w:tc>
        <w:tc>
          <w:tcPr>
            <w:tcW w:type="dxa" w:w="3120"/>
            <w:shd w:val="clear" w:color="auto" w:fill="1A2A4A"/>
          </w:tcPr>
          <w:p>
            <w:pPr>
              <w:jc w:val="left"/>
            </w:pPr>
            <w:r>
              <w:rPr>
                <w:b/>
                <w:color w:val="FFFFFF"/>
                <w:sz w:val="19"/>
              </w:rPr>
              <w:t>Action needed</w:t>
            </w:r>
          </w:p>
        </w:tc>
      </w:tr>
      <w:tr>
        <w:tc>
          <w:tcPr>
            <w:tcW w:type="dxa" w:w="3120"/>
            <w:shd w:val="clear" w:color="auto" w:fill="F4F6FA"/>
          </w:tcPr>
          <w:p>
            <w:r>
              <w:rPr>
                <w:sz w:val="19"/>
              </w:rPr>
              <w:t>Send Ramsar contact letter v15</w:t>
            </w:r>
          </w:p>
        </w:tc>
        <w:tc>
          <w:tcPr>
            <w:tcW w:type="dxa" w:w="3120"/>
            <w:shd w:val="clear" w:color="auto" w:fill="F4F6FA"/>
          </w:tcPr>
          <w:p>
            <w:r>
              <w:rPr>
                <w:sz w:val="19"/>
              </w:rPr>
              <w:t>ramsar_contact_letter_v15.docx</w:t>
            </w:r>
          </w:p>
        </w:tc>
        <w:tc>
          <w:tcPr>
            <w:tcW w:type="dxa" w:w="3120"/>
            <w:shd w:val="clear" w:color="auto" w:fill="F4F6FA"/>
          </w:tcPr>
          <w:p>
            <w:r>
              <w:rPr>
                <w:sz w:val="19"/>
              </w:rPr>
              <w:t>Dispatch to Ramsar Secretariat / MedWet regional contact</w:t>
            </w:r>
          </w:p>
        </w:tc>
      </w:tr>
      <w:tr>
        <w:tc>
          <w:tcPr>
            <w:tcW w:type="dxa" w:w="3120"/>
            <w:shd w:val="clear" w:color="auto" w:fill="FFFFFF"/>
          </w:tcPr>
          <w:p>
            <w:r>
              <w:rPr>
                <w:sz w:val="19"/>
              </w:rPr>
              <w:t>Handbook MC-4 name insertion (D4)</w:t>
            </w:r>
          </w:p>
        </w:tc>
        <w:tc>
          <w:tcPr>
            <w:tcW w:type="dxa" w:w="3120"/>
            <w:shd w:val="clear" w:color="auto" w:fill="FFFFFF"/>
          </w:tcPr>
          <w:p>
            <w:r>
              <w:rPr>
                <w:sz w:val="19"/>
              </w:rPr>
              <w:t>HUF_Handbook_v1.2.0.docx</w:t>
            </w:r>
          </w:p>
        </w:tc>
        <w:tc>
          <w:tcPr>
            <w:tcW w:type="dxa" w:w="3120"/>
            <w:shd w:val="clear" w:color="auto" w:fill="FFFFFF"/>
          </w:tcPr>
          <w:p>
            <w:r>
              <w:rPr>
                <w:sz w:val="19"/>
              </w:rPr>
              <w:t>Single editorial pass — insert 'Ratio State Monitoring' in Ch. 12.4 and 12.5</w:t>
            </w:r>
          </w:p>
        </w:tc>
      </w:tr>
      <w:tr>
        <w:tc>
          <w:tcPr>
            <w:tcW w:type="dxa" w:w="3120"/>
            <w:shd w:val="clear" w:color="auto" w:fill="F4F6FA"/>
          </w:tcPr>
          <w:p>
            <w:r>
              <w:rPr>
                <w:sz w:val="19"/>
              </w:rPr>
              <w:t>Governance state observer paper</w:t>
            </w:r>
          </w:p>
        </w:tc>
        <w:tc>
          <w:tcPr>
            <w:tcW w:type="dxa" w:w="3120"/>
            <w:shd w:val="clear" w:color="auto" w:fill="F4F6FA"/>
          </w:tcPr>
          <w:p>
            <w:r>
              <w:rPr>
                <w:sz w:val="19"/>
              </w:rPr>
              <w:t>huf_governance_state_observer.docx</w:t>
            </w:r>
          </w:p>
        </w:tc>
        <w:tc>
          <w:tcPr>
            <w:tcW w:type="dxa" w:w="3120"/>
            <w:shd w:val="clear" w:color="auto" w:fill="F4F6FA"/>
          </w:tcPr>
          <w:p>
            <w:r>
              <w:rPr>
                <w:sz w:val="19"/>
              </w:rPr>
              <w:t>Add proof-posture markers + resolve framework name + cite math doc by version</w:t>
            </w:r>
          </w:p>
        </w:tc>
      </w:tr>
      <w:tr>
        <w:tc>
          <w:tcPr>
            <w:tcW w:type="dxa" w:w="3120"/>
            <w:shd w:val="clear" w:color="auto" w:fill="FFFFFF"/>
          </w:tcPr>
          <w:p>
            <w:r>
              <w:rPr>
                <w:sz w:val="19"/>
              </w:rPr>
              <w:t>Ramsar demo script</w:t>
            </w:r>
          </w:p>
        </w:tc>
        <w:tc>
          <w:tcPr>
            <w:tcW w:type="dxa" w:w="3120"/>
            <w:shd w:val="clear" w:color="auto" w:fill="FFFFFF"/>
          </w:tcPr>
          <w:p>
            <w:r>
              <w:rPr>
                <w:sz w:val="19"/>
              </w:rPr>
              <w:t>ramsar_huf_demo_v2.py</w:t>
            </w:r>
          </w:p>
        </w:tc>
        <w:tc>
          <w:tcPr>
            <w:tcW w:type="dxa" w:w="3120"/>
            <w:shd w:val="clear" w:color="auto" w:fill="FFFFFF"/>
          </w:tcPr>
          <w:p>
            <w:r>
              <w:rPr>
                <w:sz w:val="19"/>
              </w:rPr>
              <w:t>Run against real RSIS export (replace MOCK_RSIS block); validate 4 CSV outputs</w:t>
            </w:r>
          </w:p>
        </w:tc>
      </w:tr>
      <w:tr>
        <w:tc>
          <w:tcPr>
            <w:tcW w:type="dxa" w:w="3120"/>
            <w:shd w:val="clear" w:color="auto" w:fill="F4F6FA"/>
          </w:tcPr>
          <w:p>
            <w:r>
              <w:rPr>
                <w:sz w:val="19"/>
              </w:rPr>
              <w:t>Exhibit B System C data entry</w:t>
            </w:r>
          </w:p>
        </w:tc>
        <w:tc>
          <w:tcPr>
            <w:tcW w:type="dxa" w:w="3120"/>
            <w:shd w:val="clear" w:color="auto" w:fill="F4F6FA"/>
          </w:tcPr>
          <w:p>
            <w:r>
              <w:rPr>
                <w:sz w:val="19"/>
              </w:rPr>
              <w:t>HUF_Vol3_CaseStudyD2_ExhibitB_framework.docx</w:t>
            </w:r>
          </w:p>
        </w:tc>
        <w:tc>
          <w:tcPr>
            <w:tcW w:type="dxa" w:w="3120"/>
            <w:shd w:val="clear" w:color="auto" w:fill="F4F6FA"/>
          </w:tcPr>
          <w:p>
            <w:r>
              <w:rPr>
                <w:sz w:val="19"/>
              </w:rPr>
              <w:t>Insert pipeline namespace data — framework is execution-ready</w:t>
            </w:r>
          </w:p>
        </w:tc>
      </w:tr>
    </w:tbl>
    <w:p>
      <w:pPr>
        <w:spacing w:before="40" w:after="160"/>
      </w:pPr>
    </w:p>
    <w:p>
      <w:pPr>
        <w:spacing w:before="200" w:after="60"/>
      </w:pPr>
      <w:r>
        <w:rPr>
          <w:rFonts w:ascii="Arial" w:hAnsi="Arial"/>
          <w:b/>
          <w:i w:val="0"/>
          <w:color w:val="1B6C76"/>
          <w:sz w:val="22"/>
        </w:rPr>
        <w:t>Track C — Manufacturing path (requires external access)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2A4A"/>
          </w:tcPr>
          <w:p>
            <w:pPr>
              <w:jc w:val="left"/>
            </w:pPr>
            <w:r>
              <w:rPr>
                <w:b/>
                <w:color w:val="FFFFFF"/>
                <w:sz w:val="19"/>
              </w:rPr>
              <w:t>Item</w:t>
            </w:r>
          </w:p>
        </w:tc>
        <w:tc>
          <w:tcPr>
            <w:tcW w:type="dxa" w:w="3120"/>
            <w:shd w:val="clear" w:color="auto" w:fill="1A2A4A"/>
          </w:tcPr>
          <w:p>
            <w:pPr>
              <w:jc w:val="left"/>
            </w:pPr>
            <w:r>
              <w:rPr>
                <w:b/>
                <w:color w:val="FFFFFF"/>
                <w:sz w:val="19"/>
              </w:rPr>
              <w:t>Path</w:t>
            </w:r>
          </w:p>
        </w:tc>
        <w:tc>
          <w:tcPr>
            <w:tcW w:type="dxa" w:w="3120"/>
            <w:shd w:val="clear" w:color="auto" w:fill="1A2A4A"/>
          </w:tcPr>
          <w:p>
            <w:pPr>
              <w:jc w:val="left"/>
            </w:pPr>
            <w:r>
              <w:rPr>
                <w:b/>
                <w:color w:val="FFFFFF"/>
                <w:sz w:val="19"/>
              </w:rPr>
              <w:t>First step</w:t>
            </w:r>
          </w:p>
        </w:tc>
      </w:tr>
      <w:tr>
        <w:tc>
          <w:tcPr>
            <w:tcW w:type="dxa" w:w="3120"/>
            <w:shd w:val="clear" w:color="auto" w:fill="F4F6FA"/>
          </w:tcPr>
          <w:p>
            <w:r>
              <w:rPr>
                <w:sz w:val="19"/>
              </w:rPr>
              <w:t>Fuji NXTR/AIMEX R placement portfolio pilot</w:t>
            </w:r>
          </w:p>
        </w:tc>
        <w:tc>
          <w:tcPr>
            <w:tcW w:type="dxa" w:w="3120"/>
            <w:shd w:val="clear" w:color="auto" w:fill="F4F6FA"/>
          </w:tcPr>
          <w:p>
            <w:r>
              <w:rPr>
                <w:sz w:val="19"/>
              </w:rPr>
              <w:t>Fuji Japan / EMS customer</w:t>
            </w:r>
          </w:p>
        </w:tc>
        <w:tc>
          <w:tcPr>
            <w:tcW w:type="dxa" w:w="3120"/>
            <w:shd w:val="clear" w:color="auto" w:fill="F4F6FA"/>
          </w:tcPr>
          <w:p>
            <w:r>
              <w:rPr>
                <w:sz w:val="19"/>
              </w:rPr>
              <w:t>Contact one of the 33-year production manager network — request one quarter of Nexim export data</w:t>
            </w:r>
          </w:p>
        </w:tc>
      </w:tr>
      <w:tr>
        <w:tc>
          <w:tcPr>
            <w:tcW w:type="dxa" w:w="3120"/>
            <w:shd w:val="clear" w:color="auto" w:fill="FFFFFF"/>
          </w:tcPr>
          <w:p>
            <w:r>
              <w:rPr>
                <w:sz w:val="19"/>
              </w:rPr>
              <w:t>Nordson Dage inspection portfolio pilot</w:t>
            </w:r>
          </w:p>
        </w:tc>
        <w:tc>
          <w:tcPr>
            <w:tcW w:type="dxa" w:w="3120"/>
            <w:shd w:val="clear" w:color="auto" w:fill="FFFFFF"/>
          </w:tcPr>
          <w:p>
            <w:r>
              <w:rPr>
                <w:sz w:val="19"/>
              </w:rPr>
              <w:t>Nordson Dage / EMS customer</w:t>
            </w:r>
          </w:p>
        </w:tc>
        <w:tc>
          <w:tcPr>
            <w:tcW w:type="dxa" w:w="3120"/>
            <w:shd w:val="clear" w:color="auto" w:fill="FFFFFF"/>
          </w:tcPr>
          <w:p>
            <w:r>
              <w:rPr>
                <w:sz w:val="19"/>
              </w:rPr>
              <w:t>Contact Nordson DAGE applications team using Dage qualification credential</w:t>
            </w:r>
          </w:p>
        </w:tc>
      </w:tr>
      <w:tr>
        <w:tc>
          <w:tcPr>
            <w:tcW w:type="dxa" w:w="3120"/>
            <w:shd w:val="clear" w:color="auto" w:fill="F4F6FA"/>
          </w:tcPr>
          <w:p>
            <w:r>
              <w:rPr>
                <w:sz w:val="19"/>
              </w:rPr>
              <w:t>Case Study D.5 — Electronics assembly</w:t>
            </w:r>
          </w:p>
        </w:tc>
        <w:tc>
          <w:tcPr>
            <w:tcW w:type="dxa" w:w="3120"/>
            <w:shd w:val="clear" w:color="auto" w:fill="F4F6FA"/>
          </w:tcPr>
          <w:p>
            <w:r>
              <w:rPr>
                <w:sz w:val="19"/>
              </w:rPr>
              <w:t>After pilot data received</w:t>
            </w:r>
          </w:p>
        </w:tc>
        <w:tc>
          <w:tcPr>
            <w:tcW w:type="dxa" w:w="3120"/>
            <w:shd w:val="clear" w:color="auto" w:fill="F4F6FA"/>
          </w:tcPr>
          <w:p>
            <w:r>
              <w:rPr>
                <w:sz w:val="19"/>
              </w:rPr>
              <w:t>Run HUF diagnostic on Nexim data; produce Exhibit E</w:t>
            </w:r>
          </w:p>
        </w:tc>
      </w:tr>
      <w:tr>
        <w:tc>
          <w:tcPr>
            <w:tcW w:type="dxa" w:w="3120"/>
            <w:shd w:val="clear" w:color="auto" w:fill="FFFFFF"/>
          </w:tcPr>
          <w:p>
            <w:r>
              <w:rPr>
                <w:sz w:val="19"/>
              </w:rPr>
              <w:t>SMTA / IPC APEX conference paper</w:t>
            </w:r>
          </w:p>
        </w:tc>
        <w:tc>
          <w:tcPr>
            <w:tcW w:type="dxa" w:w="3120"/>
            <w:shd w:val="clear" w:color="auto" w:fill="FFFFFF"/>
          </w:tcPr>
          <w:p>
            <w:r>
              <w:rPr>
                <w:sz w:val="19"/>
              </w:rPr>
              <w:t>After D.5 complete</w:t>
            </w:r>
          </w:p>
        </w:tc>
        <w:tc>
          <w:tcPr>
            <w:tcW w:type="dxa" w:w="3120"/>
            <w:shd w:val="clear" w:color="auto" w:fill="FFFFFF"/>
          </w:tcPr>
          <w:p>
            <w:r>
              <w:rPr>
                <w:sz w:val="19"/>
              </w:rPr>
              <w:t>Submit manufacturing-domain HUF paper to SMTA or IPC APEX Expo</w:t>
            </w:r>
          </w:p>
        </w:tc>
      </w:tr>
    </w:tbl>
    <w:p>
      <w:pPr>
        <w:spacing w:before="40" w:after="160"/>
      </w:pPr>
    </w:p>
    <w:p>
      <w:pPr>
        <w:spacing w:before="200" w:after="60"/>
      </w:pPr>
      <w:r>
        <w:rPr>
          <w:rFonts w:ascii="Arial" w:hAnsi="Arial"/>
          <w:b/>
          <w:i w:val="0"/>
          <w:color w:val="1B6C76"/>
          <w:sz w:val="22"/>
        </w:rPr>
        <w:t>Track D — Standing conditions (ongoing)</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2A4A"/>
          </w:tcPr>
          <w:p>
            <w:pPr>
              <w:jc w:val="left"/>
            </w:pPr>
            <w:r>
              <w:rPr>
                <w:b/>
                <w:color w:val="FFFFFF"/>
                <w:sz w:val="19"/>
              </w:rPr>
              <w:t>ID</w:t>
            </w:r>
          </w:p>
        </w:tc>
        <w:tc>
          <w:tcPr>
            <w:tcW w:type="dxa" w:w="3120"/>
            <w:shd w:val="clear" w:color="auto" w:fill="1A2A4A"/>
          </w:tcPr>
          <w:p>
            <w:pPr>
              <w:jc w:val="left"/>
            </w:pPr>
            <w:r>
              <w:rPr>
                <w:b/>
                <w:color w:val="FFFFFF"/>
                <w:sz w:val="19"/>
              </w:rPr>
              <w:t>Condition</w:t>
            </w:r>
          </w:p>
        </w:tc>
        <w:tc>
          <w:tcPr>
            <w:tcW w:type="dxa" w:w="3120"/>
            <w:shd w:val="clear" w:color="auto" w:fill="1A2A4A"/>
          </w:tcPr>
          <w:p>
            <w:pPr>
              <w:jc w:val="left"/>
            </w:pPr>
            <w:r>
              <w:rPr>
                <w:b/>
                <w:color w:val="FFFFFF"/>
                <w:sz w:val="19"/>
              </w:rPr>
              <w:t>When to act</w:t>
            </w:r>
          </w:p>
        </w:tc>
      </w:tr>
      <w:tr>
        <w:tc>
          <w:tcPr>
            <w:tcW w:type="dxa" w:w="3120"/>
            <w:shd w:val="clear" w:color="auto" w:fill="F4F6FA"/>
          </w:tcPr>
          <w:p>
            <w:r>
              <w:rPr>
                <w:sz w:val="19"/>
              </w:rPr>
              <w:t>D6</w:t>
            </w:r>
          </w:p>
        </w:tc>
        <w:tc>
          <w:tcPr>
            <w:tcW w:type="dxa" w:w="3120"/>
            <w:shd w:val="clear" w:color="auto" w:fill="F4F6FA"/>
          </w:tcPr>
          <w:p>
            <w:r>
              <w:rPr>
                <w:sz w:val="19"/>
              </w:rPr>
              <w:t>Configure Orphan Alert Y and Z per domain before each new deployment</w:t>
            </w:r>
          </w:p>
        </w:tc>
        <w:tc>
          <w:tcPr>
            <w:tcW w:type="dxa" w:w="3120"/>
            <w:shd w:val="clear" w:color="auto" w:fill="F4F6FA"/>
          </w:tcPr>
          <w:p>
            <w:r>
              <w:rPr>
                <w:sz w:val="19"/>
              </w:rPr>
              <w:t>At each new domain entry — defaults Y=50%, Z=2 cycles are Ramsar-pilot values only</w:t>
            </w:r>
          </w:p>
        </w:tc>
      </w:tr>
      <w:tr>
        <w:tc>
          <w:tcPr>
            <w:tcW w:type="dxa" w:w="3120"/>
            <w:shd w:val="clear" w:color="auto" w:fill="FFFFFF"/>
          </w:tcPr>
          <w:p>
            <w:r>
              <w:rPr>
                <w:sz w:val="19"/>
              </w:rPr>
              <w:t>–</w:t>
            </w:r>
          </w:p>
        </w:tc>
        <w:tc>
          <w:tcPr>
            <w:tcW w:type="dxa" w:w="3120"/>
            <w:shd w:val="clear" w:color="auto" w:fill="FFFFFF"/>
          </w:tcPr>
          <w:p>
            <w:r>
              <w:rPr>
                <w:sz w:val="19"/>
              </w:rPr>
              <w:t>Add proof-posture markers to any document before external distribution</w:t>
            </w:r>
          </w:p>
        </w:tc>
        <w:tc>
          <w:tcPr>
            <w:tcW w:type="dxa" w:w="3120"/>
            <w:shd w:val="clear" w:color="auto" w:fill="FFFFFF"/>
          </w:tcPr>
          <w:p>
            <w:r>
              <w:rPr>
                <w:sz w:val="19"/>
              </w:rPr>
              <w:t>Before sending to Secretariat, journal, or conference — use [PROVED]/[CONJECTURE] discipline</w:t>
            </w:r>
          </w:p>
        </w:tc>
      </w:tr>
      <w:tr>
        <w:tc>
          <w:tcPr>
            <w:tcW w:type="dxa" w:w="3120"/>
            <w:shd w:val="clear" w:color="auto" w:fill="F4F6FA"/>
          </w:tcPr>
          <w:p>
            <w:r>
              <w:rPr>
                <w:sz w:val="19"/>
              </w:rPr>
              <w:t>–</w:t>
            </w:r>
          </w:p>
        </w:tc>
        <w:tc>
          <w:tcPr>
            <w:tcW w:type="dxa" w:w="3120"/>
            <w:shd w:val="clear" w:color="auto" w:fill="F4F6FA"/>
          </w:tcPr>
          <w:p>
            <w:r>
              <w:rPr>
                <w:sz w:val="19"/>
              </w:rPr>
              <w:t>Add qualification note to leverage when used as multiplier</w:t>
            </w:r>
          </w:p>
        </w:tc>
        <w:tc>
          <w:tcPr>
            <w:tcW w:type="dxa" w:w="3120"/>
            <w:shd w:val="clear" w:color="auto" w:fill="F4F6FA"/>
          </w:tcPr>
          <w:p>
            <w:r>
              <w:rPr>
                <w:sz w:val="19"/>
              </w:rPr>
              <w:t>In any document citing leverage &gt; 100 — flag as qualitative indicator, not precise multiplier</w:t>
            </w:r>
          </w:p>
        </w:tc>
      </w:tr>
    </w:tbl>
    <w:p>
      <w:pPr>
        <w:spacing w:before="40" w:after="160"/>
      </w:pPr>
    </w:p>
    <w:p>
      <w:r>
        <w:br w:type="page"/>
      </w:r>
    </w:p>
    <w:p>
      <w:pPr>
        <w:keepNext/>
        <w:pBdr>
          <w:bottom w:val="single" w:sz="6" w:space="4" w:color="1B6C76"/>
        </w:pBdr>
        <w:spacing w:before="360" w:after="120"/>
      </w:pPr>
      <w:r>
        <w:rPr>
          <w:rFonts w:ascii="Arial" w:hAnsi="Arial"/>
          <w:b/>
          <w:i w:val="0"/>
          <w:color w:val="1A2A4A"/>
          <w:sz w:val="32"/>
        </w:rPr>
        <w:t>6. Closing Observations</w:t>
      </w:r>
    </w:p>
    <w:p>
      <w:pPr>
        <w:spacing w:before="40" w:after="120"/>
      </w:pPr>
      <w:r>
        <w:rPr>
          <w:rFonts w:ascii="Arial" w:hAnsi="Arial"/>
          <w:b w:val="0"/>
          <w:i w:val="0"/>
          <w:color w:val="000000"/>
          <w:sz w:val="21"/>
        </w:rPr>
        <w:t>Three things stand out across the full corpus that are not captured in any individual file.</w:t>
      </w:r>
    </w:p>
    <w:p>
      <w:pPr>
        <w:spacing w:before="200" w:after="60"/>
      </w:pPr>
      <w:r>
        <w:rPr>
          <w:rFonts w:ascii="Arial" w:hAnsi="Arial"/>
          <w:b/>
          <w:i w:val="0"/>
          <w:color w:val="1B6C76"/>
          <w:sz w:val="22"/>
        </w:rPr>
        <w:t>The project is further along than the blocked items suggest</w:t>
      </w:r>
    </w:p>
    <w:p>
      <w:pPr>
        <w:spacing w:before="40" w:after="120"/>
      </w:pPr>
      <w:r>
        <w:rPr>
          <w:rFonts w:ascii="Arial" w:hAnsi="Arial"/>
          <w:b w:val="0"/>
          <w:i w:val="0"/>
          <w:color w:val="000000"/>
          <w:sz w:val="21"/>
        </w:rPr>
        <w:t>The JAES submission path has three blocked items, but all three are blocked on the same single action: sending the Ramsar primer. Everything upstream of Phase D — the mathematics, the case studies, the taxonomy, the governance paper — is at a stage of completeness that is unusual for a framework still in early development. The blocked items are not intellectual gaps; they are waiting-room items queued behind the first institutional contact.</w:t>
      </w:r>
    </w:p>
    <w:p>
      <w:pPr>
        <w:spacing w:before="200" w:after="60"/>
      </w:pPr>
      <w:r>
        <w:rPr>
          <w:rFonts w:ascii="Arial" w:hAnsi="Arial"/>
          <w:b/>
          <w:i w:val="0"/>
          <w:color w:val="1B6C76"/>
          <w:sz w:val="22"/>
        </w:rPr>
        <w:t>The manufacturing path is underrepresented in the literature</w:t>
      </w:r>
    </w:p>
    <w:p>
      <w:pPr>
        <w:spacing w:before="40" w:after="120"/>
      </w:pPr>
      <w:r>
        <w:rPr>
          <w:rFonts w:ascii="Arial" w:hAnsi="Arial"/>
          <w:b w:val="0"/>
          <w:i w:val="0"/>
          <w:color w:val="000000"/>
          <w:sz w:val="21"/>
        </w:rPr>
        <w:t>The Ramsar path has a contact letter, a primer, a demo script, a handoff package, and two case study documents. The manufacturing path has two wiki documents and a structural argument, but no case study, no demo artifact, and no outreach document ready to send. Given that the manufacturing path draws on 33 years of specific, credentialled expertise and offers a faster pilot cycle (weekly data vs. 3-year Ramsar reporting cycles), it may deserve more of the next wave of document production.</w:t>
      </w:r>
    </w:p>
    <w:p>
      <w:pPr>
        <w:spacing w:before="200" w:after="60"/>
      </w:pPr>
      <w:r>
        <w:rPr>
          <w:rFonts w:ascii="Arial" w:hAnsi="Arial"/>
          <w:b/>
          <w:i w:val="0"/>
          <w:color w:val="1B6C76"/>
          <w:sz w:val="22"/>
        </w:rPr>
        <w:t>The AI collaboration model itself is a publishable contribution</w:t>
      </w:r>
    </w:p>
    <w:p>
      <w:pPr>
        <w:spacing w:before="40" w:after="120"/>
      </w:pPr>
      <w:r>
        <w:rPr>
          <w:rFonts w:ascii="Arial" w:hAnsi="Arial"/>
          <w:b w:val="0"/>
          <w:i w:val="0"/>
          <w:color w:val="000000"/>
          <w:sz w:val="21"/>
        </w:rPr>
        <w:t>No document in the corpus explicitly proposes this as a research contribution, but the documented process — five AI systems each contributing domain-specific layers, with formal verdicts, Go/No-Go assessments, and scope boundaries, all curated by a single operator — is an unusual and replicable methodology. The todo tracker, the handoff package's ChatGPT section, and the provenance labels throughout the taxonomy together constitute a documented record of a novel research process. This is worth a methodology note in the JAES paper at minimum, and possibly a standalone contribution.</w:t>
      </w:r>
    </w:p>
    <w:p>
      <w:pPr>
        <w:pBdr>
          <w:bottom w:val="single" w:sz="4" w:space="1" w:color="CCCCDD"/>
        </w:pBdr>
        <w:spacing w:before="80" w:after="80"/>
      </w:pPr>
    </w:p>
    <w:p>
      <w:pPr>
        <w:spacing w:before="160" w:after="0"/>
      </w:pPr>
    </w:p>
    <w:p>
      <w:pPr>
        <w:jc w:val="center"/>
      </w:pPr>
      <w:r>
        <w:rPr>
          <w:rFonts w:ascii="Arial" w:hAnsi="Arial"/>
          <w:b w:val="0"/>
          <w:i/>
          <w:color w:val="888899"/>
          <w:sz w:val="18"/>
        </w:rPr>
        <w:t>Analysis prepared by Claude (Anthropic)  ·  March 2026  ·  HUF v1.2.0  ·  25 files analysed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