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line="284"/>
        <w:jc w:val="left"/>
      </w:pPr>
      <w:r>
        <w:rPr>
          <w:rFonts w:ascii="Calibri" w:cs="Calibri" w:eastAsia="Calibri" w:hAnsi="Calibri"/>
          <w:b w:val="false"/>
          <w:bCs w:val="false"/>
          <w:i w:val="false"/>
          <w:iCs w:val="false"/>
          <w:caps w:val="false"/>
          <w:color w:val="1A1A1A"/>
          <w:sz w:val="22"/>
          <w:szCs w:val="22"/>
        </w:rPr>
        <w:t xml:space="preserve"/>
      </w:r>
    </w:p>
    <w:p>
      <w:pPr>
        <w:spacing w:before="0" w:after="12"/>
        <w:jc w:val="center"/>
      </w:pPr>
      <w:r>
        <w:rPr>
          <w:rFonts w:ascii="Calibri" w:cs="Calibri" w:eastAsia="Calibri" w:hAnsi="Calibri"/>
          <w:caps/>
          <w:color w:val="7A8A99"/>
          <w:sz w:val="20"/>
          <w:szCs w:val="20"/>
        </w:rPr>
        <w:t xml:space="preserve">RAMSAR CROATIA PILOT</w:t>
      </w:r>
    </w:p>
    <w:p>
      <w:pPr>
        <w:pBdr>
          <w:bottom w:val="single" w:color="1A1A2E" w:sz="8" w:space="14"/>
        </w:pBdr>
        <w:spacing w:before="0" w:after="16"/>
        <w:jc w:val="center"/>
      </w:pPr>
      <w:r>
        <w:rPr>
          <w:rFonts w:ascii="Calibri" w:cs="Calibri" w:eastAsia="Calibri" w:hAnsi="Calibri"/>
          <w:b/>
          <w:bCs/>
          <w:color w:val="1A1A2E"/>
          <w:sz w:val="52"/>
          <w:szCs w:val="52"/>
        </w:rPr>
        <w:t xml:space="preserve">COMPLETE HANDOFF PACKAGE</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spacing w:before="0" w:after="16"/>
        <w:jc w:val="center"/>
      </w:pPr>
      <w:r>
        <w:rPr>
          <w:rFonts w:ascii="Calibri" w:cs="Calibri" w:eastAsia="Calibri" w:hAnsi="Calibri"/>
          <w:color w:val="2C3E50"/>
          <w:sz w:val="28"/>
          <w:szCs w:val="28"/>
        </w:rPr>
        <w:t xml:space="preserve">Higgins Unity Framework · HUF v1.2.0</w:t>
      </w:r>
    </w:p>
    <w:p>
      <w:pPr>
        <w:spacing w:before="0" w:after="60"/>
        <w:jc w:val="center"/>
      </w:pPr>
      <w:r>
        <w:rPr>
          <w:rFonts w:ascii="Calibri" w:cs="Calibri" w:eastAsia="Calibri" w:hAnsi="Calibri"/>
          <w:i/>
          <w:iCs/>
          <w:color w:val="4A6080"/>
          <w:sz w:val="24"/>
          <w:szCs w:val="24"/>
        </w:rPr>
        <w:t xml:space="preserve">Ratio State Monitoring applied to the Croatian Ramsar Portfolio</w:t>
      </w:r>
    </w:p>
    <w:p>
      <w:pPr>
        <w:spacing w:before="0" w:after="240" w:line="284"/>
        <w:jc w:val="left"/>
      </w:pPr>
      <w:r>
        <w:rPr>
          <w:rFonts w:ascii="Calibri" w:cs="Calibri" w:eastAsia="Calibri" w:hAnsi="Calibri"/>
          <w:b w:val="false"/>
          <w:bCs w:val="false"/>
          <w:i w:val="false"/>
          <w:iCs w:val="false"/>
          <w:caps w:val="false"/>
          <w:color w:val="1A1A1A"/>
          <w:sz w:val="22"/>
          <w:szCs w:val="22"/>
        </w:rPr>
        <w:t xml:space="preserve"/>
      </w:r>
    </w:p>
    <w:p>
      <w:pPr>
        <w:pBdr>
          <w:top w:val="single" w:color="C8D4E0" w:sz="2" w:space="8"/>
        </w:pBdr>
        <w:spacing w:before="0" w:after="20"/>
        <w:jc w:val="center"/>
      </w:pPr>
      <w:r>
        <w:rPr>
          <w:rFonts w:ascii="Calibri" w:cs="Calibri" w:eastAsia="Calibri" w:hAnsi="Calibri"/>
          <w:color w:val="7A8A99"/>
          <w:sz w:val="22"/>
          <w:szCs w:val="22"/>
        </w:rPr>
        <w:t xml:space="preserve">Five Sites · 93,590 ha · Three Reporting Cycles Simulated</w:t>
      </w:r>
    </w:p>
    <w:p>
      <w:pPr>
        <w:spacing w:before="0" w:after="20"/>
        <w:jc w:val="center"/>
      </w:pPr>
      <w:r>
        <w:rPr>
          <w:rFonts w:ascii="Calibri" w:cs="Calibri" w:eastAsia="Calibri" w:hAnsi="Calibri"/>
          <w:color w:val="2C3E50"/>
          <w:sz w:val="22"/>
          <w:szCs w:val="22"/>
        </w:rPr>
        <w:t xml:space="preserve">Kopački Rit  ·  Lonjsko Polje  ·  Crna Mlaka  ·  Donja Neretva  ·  Vransko jezero</w:t>
      </w:r>
    </w:p>
    <w:p>
      <w:pPr>
        <w:spacing w:before="0" w:after="320" w:line="284"/>
        <w:jc w:val="left"/>
      </w:pPr>
      <w:r>
        <w:rPr>
          <w:rFonts w:ascii="Calibri" w:cs="Calibri" w:eastAsia="Calibri" w:hAnsi="Calibri"/>
          <w:b w:val="false"/>
          <w:bCs w:val="false"/>
          <w:i w:val="false"/>
          <w:iCs w:val="false"/>
          <w:caps w:val="false"/>
          <w:color w:val="1A1A1A"/>
          <w:sz w:val="22"/>
          <w:szCs w:val="22"/>
        </w:rPr>
        <w:t xml:space="preserve"/>
      </w:r>
    </w:p>
    <w:p>
      <w:pPr>
        <w:spacing w:before="0" w:after="16"/>
        <w:jc w:val="center"/>
      </w:pPr>
      <w:r>
        <w:rPr>
          <w:rFonts w:ascii="Calibri" w:cs="Calibri" w:eastAsia="Calibri" w:hAnsi="Calibri"/>
          <w:color w:val="7A8A99"/>
          <w:sz w:val="20"/>
          <w:szCs w:val="20"/>
        </w:rPr>
        <w:t xml:space="preserve">February 2026  ·  Collective Record</w:t>
      </w:r>
    </w:p>
    <w:p>
      <w:pPr>
        <w:spacing w:before="0" w:after="16"/>
        <w:jc w:val="center"/>
      </w:pPr>
      <w:r>
        <w:rPr>
          <w:rFonts w:ascii="Calibri" w:cs="Calibri" w:eastAsia="Calibri" w:hAnsi="Calibri"/>
          <w:color w:val="7A8A99"/>
          <w:sz w:val="20"/>
          <w:szCs w:val="20"/>
        </w:rPr>
        <w:t xml:space="preserve">Peter Higgins  ·  Rogue Wave Audio  ·  Markham, Ontario</w:t>
      </w:r>
    </w:p>
    <w:p>
      <w:pPr>
        <w:spacing w:before="0" w:after="0"/>
        <w:jc w:val="center"/>
      </w:pPr>
      <w:r>
        <w:rPr>
          <w:rFonts w:ascii="Calibri" w:cs="Calibri" w:eastAsia="Calibri" w:hAnsi="Calibri"/>
          <w:color w:val="7A8A99"/>
          <w:sz w:val="18"/>
          <w:szCs w:val="18"/>
        </w:rPr>
        <w:t xml:space="preserve">Claude · Copilot · Gemini · ChatGPT · Grok</w:t>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How to Use This Package</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This package is the complete handoff for the Croatia Ramsar pilot. It contains everything a new reader — including a Ramsar Secretariat contact, a Croatian Ministry partner, or a fresh AI collaborator — needs to understand the project, run the demonstration, and take the next steps.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package is organised in seven sections. Read them in order for the first time. Return to individual sections as needed.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2640"/>
      </w:tblGrid>
      <w:tr>
        <w:trPr>
          <w:tblHeader/>
        </w:trPr>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Section</w:t>
            </w:r>
          </w:p>
        </w:tc>
        <w:tc>
          <w:tcPr>
            <w:tcW w:type="dxa" w:w="46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Contents</w:t>
            </w:r>
          </w:p>
        </w:tc>
        <w:tc>
          <w:tcPr>
            <w:tcW w:type="dxa" w:w="2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Primary audience</w:t>
            </w:r>
          </w:p>
        </w:tc>
      </w:tr>
      <w:tr>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 Croatia Site Reference</w:t>
            </w:r>
          </w:p>
        </w:tc>
        <w:tc>
          <w:tcPr>
            <w:tcW w:type="dxa" w:w="4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five Ramsar sites with RSIS data, computed portfolio shares, leverage values, and governance status</w:t>
            </w:r>
          </w:p>
        </w:tc>
        <w:tc>
          <w:tcPr>
            <w:tcW w:type="dxa" w:w="2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Secretariat / Croatian Ministry / pilot partners</w:t>
            </w:r>
          </w:p>
        </w:tc>
      </w:tr>
      <w:tr>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Completed Studies</w:t>
            </w:r>
          </w:p>
        </w:tc>
        <w:tc>
          <w:tcPr>
            <w:tcW w:type="dxa" w:w="46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Every study, demonstration, and analytical result that is complete and citable as of February 2026</w:t>
            </w:r>
          </w:p>
        </w:tc>
        <w:tc>
          <w:tcPr>
            <w:tcW w:type="dxa" w:w="2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Reviewers / JAES authors / Secretariat</w:t>
            </w:r>
          </w:p>
        </w:tc>
      </w:tr>
      <w:tr>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 Outlined Work</w:t>
            </w:r>
          </w:p>
        </w:tc>
        <w:tc>
          <w:tcPr>
            <w:tcW w:type="dxa" w:w="4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Studies that need real data or institutional access to complete — outline ready, execution pending</w:t>
            </w:r>
          </w:p>
        </w:tc>
        <w:tc>
          <w:tcPr>
            <w:tcW w:type="dxa" w:w="2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ChatGPT / future collaborators / Phase D</w:t>
            </w:r>
          </w:p>
        </w:tc>
      </w:tr>
      <w:tr>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 Document Index</w:t>
            </w:r>
          </w:p>
        </w:tc>
        <w:tc>
          <w:tcPr>
            <w:tcW w:type="dxa" w:w="46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Every file in the HUF corpus with format, version, status, and role in the argument chain</w:t>
            </w:r>
          </w:p>
        </w:tc>
        <w:tc>
          <w:tcPr>
            <w:tcW w:type="dxa" w:w="2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audiences — use as master file registry</w:t>
            </w:r>
          </w:p>
        </w:tc>
      </w:tr>
      <w:tr>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 Index of Learning</w:t>
            </w:r>
          </w:p>
        </w:tc>
        <w:tc>
          <w:tcPr>
            <w:tcW w:type="dxa" w:w="4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complete educational path through HUF — from first principles to journal submission</w:t>
            </w:r>
          </w:p>
        </w:tc>
        <w:tc>
          <w:tcPr>
            <w:tcW w:type="dxa" w:w="2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New readers / AI onboarding / student use</w:t>
            </w:r>
          </w:p>
        </w:tc>
      </w:tr>
      <w:tr>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 ChatGPT Handoff</w:t>
            </w:r>
          </w:p>
        </w:tc>
        <w:tc>
          <w:tcPr>
            <w:tcW w:type="dxa" w:w="46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Specific instructions for continuing this work with ChatGPT, including session-start prompts and scope boundaries</w:t>
            </w:r>
          </w:p>
        </w:tc>
        <w:tc>
          <w:tcPr>
            <w:tcW w:type="dxa" w:w="2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ChatGPT / operator workflow management</w:t>
            </w:r>
          </w:p>
        </w:tc>
      </w:tr>
      <w:tr>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 Links Registry</w:t>
            </w:r>
          </w:p>
        </w:tc>
        <w:tc>
          <w:tcPr>
            <w:tcW w:type="dxa" w:w="4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URLs — fill in GitHub, documentation site, and institutional contact fields before sending</w:t>
            </w:r>
          </w:p>
        </w:tc>
        <w:tc>
          <w:tcPr>
            <w:tcW w:type="dxa" w:w="2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 complete before dispatch</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1</w:t>
      </w:r>
      <w:r>
        <w:rPr>
          <w:rFonts w:ascii="Calibri" w:cs="Calibri" w:eastAsia="Calibri" w:hAnsi="Calibri"/>
          <w:color w:val="7A8A99"/>
          <w:sz w:val="20"/>
          <w:szCs w:val="20"/>
        </w:rPr>
        <w:t xml:space="preserve">   Croatia Site Reference</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Five Ramsar sites. 93,590 ha total portfolio. Data sourced from public RSIS exports (rsis.ramsar.org). All computed values produced by ramsar_huf_demo_v2.py using mock RSIS baseline. Provenance fields marked [INSERT] pending live export retrieval.</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Site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760"/>
        <w:gridCol w:w="2040"/>
        <w:gridCol w:w="960"/>
        <w:gridCol w:w="1080"/>
        <w:gridCol w:w="1800"/>
      </w:tblGrid>
      <w:tr>
        <w:trPr>
          <w:tblHeader/>
        </w:trPr>
        <w:tc>
          <w:tcPr>
            <w:tcW w:type="dxa" w:w="7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RSIS ID</w:t>
            </w:r>
          </w:p>
        </w:tc>
        <w:tc>
          <w:tcPr>
            <w:tcW w:type="dxa" w:w="27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Site name (English)</w:t>
            </w:r>
          </w:p>
        </w:tc>
        <w:tc>
          <w:tcPr>
            <w:tcW w:type="dxa" w:w="20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Croatian name</w:t>
            </w:r>
          </w:p>
        </w:tc>
        <w:tc>
          <w:tcPr>
            <w:tcW w:type="dxa" w:w="9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Area (ha)</w:t>
            </w:r>
          </w:p>
        </w:tc>
        <w:tc>
          <w:tcPr>
            <w:tcW w:type="dxa" w:w="10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Designation</w:t>
            </w:r>
          </w:p>
        </w:tc>
        <w:tc>
          <w:tcPr>
            <w:tcW w:type="dxa" w:w="18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Endemism count (RSIS)</w:t>
            </w:r>
          </w:p>
        </w:tc>
      </w:tr>
      <w:tr>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583</w:t>
            </w:r>
          </w:p>
        </w:tc>
        <w:tc>
          <w:tcPr>
            <w:tcW w:type="dxa" w:w="27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Kopački Rit Nature Park</w:t>
            </w:r>
          </w:p>
        </w:tc>
        <w:tc>
          <w:tcPr>
            <w:tcW w:type="dxa" w:w="20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PP Kopački Rit</w:t>
            </w:r>
          </w:p>
        </w:tc>
        <w:tc>
          <w:tcPr>
            <w:tcW w:type="dxa" w:w="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23,894</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1993</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w:t>
            </w:r>
          </w:p>
        </w:tc>
      </w:tr>
      <w:tr>
        <w:tc>
          <w:tcPr>
            <w:tcW w:type="dxa" w:w="7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584</w:t>
            </w:r>
          </w:p>
        </w:tc>
        <w:tc>
          <w:tcPr>
            <w:tcW w:type="dxa" w:w="27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Lonjsko Polje and Mokro Polje Nature Park</w:t>
            </w:r>
          </w:p>
        </w:tc>
        <w:tc>
          <w:tcPr>
            <w:tcW w:type="dxa" w:w="20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PP Lonjsko Polje i Mokro Polje</w:t>
            </w:r>
          </w:p>
        </w:tc>
        <w:tc>
          <w:tcPr>
            <w:tcW w:type="dxa" w:w="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50,560</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1993</w:t>
            </w:r>
          </w:p>
        </w:tc>
        <w:tc>
          <w:tcPr>
            <w:tcW w:type="dxa" w:w="18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w:t>
            </w:r>
          </w:p>
        </w:tc>
      </w:tr>
      <w:tr>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582</w:t>
            </w:r>
          </w:p>
        </w:tc>
        <w:tc>
          <w:tcPr>
            <w:tcW w:type="dxa" w:w="27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 Fish Ponds</w:t>
            </w:r>
          </w:p>
        </w:tc>
        <w:tc>
          <w:tcPr>
            <w:tcW w:type="dxa" w:w="20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Ribnjaci Crna Mlaka</w:t>
            </w:r>
          </w:p>
        </w:tc>
        <w:tc>
          <w:tcPr>
            <w:tcW w:type="dxa" w:w="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625</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1983</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w:t>
            </w:r>
          </w:p>
        </w:tc>
      </w:tr>
      <w:tr>
        <w:tc>
          <w:tcPr>
            <w:tcW w:type="dxa" w:w="7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587</w:t>
            </w:r>
          </w:p>
        </w:tc>
        <w:tc>
          <w:tcPr>
            <w:tcW w:type="dxa" w:w="27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Lower Neretva Valley</w:t>
            </w:r>
          </w:p>
        </w:tc>
        <w:tc>
          <w:tcPr>
            <w:tcW w:type="dxa" w:w="20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Donja Neretva</w:t>
            </w:r>
          </w:p>
        </w:tc>
        <w:tc>
          <w:tcPr>
            <w:tcW w:type="dxa" w:w="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12,000*</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1993</w:t>
            </w:r>
          </w:p>
        </w:tc>
        <w:tc>
          <w:tcPr>
            <w:tcW w:type="dxa" w:w="18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18</w:t>
            </w:r>
          </w:p>
        </w:tc>
      </w:tr>
      <w:tr>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869</w:t>
            </w:r>
          </w:p>
        </w:tc>
        <w:tc>
          <w:tcPr>
            <w:tcW w:type="dxa" w:w="27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Vransko Lake Nature Park and Crkvine Wetland</w:t>
            </w:r>
          </w:p>
        </w:tc>
        <w:tc>
          <w:tcPr>
            <w:tcW w:type="dxa" w:w="20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PP Vransko jezero</w:t>
            </w:r>
          </w:p>
        </w:tc>
        <w:tc>
          <w:tcPr>
            <w:tcW w:type="dxa" w:w="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5,748</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2013</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w:t>
            </w:r>
          </w:p>
        </w:tc>
      </w:tr>
    </w:tbl>
    <w:p>
      <w:pPr>
        <w:spacing w:before="0" w:after="80" w:line="284"/>
        <w:jc w:val="left"/>
      </w:pPr>
      <w:r>
        <w:rPr>
          <w:rFonts w:ascii="Calibri" w:cs="Calibri" w:eastAsia="Calibri" w:hAnsi="Calibri"/>
          <w:b w:val="false"/>
          <w:bCs w:val="false"/>
          <w:i/>
          <w:iCs/>
          <w:caps w:val="false"/>
          <w:color w:val="7A8A99"/>
          <w:sz w:val="18"/>
          <w:szCs w:val="18"/>
        </w:rPr>
        <w:t xml:space="preserve">* 12,000 ha figure is provisional. RSIS official record shows 12,742 ha in some exports. Verify against current RSIS export before pilot baseline run. Data age: 2013 (area) / 2018 (endemism). Both flagged.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Portfolio Share Table — Endemism-Priority Weighting</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Computed values from ramsar_huf_demo_v2.py. Operator declared weights: Area = 0.30, Endemism = 0.70. This reflects MedWet transboundary ecological priority context. All shares sum to 1.0 (unity constraint satisfied).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20"/>
        <w:gridCol w:w="1440"/>
        <w:gridCol w:w="1200"/>
        <w:gridCol w:w="300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Site</w:t>
            </w:r>
          </w:p>
        </w:tc>
        <w:tc>
          <w:tcPr>
            <w:tcW w:type="dxa" w:w="13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Portfolio share</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Leverage (1/share)</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Leverage flag</w:t>
            </w:r>
          </w:p>
        </w:tc>
        <w:tc>
          <w:tcPr>
            <w:tcW w:type="dxa" w:w="30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Data age warning</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A1A1A"/>
                <w:sz w:val="20"/>
                <w:szCs w:val="20"/>
              </w:rPr>
              <w:t xml:space="preserve">Lower Neretva Valley</w:t>
            </w:r>
          </w:p>
        </w:tc>
        <w:tc>
          <w:tcPr>
            <w:tcW w:type="dxa" w:w="132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B5E20"/>
                <w:sz w:val="20"/>
                <w:szCs w:val="20"/>
              </w:rPr>
              <w:t xml:space="preserve">44.52%</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2.25</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w:t>
            </w:r>
          </w:p>
        </w:tc>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E65100"/>
                <w:sz w:val="20"/>
                <w:szCs w:val="20"/>
              </w:rPr>
              <w:t xml:space="preserve">ENDEMISM DATA &gt; 5 YRS (2018)</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Lonjsko Polje</w:t>
            </w:r>
          </w:p>
        </w:tc>
        <w:tc>
          <w:tcPr>
            <w:tcW w:type="dxa" w:w="1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23.11%</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4.33</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w:t>
            </w:r>
          </w:p>
        </w:tc>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A1A1A"/>
                <w:sz w:val="20"/>
                <w:szCs w:val="20"/>
              </w:rPr>
              <w:t xml:space="preserve">Crna Mlaka</w:t>
            </w:r>
          </w:p>
        </w:tc>
        <w:tc>
          <w:tcPr>
            <w:tcW w:type="dxa" w:w="132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2.46%</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40.65</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Medium</w:t>
            </w:r>
          </w:p>
        </w:tc>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Kopački Rit</w:t>
            </w:r>
          </w:p>
        </w:tc>
        <w:tc>
          <w:tcPr>
            <w:tcW w:type="dxa" w:w="1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19.01%</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5.26</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w:t>
            </w:r>
          </w:p>
        </w:tc>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Vransko Lake</w:t>
            </w:r>
          </w:p>
        </w:tc>
        <w:tc>
          <w:tcPr>
            <w:tcW w:type="dxa" w:w="1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10.89%</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9.18</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w:t>
            </w:r>
          </w:p>
        </w:tc>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Portfolio Share Table — Area-Priority Weighting (side-by-side comparison)</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Same five sites. Operator declared weights shifted to: Area = 0.80, Endemism = 0.20. This demonstrates how a change in scientific priority (legitimate intentional reweighting) is recorded as a declared governance decision, not silent drift.</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920"/>
        <w:gridCol w:w="1380"/>
        <w:gridCol w:w="900"/>
        <w:gridCol w:w="1380"/>
        <w:gridCol w:w="900"/>
        <w:gridCol w:w="1080"/>
      </w:tblGrid>
      <w:tr>
        <w:trPr>
          <w:tblHeader/>
        </w:trPr>
        <w:tc>
          <w:tcPr>
            <w:tcW w:type="dxa" w:w="19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Site</w:t>
            </w:r>
          </w:p>
        </w:tc>
        <w:tc>
          <w:tcPr>
            <w:tcW w:type="dxa" w:w="13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Share (endemism-priority)</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Leverage</w:t>
            </w:r>
          </w:p>
        </w:tc>
        <w:tc>
          <w:tcPr>
            <w:tcW w:type="dxa" w:w="13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Share (area-priority)</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Leverage</w:t>
            </w:r>
          </w:p>
        </w:tc>
        <w:tc>
          <w:tcPr>
            <w:tcW w:type="dxa" w:w="10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Delta</w:t>
            </w:r>
          </w:p>
        </w:tc>
      </w:tr>
      <w:tr>
        <w:tc>
          <w:tcPr>
            <w:tcW w:type="dxa" w:w="19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Lower Neretva Valley</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44.52%</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2.25</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7.53%</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13.27</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B71C1C"/>
                <w:sz w:val="20"/>
                <w:szCs w:val="20"/>
              </w:rPr>
              <w:t xml:space="preserve">−37.0pp</w:t>
            </w:r>
          </w:p>
        </w:tc>
      </w:tr>
      <w:tr>
        <w:tc>
          <w:tcPr>
            <w:tcW w:type="dxa" w:w="19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Lonjsko Polje</w:t>
            </w:r>
          </w:p>
        </w:tc>
        <w:tc>
          <w:tcPr>
            <w:tcW w:type="dxa" w:w="13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23.11%</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4.33</w:t>
            </w:r>
          </w:p>
        </w:tc>
        <w:tc>
          <w:tcPr>
            <w:tcW w:type="dxa" w:w="13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45.51%</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2.20</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B5E20"/>
                <w:sz w:val="20"/>
                <w:szCs w:val="20"/>
              </w:rPr>
              <w:t xml:space="preserve">+22.4pp</w:t>
            </w:r>
          </w:p>
        </w:tc>
      </w:tr>
      <w:tr>
        <w:tc>
          <w:tcPr>
            <w:tcW w:type="dxa" w:w="19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2.46%</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40.65</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23.82%</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4.20</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B5E20"/>
                <w:sz w:val="20"/>
                <w:szCs w:val="20"/>
              </w:rPr>
              <w:t xml:space="preserve">+21.4pp</w:t>
            </w:r>
          </w:p>
        </w:tc>
      </w:tr>
      <w:tr>
        <w:tc>
          <w:tcPr>
            <w:tcW w:type="dxa" w:w="19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Kopački Rit</w:t>
            </w:r>
          </w:p>
        </w:tc>
        <w:tc>
          <w:tcPr>
            <w:tcW w:type="dxa" w:w="13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19.01%</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5.26</w:t>
            </w:r>
          </w:p>
        </w:tc>
        <w:tc>
          <w:tcPr>
            <w:tcW w:type="dxa" w:w="13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21.95%</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4.55</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B5E20"/>
                <w:sz w:val="20"/>
                <w:szCs w:val="20"/>
              </w:rPr>
              <w:t xml:space="preserve">+2.9pp</w:t>
            </w:r>
          </w:p>
        </w:tc>
      </w:tr>
      <w:tr>
        <w:tc>
          <w:tcPr>
            <w:tcW w:type="dxa" w:w="192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A1A1A"/>
                <w:sz w:val="20"/>
                <w:szCs w:val="20"/>
              </w:rPr>
              <w:t xml:space="preserve">Vransko Lake</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10.89%</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9.18</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1.18%</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84.47</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B71C1C"/>
                <w:sz w:val="20"/>
                <w:szCs w:val="20"/>
              </w:rPr>
              <w:t xml:space="preserve">−9.7pp</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Bdr>
          <w:left w:val="single" w:color="E65100" w:sz="10" w:space="10"/>
        </w:pBdr>
        <w:shd w:fill="FFF8E1" w:val="clear"/>
        <w:spacing w:before="100" w:after="0"/>
        <w:ind w:left="360"/>
      </w:pPr>
      <w:r>
        <w:rPr>
          <w:rFonts w:ascii="Calibri" w:cs="Calibri" w:eastAsia="Calibri" w:hAnsi="Calibri"/>
          <w:b/>
          <w:bCs/>
          <w:color w:val="E65100"/>
          <w:sz w:val="20"/>
          <w:szCs w:val="20"/>
        </w:rPr>
        <w:t xml:space="preserve">HIDDEN HIGH-Q ALERT:  </w:t>
      </w:r>
      <w:r>
        <w:rPr>
          <w:rFonts w:ascii="Calibri" w:cs="Calibri" w:eastAsia="Calibri" w:hAnsi="Calibri"/>
          <w:i/>
          <w:iCs/>
          <w:color w:val="1A1A1A"/>
          <w:sz w:val="20"/>
          <w:szCs w:val="20"/>
        </w:rPr>
        <w:t xml:space="preserve">Under area-priority weighting, Vransko Lake drops to 1.18% share with leverage 84.47 — approaching the High-Q threshold. This site is invisible as a governance risk under endemism weighting but becomes a near-orphan under area weighting. This finding — that governance risk is weighting-dependent — is only visible through HUF's bidirectional analysis.</w:t>
      </w:r>
    </w:p>
    <w:p>
      <w:pPr>
        <w:spacing w:before="0" w:after="80"/>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Governance Diagnostics — Computed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1560"/>
        <w:gridCol w:w="324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Metric</w:t>
            </w:r>
          </w:p>
        </w:tc>
        <w:tc>
          <w:tcPr>
            <w:tcW w:type="dxa" w:w="21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Value</w:t>
            </w:r>
          </w:p>
        </w:tc>
        <w:tc>
          <w:tcPr>
            <w:tcW w:type="dxa" w:w="15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Classification</w:t>
            </w:r>
          </w:p>
        </w:tc>
        <w:tc>
          <w:tcPr>
            <w:tcW w:type="dxa" w:w="32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Action required</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PROOF line (endemism-priority)</w:t>
            </w:r>
          </w:p>
        </w:tc>
        <w:tc>
          <w:tcPr>
            <w:tcW w:type="dxa" w:w="21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(Neretva + Lonjsko = 67.6%)</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Concentration warning</w:t>
            </w:r>
          </w:p>
        </w:tc>
        <w:tc>
          <w:tcPr>
            <w:tcW w:type="dxa" w:w="3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Flag; review dominant element allocation</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PROOF line (area-priority)</w:t>
            </w:r>
          </w:p>
        </w:tc>
        <w:tc>
          <w:tcPr>
            <w:tcW w:type="dxa" w:w="21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(Lonjsko + Crna Mlaka = 69.3%)</w:t>
            </w:r>
          </w:p>
        </w:tc>
        <w:tc>
          <w:tcPr>
            <w:tcW w:type="dxa" w:w="15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Concentration warning</w:t>
            </w:r>
          </w:p>
        </w:tc>
        <w:tc>
          <w:tcPr>
            <w:tcW w:type="dxa" w:w="3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Same two sites dominate under both weightings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Mean drift gap — baseline</w:t>
            </w:r>
          </w:p>
        </w:tc>
        <w:tc>
          <w:tcPr>
            <w:tcW w:type="dxa" w:w="21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4.8pp (estimated)</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Action window open</w:t>
            </w:r>
          </w:p>
        </w:tc>
        <w:tc>
          <w:tcPr>
            <w:tcW w:type="dxa" w:w="3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Monitor next cycle; prepare declaration</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 leverage (endemism)</w:t>
            </w:r>
          </w:p>
        </w:tc>
        <w:tc>
          <w:tcPr>
            <w:tcW w:type="dxa" w:w="21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40.65 (Medium-Q)</w:t>
            </w:r>
          </w:p>
        </w:tc>
        <w:tc>
          <w:tcPr>
            <w:tcW w:type="dxa" w:w="15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Phase-aware monitoring</w:t>
            </w:r>
          </w:p>
        </w:tc>
        <w:tc>
          <w:tcPr>
            <w:tcW w:type="dxa" w:w="3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Verify data age; do not reduce without cross-cycle analysis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 leverage (area)</w:t>
            </w:r>
          </w:p>
        </w:tc>
        <w:tc>
          <w:tcPr>
            <w:tcW w:type="dxa" w:w="21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4.20 (Low-Q)</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Standard monitoring</w:t>
            </w:r>
          </w:p>
        </w:tc>
        <w:tc>
          <w:tcPr>
            <w:tcW w:type="dxa" w:w="3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 action required — but note weighting sensitivity</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Vransko Lake leverage (area)</w:t>
            </w:r>
          </w:p>
        </w:tc>
        <w:tc>
          <w:tcPr>
            <w:tcW w:type="dxa" w:w="21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84.47 (Medium-Q, approaching High)</w:t>
            </w:r>
          </w:p>
        </w:tc>
        <w:tc>
          <w:tcPr>
            <w:tcW w:type="dxa" w:w="15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Near-threshold warning</w:t>
            </w:r>
          </w:p>
        </w:tc>
        <w:tc>
          <w:tcPr>
            <w:tcW w:type="dxa" w:w="3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Flag for investigation if area-priority weighting adopted</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Neretva endemism data age</w:t>
            </w:r>
          </w:p>
        </w:tc>
        <w:tc>
          <w:tcPr>
            <w:tcW w:type="dxa" w:w="21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2018 (&gt; 5 year threshold)</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Stale — flagged</w:t>
            </w:r>
          </w:p>
        </w:tc>
        <w:tc>
          <w:tcPr>
            <w:tcW w:type="dxa" w:w="3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Prioritise data verification before pilot baseline run</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Silent Drift Simulation — 2021 to 2024 Cycle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1080"/>
        <w:gridCol w:w="1980"/>
        <w:gridCol w:w="450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Site</w:t>
            </w:r>
          </w:p>
        </w:tc>
        <w:tc>
          <w:tcPr>
            <w:tcW w:type="dxa" w:w="10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Share shift</w:t>
            </w:r>
          </w:p>
        </w:tc>
        <w:tc>
          <w:tcPr>
            <w:tcW w:type="dxa" w:w="19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Classification</w:t>
            </w:r>
          </w:p>
        </w:tc>
        <w:tc>
          <w:tcPr>
            <w:tcW w:type="dxa" w:w="45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Recorded driver</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Lower Neretva Valley</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+4.2%</w:t>
            </w:r>
          </w:p>
        </w:tc>
        <w:tc>
          <w:tcPr>
            <w:tcW w:type="dxa" w:w="198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B5E20"/>
                <w:sz w:val="20"/>
                <w:szCs w:val="20"/>
              </w:rPr>
              <w:t xml:space="preserve">INTENTIONAL REWEIGHTING</w:t>
            </w:r>
          </w:p>
        </w:tc>
        <w:tc>
          <w:tcPr>
            <w:tcW w:type="dxa" w:w="45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MedWet transboundary governance obligation — documented in Standing Committee minutes</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Lonjsko Polje</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−1.5%</w:t>
            </w:r>
          </w:p>
        </w:tc>
        <w:tc>
          <w:tcPr>
            <w:tcW w:type="dxa" w:w="1980"/>
            <w:shd w:fill="FFFFFF"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SILENT DRIFT</w:t>
            </w:r>
          </w:p>
        </w:tc>
        <w:tc>
          <w:tcPr>
            <w:tcW w:type="dxa" w:w="45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Gradual diversion of site-monitoring funds toward high-profile transboundary reporting — no policy decision recorded</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Bdr>
          <w:left w:val="single" w:color="1A1A2E" w:sz="10" w:space="10"/>
        </w:pBdr>
        <w:shd w:fill="E8F0FE" w:val="clear"/>
        <w:spacing w:before="100" w:after="0"/>
        <w:ind w:left="360"/>
      </w:pPr>
      <w:r>
        <w:rPr>
          <w:rFonts w:ascii="Calibri" w:cs="Calibri" w:eastAsia="Calibri" w:hAnsi="Calibri"/>
          <w:b/>
          <w:bCs/>
          <w:color w:val="1A1A2E"/>
          <w:sz w:val="20"/>
          <w:szCs w:val="20"/>
        </w:rPr>
        <w:t xml:space="preserve">NOTE:  </w:t>
      </w:r>
      <w:r>
        <w:rPr>
          <w:rFonts w:ascii="Calibri" w:cs="Calibri" w:eastAsia="Calibri" w:hAnsi="Calibri"/>
          <w:i/>
          <w:iCs/>
          <w:color w:val="1A1A1A"/>
          <w:sz w:val="20"/>
          <w:szCs w:val="20"/>
        </w:rPr>
        <w:t xml:space="preserve">The simulated drift data uses realistic patterns drawn from documented Ramsar governance dynamics. Real RSIS export data will replace these values in the pilot baseline run. The classification logic (intentional vs. silent) is the same in both cases.</w:t>
      </w:r>
    </w:p>
    <w:p>
      <w:pPr>
        <w:spacing w:before="0" w:after="80"/>
      </w:pPr>
      <w:r>
        <w:rPr>
          <w:rFonts w:ascii="Calibri" w:cs="Calibri" w:eastAsia="Calibri" w:hAnsi="Calibri"/>
          <w:b w:val="false"/>
          <w:bCs w:val="false"/>
          <w:i w:val="false"/>
          <w:iCs w:val="false"/>
          <w:caps w:val="false"/>
          <w:color w:val="1A1A1A"/>
          <w:sz w:val="22"/>
          <w:szCs w:val="22"/>
        </w:rPr>
        <w:t xml:space="preserve"/>
      </w:r>
    </w:p>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2</w:t>
      </w:r>
      <w:r>
        <w:rPr>
          <w:rFonts w:ascii="Calibri" w:cs="Calibri" w:eastAsia="Calibri" w:hAnsi="Calibri"/>
          <w:color w:val="7A8A99"/>
          <w:sz w:val="20"/>
          <w:szCs w:val="20"/>
        </w:rPr>
        <w:t xml:space="preserve">   Completed Studies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Every item in this section is complete, citable, and available in the document corpus. Nothing here is a plan or an outline — it is done.</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A — Three-Domain Structural Invariance (Exhibit B)</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unity constraint is domain-invariant. The HUF Diagnostic Engine applied Tests T1, T4, T5, and T8 to three systems with no domain overlap and produced coherent, formally structured results using the same instrument without modification.</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40"/>
        <w:gridCol w:w="1560"/>
        <w:gridCol w:w="1680"/>
        <w:gridCol w:w="1800"/>
        <w:gridCol w:w="900"/>
        <w:gridCol w:w="1200"/>
      </w:tblGrid>
      <w:tr>
        <w:trPr>
          <w:tblHeader/>
        </w:trPr>
        <w:tc>
          <w:tcPr>
            <w:tcW w:type="dxa" w:w="7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System</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Domain</w:t>
            </w:r>
          </w:p>
        </w:tc>
        <w:tc>
          <w:tcPr>
            <w:tcW w:type="dxa" w:w="15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Budget ceiling</w:t>
            </w:r>
          </w:p>
        </w:tc>
        <w:tc>
          <w:tcPr>
            <w:tcW w:type="dxa" w:w="16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PROOF line</w:t>
            </w:r>
          </w:p>
        </w:tc>
        <w:tc>
          <w:tcPr>
            <w:tcW w:type="dxa" w:w="18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Highest-Q element</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MDG</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r>
      <w:tr>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System A</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Artisanal bread</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1,000g</w:t>
            </w:r>
          </w:p>
        </w:tc>
        <w:tc>
          <w:tcPr>
            <w:tcW w:type="dxa" w:w="1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(flour+water=98.4%)</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Yeast — leverage 833</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1.4pp</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COMPLETE</w:t>
            </w:r>
          </w:p>
        </w:tc>
      </w:tr>
      <w:tr>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System B</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 Ramsar</w:t>
            </w:r>
          </w:p>
        </w:tc>
        <w:tc>
          <w:tcPr>
            <w:tcW w:type="dxa" w:w="15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93,590 ha</w:t>
            </w:r>
          </w:p>
        </w:tc>
        <w:tc>
          <w:tcPr>
            <w:tcW w:type="dxa" w:w="16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(Lonjsko+Kopački=80%)</w:t>
            </w:r>
          </w:p>
        </w:tc>
        <w:tc>
          <w:tcPr>
            <w:tcW w:type="dxa" w:w="18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 — leverage 149*</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4.8pp</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COMPLETE</w:t>
            </w:r>
          </w:p>
        </w:tc>
      </w:tr>
      <w:tr>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System C</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Software retrieval pipeline</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Total query volume (30d)</w:t>
            </w:r>
          </w:p>
        </w:tc>
        <w:tc>
          <w:tcPr>
            <w:tcW w:type="dxa" w:w="1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(General+Technical=80%)</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Archive/legacy — leverage 14.3</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10.0pp</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COMPLETE</w:t>
            </w:r>
          </w:p>
        </w:tc>
      </w:tr>
    </w:tbl>
    <w:p>
      <w:pPr>
        <w:spacing w:before="0" w:after="60" w:line="284"/>
        <w:jc w:val="left"/>
      </w:pPr>
      <w:r>
        <w:rPr>
          <w:rFonts w:ascii="Calibri" w:cs="Calibri" w:eastAsia="Calibri" w:hAnsi="Calibri"/>
          <w:b w:val="false"/>
          <w:bCs w:val="false"/>
          <w:i/>
          <w:iCs/>
          <w:caps w:val="false"/>
          <w:color w:val="7A8A99"/>
          <w:sz w:val="18"/>
          <w:szCs w:val="18"/>
        </w:rPr>
        <w:t xml:space="preserve">* Leverage 149 is the area-only calculation. Under endemism-priority weighting the portfolio is dominated by Neretva. Both findings are documented in Exhibit B.</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B — Sourdough Bread Real-Data Demonstration (Case Study D.1)</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HUF applied to a real artisanal bread recipe using public nutrition database data. Portfolio share table, trace report, change log, and coverage record all produced. Yeast identified as ultra-high-Q element (leverage 833). Mean drift gap 1.4pp — near ground state. Exhibit A complete.</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C — Croatia Demo Script (ramsar_huf_demo_v2.py)</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A fully functional Python demonstration of HUF applied to Croatia's five Ramsar sites using mock RSIS data. Produces all four standard CSV artifacts. Console output uses Ramsar institutional vocabulary (no internal HUF jargon visible to reader). Endemism-priority and area-priority runs included. Silent drift simulation included. Data provenance fields marked for live data substitution.</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Bdr>
          <w:left w:val="single" w:color="2E7D32" w:sz="10" w:space="10"/>
        </w:pBdr>
        <w:shd w:fill="E8F5E9" w:val="clear"/>
        <w:spacing w:before="100" w:after="0"/>
        <w:ind w:left="360"/>
      </w:pPr>
      <w:r>
        <w:rPr>
          <w:rFonts w:ascii="Calibri" w:cs="Calibri" w:eastAsia="Calibri" w:hAnsi="Calibri"/>
          <w:b/>
          <w:bCs/>
          <w:color w:val="2E7D32"/>
          <w:sz w:val="20"/>
          <w:szCs w:val="20"/>
        </w:rPr>
        <w:t xml:space="preserve">READY FOR LIVE DATA:  </w:t>
      </w:r>
      <w:r>
        <w:rPr>
          <w:rFonts w:ascii="Calibri" w:cs="Calibri" w:eastAsia="Calibri" w:hAnsi="Calibri"/>
          <w:i/>
          <w:iCs/>
          <w:color w:val="1A1A1A"/>
          <w:sz w:val="20"/>
          <w:szCs w:val="20"/>
        </w:rPr>
        <w:t xml:space="preserve">Replace the MOCK_RSIS constant in ramsar_huf_demo_v2.py with pd.read_csv('rsis_croatia_export.csv') and the script runs unchanged. No other modifications required.</w:t>
      </w:r>
    </w:p>
    <w:p>
      <w:pPr>
        <w:spacing w:before="0" w:after="80"/>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D — Collective Review Record (all five AI rounds)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Five rounds of multi-AI collective review documented in collective_trace_report.csv. Each contribution recorded with operator weight, retain/discard decision, and artifact produced. The record demonstrates the methodology of the operator-directed collective review process. 42 individual contributions logged across Claude, Copilot, Gemini, ChatGPT, and Grok.</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E — Governance State Observer Paper</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Formal paper positioning HUF as a governance state observer in the control-theory sense. Complete as HUF_Vol3_GovernanceStateObserver.docx. Demonstrates that the portfolio change log is a Luenberger-style observer operating on the governance system's ratio state. Ready for journal submission alongside the mathematics compendium.</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F — Mathematics Compendium (HUF Vol 2)</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Formal mathematical foundations including Proposition 7.5 (Institutional Memory Theorem — proved within framework assumptions), convergence analysis, Lyapunov stability setup, and Q-factor derivation. Vol 2 is complete. Non-linear convergence proof (G.11) remains open pending Phase D data.</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G — Grok Mathematical Extensions Review</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13 Grok conjectures (G.1–G.13) reviewed and classified. Five collective verdicts issued: HUF is TRUE, HUF is NEW, Ratio State Monitoring is the correct canonical name (ENDORSED), Proposition 7.1 has empirical support (SUPPORTED), non-linear convergence proof is currently impossible (ASSESSMENT). All verdicts recorded in HUF_Complete_Reference_Feb2026.docx, Layers 13–14.</w:t>
      </w:r>
    </w:p>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3</w:t>
      </w:r>
      <w:r>
        <w:rPr>
          <w:rFonts w:ascii="Calibri" w:cs="Calibri" w:eastAsia="Calibri" w:hAnsi="Calibri"/>
          <w:color w:val="7A8A99"/>
          <w:sz w:val="20"/>
          <w:szCs w:val="20"/>
        </w:rPr>
        <w:t xml:space="preserve">   Outlined Work</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These studies have complete outlines, methodologies, and data specifications. They cannot be finished without either real institutional data (marked NEEDS DATA) or institutional access (marked NEEDS ACCESS). The outline is the work. The execution is the pilot.</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3.1  Croatia Pilot Baseline Run — Case Study D.5  [NEEDS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360"/>
        <w:gridCol w:w="240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Item</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3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is needed</w:t>
            </w:r>
          </w:p>
        </w:tc>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Who provides it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 live export for all 5 Croatian sites</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 RSIS export CSV: site_id, area_ha, endemism_count, data_year fields. Download from rsis.ramsar.org.</w:t>
            </w:r>
          </w:p>
        </w:tc>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or Secretariat contact</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declared weights — confirmed</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Croatian scientific team declares area/endemism priority weighting for the pilot cycle. Single line: area=X, endemism=Y, sum=1.0.</w:t>
            </w:r>
          </w:p>
        </w:tc>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Croatian Ministry / MedWet contact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ramsar_huf_demo_v2.py on live data</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Script is complete. Replace MOCK_RSIS with live export. Run. Produces all 4 CSV artifacts.</w:t>
            </w:r>
          </w:p>
        </w:tc>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(Peter Higgins)</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Produce baseline portfolio share table</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Output of script run. First artifact of the pilot. Attaches to National Report annex.</w:t>
            </w:r>
          </w:p>
        </w:tc>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Produce trace report</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Output of script run. Records declared weights, data provenance, unity check.</w:t>
            </w:r>
          </w:p>
        </w:tc>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3.2  Silent Drift Real-Data Classification — Change Log Cycle 2  [NEEDS DATA]</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simulated 2021–2024 drift log shows one intentional reweighting (Neretva +4.2%) and one silent drift (Lonjsko −1.5%). These are realistic but not confirmed. Real classification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Required input</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Notes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2021 RSIS export for all 5 sites</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Historical RSIS exports available via rsis.ramsar.org archive. Retrieve 2021 state.</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2024 RSIS export for all 5 sites</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 export. Download date becomes provenance anchor.</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2021→2024 governance decision log</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Croatian Ministry or Standing Committee minutes. Only they can confirm intentional vs silent classification for each real shift.</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change log comparison script</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Comparison logic is in ramsar_huf_demo_v2.py. Extend with real delta computation between 2021 and 2024 exports.</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3.3  Orphan Alert Threshold Calibration — Croatia-Specific  [NEEDS DATA]</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Current Orphan Alert uses Ramsar defaults: Y = 50% decline, Z = 2 consecutive cycles. Croatia-specific calibration requires one full pilot cycle (3 years under Ramsar reporting) to observe actual drift rates.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rPr>
          <w:tblHeader/>
        </w:trPr>
        <w:tc>
          <w:tcPr>
            <w:tcW w:type="dxa" w:w="27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Calibration step</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2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Inputs needed</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Observe drift distribution across 1 pilot cycle</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Three-year reporting cycle with both 2021 and 2024 RSIS exports available</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Fit Orphan Alert Y threshold to Croatia drift distribution</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Set Y = mean drift gap + 2 standard deviations from pilot cycle data</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Validate Z = 2 cycles assumption for Croatian portfolio</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If drift is persistent across 3 cycles rather than 2, adjust Z accordingly</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Record calibrated thresholds in trace report</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One-line entry in trace report per site per cycle. Template prepared in ramsar_huf_demo_v2.py</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3.4  Neretva Endemism Data Refresh  [NEEDS ACCESS]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Lower Neretva Valley endemism count of 18 is from 2018 RSIS data — beyond the 5-year data age threshold. Under endemism-priority weighting (0.70), stale Neretva data significantly distorts portfolio shares. This is the single most important data quality issue in the Croatia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rPr>
          <w:tblHeader/>
        </w:trPr>
        <w:tc>
          <w:tcPr>
            <w:tcW w:type="dxa" w:w="27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Action</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2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Source</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Retrieve updated Neretva endemism count from RSIS (post-2018)</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 — check if RIS has been updated for Site 587 post-2018</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If RSIS not updated: contact Croatian ornithological/ichthyological survey body</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Državni zavod za zaštitu prirode (DZPP) or HAOP — Croatian Environment and Nature Agency</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If updated data unavailable: apply data-age penalty in portfolio share computation</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Methodology specified in Layer 5, Detection Threshold Taxonomy. Flag endemism share as provisional.</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3.5  JAES Paper — Empirical Section  [NEEDS PHASE D DATA]</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Journal of Applied Ecological Statistics (JAES) paper has a complete formal section ready from HUF Vol 2. The empirical section requires Phase D pilot data — minimum 3 cycles. Outline of what is complete vs.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5460"/>
      </w:tblGrid>
      <w:tr>
        <w:trPr>
          <w:tblHeader/>
        </w:trPr>
        <w:tc>
          <w:tcPr>
            <w:tcW w:type="dxa" w:w="27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Paper section</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4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Notes</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Abstract</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Can be drafted now from Exhibit B confirmation sentence. Needs final author list.</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Introduction — the monitoring gap</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Four-category taxonomy established. MC-4 named. Literature positioning done.</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Methods — HUF diagnostic engine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methodology in Handbook v1.2.0 Chapters 1–10. Artifacts specified.</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Methods — Q-factor derivation</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Layer 15 of taxonomy. Formally derived.</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Results — three-domain confirmation</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Exhibit B complete. Systems A, B, C all confirmed.</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Results — Croatia pilot baseline</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Requires live RSIS data and at least one complete reporting cycle.</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Results — convergence observation</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Proposition 7.4 empirical support requires 3 pilot cycles minimum.</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Discussion — Ostrom DP4 instrument gap</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Part II of taxonomy expanded. Needs peer review of Ostrom mapping.</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Discussion — limits and calibration needs</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Part IV of expanded taxonomy. Four structural limits stated.</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Conclusion</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Once baseline run produces first real artifact.</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3.6  Non-Linear Convergence Proof  [NEEDS MATHEMATICAL COLLABORATION]</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Grok assessment: impossible with current tools. Three-step path defined in HUF Vol 2. Requires Phase D data (non-linear drift datasets from real pilot) and collaboration with a mathematician specialising in non-linear dynamical systems. This is an academic research question, not a pilot prerequisite.</w:t>
      </w:r>
    </w:p>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4</w:t>
      </w:r>
      <w:r>
        <w:rPr>
          <w:rFonts w:ascii="Calibri" w:cs="Calibri" w:eastAsia="Calibri" w:hAnsi="Calibri"/>
          <w:color w:val="7A8A99"/>
          <w:sz w:val="20"/>
          <w:szCs w:val="20"/>
        </w:rPr>
        <w:t xml:space="preserve">   Document Index</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Complete index of all files in the HUF corpus as of February 2026. Use this as the master file registry for the Croatia pilot package.</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Core Framework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60"/>
        <w:gridCol w:w="780"/>
        <w:gridCol w:w="900"/>
        <w:gridCol w:w="4140"/>
      </w:tblGrid>
      <w:tr>
        <w:trPr>
          <w:tblHeader/>
        </w:trPr>
        <w:tc>
          <w:tcPr>
            <w:tcW w:type="dxa" w:w="28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Format</w:t>
            </w:r>
          </w:p>
        </w:tc>
        <w:tc>
          <w:tcPr>
            <w:tcW w:type="dxa" w:w="7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Version</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41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 in argument chain</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HUF_Vol1_Handbook_v1_2_0.docx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v1.2.0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Primary reference. Chapters 1–12. All terminology, artifacts, and compliance tests.</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HUF_Vol2_Mathematics_Compendium_v1_0.docx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Formal proofs. Proposition 7.5 (Institutional Memory) complete. Non-linear proof open.</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HUF_Vol3_GovernanceStateObserver.docx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Positions HUF as governance state observer in control-theory framework.</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HUF_Vol3_CaseStudyD1_ExhibitA_v2.docx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v2.0</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Sourdough bread case study. System A confirmed. Exhibit A complete.</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HUF_Vol3_CaseStudyD2_ExhibitB_v1.docx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Three-domain confirmation. Systems A+B+C. Exhibit B complete. February 2026.</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HUF_Complete_Reference_Feb2026.docx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Feb 2026</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Master taxonomy. 19 layers + Part II expanded. Single source of truth. February 2026.</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Operator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60"/>
        <w:gridCol w:w="780"/>
        <w:gridCol w:w="900"/>
        <w:gridCol w:w="4140"/>
      </w:tblGrid>
      <w:tr>
        <w:trPr>
          <w:tblHeader/>
        </w:trPr>
        <w:tc>
          <w:tcPr>
            <w:tcW w:type="dxa" w:w="28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Format</w:t>
            </w:r>
          </w:p>
        </w:tc>
        <w:tc>
          <w:tcPr>
            <w:tcW w:type="dxa" w:w="7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Version</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41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HUF_Operator_Decision_Log_v1_2.docx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v1.2</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Decisions D1–D10. All closed/pending/blocked items. Governance record.</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HUF_Package_Register_v1_0.docx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Registry of all HUF packages. Version history.</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collective_trace_report.csv</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CSV</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42 AI contributions across 5 rounds. Operator weights. Retain/discard decisions.</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Croatia Ramsar — Contact and Pilot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60"/>
        <w:gridCol w:w="780"/>
        <w:gridCol w:w="900"/>
        <w:gridCol w:w="4140"/>
      </w:tblGrid>
      <w:tr>
        <w:trPr>
          <w:tblHeader/>
        </w:trPr>
        <w:tc>
          <w:tcPr>
            <w:tcW w:type="dxa" w:w="28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Format</w:t>
            </w:r>
          </w:p>
        </w:tc>
        <w:tc>
          <w:tcPr>
            <w:tcW w:type="dxa" w:w="7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Version</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41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ramsar_contact_letter_v15.docx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v15</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Primary contact letter (English + Croatian). Punchline-first format. February 2026.</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ramsar_contact_primer_v12.docx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v12</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briefing document for internal Secretariat discussion. Background reading.</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ramsar_huf_demo_v2.py</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Python</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v2.0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Demo script. Produces 4 CSV artifacts from RSIS data. Live-data ready.</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ramsar_huf_demo.py</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Python</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 demo. Retained for reference. Use v2 for all new work.</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Wiki and Supporting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wiki_huf_taxonomy_complete.md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19-layer taxonomy in markdown. Source file for HUF_Complete_Reference. Update this before rebuilding the Reference.</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wiki_fourth_monitoring_category_expanded.md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Seven-section deep treatment of MC-4. Parts I–VII. Source for Part II of Complete Reference.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wiki_ramsar_case_home.md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 pilot home page. Overview and navigation for the Croatia case.</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wiki_ramsar_primer_v10.md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Primer v10 in markdown. Development history reference.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wiki_ramsar_scope_boundary.md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Scope boundary document. What the pilot does and does not claim.</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wiki_what_huf_finds.md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Plain-language explanation of HUF outputs for non-technical audiences.</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wiki_huf_concepts_operations.md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Concepts and operations guide. Bridge between theory and practice.</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wiki_operator_entry_points.md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Fuji Japan and Nordson Dage manufacturing entry paths. Electronics assembly context.</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wiki_manufacturing_electronics_assembly.md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Domain-native electronics assembly application. Dage X-ray as highest-Q element.</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wiki_bastion_a_scope_boundary.md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Scope boundary defences against common objections.</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wiki_bastion_b_skeptic_qa.md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Q&amp;A document for skeptical audiences. Pre-emptive objection handling.</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wiki_bastion_c_demo_artifact_trail.md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Artifact trail for demo sessions. What each output shows and why it matters.</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wiki_bread_real_data.md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Sourdough bread real-data analysis. System A narrative.</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wiki_huf_origin_complete.md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Origin of HUF. From Rogue Wave Audio acoustic research to governance framework.</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jaes_seed_bidirectional_flow.md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JAES paper seed. Bidirectional flow argument. Academic draft starting point.</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Mathematics Learning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HUF_Vol1_Mathematics_LearningTrack_v0_1_0.docx</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Guided mathematical introduction. For readers approaching HUF from policy background. Non-technical entry point to Vol 2.</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huf_math_foundations_v2_1.docx</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Mathematics foundations v2.1. Working document — superseded by Vol 2 Compendium for final reference.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appendix_d1_inserts_v3.docx</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Appendix inserts for Case Study D.1. Additional supporting material for Exhibit A.</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5</w:t>
      </w:r>
      <w:r>
        <w:rPr>
          <w:rFonts w:ascii="Calibri" w:cs="Calibri" w:eastAsia="Calibri" w:hAnsi="Calibri"/>
          <w:color w:val="7A8A99"/>
          <w:sz w:val="20"/>
          <w:szCs w:val="20"/>
        </w:rPr>
        <w:t xml:space="preserve">   Index of Learning</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This index maps the educational path through HUF — from first encounter to full implementation. Use it to onboard new collaborators, brief institutional partners, or orient an AI session. Three tracks are provided: the policy track, the technical track, and the mathematics track.</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Track 1 — Policy and Governance (Ramsar Secretariat / Croatian Ministry)</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Estimated reading time: 2–4 hours to core competency. No mathematics required.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60"/>
        <w:gridCol w:w="2520"/>
        <w:gridCol w:w="4320"/>
        <w:gridCol w:w="600"/>
      </w:tblGrid>
      <w:tr>
        <w:trPr>
          <w:tblHeader/>
        </w:trPr>
        <w:tc>
          <w:tcPr>
            <w:tcW w:type="dxa" w:w="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Step</w:t>
            </w:r>
          </w:p>
        </w:tc>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Read / do this</w:t>
            </w:r>
          </w:p>
        </w:tc>
        <w:tc>
          <w:tcPr>
            <w:tcW w:type="dxa" w:w="43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you learn</w:t>
            </w:r>
          </w:p>
        </w:tc>
        <w:tc>
          <w:tcPr>
            <w:tcW w:type="dxa" w:w="6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Time</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ramsar_contact_letter_v15.docx</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punchline: Crna Mlaka's leverage and what Silent Drift means for the portfolio. Why the current toolset has a gap.</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wiki_what_huf_finds.md</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Plain-language explanation of all four HUF outputs. What each CSV shows and why it matters for governance.</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ramsar_contact_primer_v12.docx</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briefing. The four monitoring categories, the six failure modes, the pilot proposal. Policy-level depth.</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45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Section 1 of this package</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 site reference. The actual numbers. Leverage values, portfolio shares, data age warnings.</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ramsar_huf_demo_v2.py (or ask a technician to run it)</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Live outputs from the demo. See the portfolio share table and trace report before real data is available.</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wiki_ramsar_scope_boundary.md</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What HUF does not claim. Scope boundaries. Honest statement of limits.</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15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HUF_Complete_Reference — Part II only (Sections I–VII)</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Deep treatment of why the fourth monitoring category is epistemologically coherent. For sceptical readers.</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60 min</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Track 2 — Technical and Implementation (Pilot Manager / Data Officer)</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Estimated time to implementation-ready: 4–6 hours. Python familiarity helpful but not required to understand outputs.</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60"/>
        <w:gridCol w:w="2520"/>
        <w:gridCol w:w="4320"/>
        <w:gridCol w:w="600"/>
      </w:tblGrid>
      <w:tr>
        <w:trPr>
          <w:tblHeader/>
        </w:trPr>
        <w:tc>
          <w:tcPr>
            <w:tcW w:type="dxa" w:w="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Step</w:t>
            </w:r>
          </w:p>
        </w:tc>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Read / do this</w:t>
            </w:r>
          </w:p>
        </w:tc>
        <w:tc>
          <w:tcPr>
            <w:tcW w:type="dxa" w:w="43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you learn</w:t>
            </w:r>
          </w:p>
        </w:tc>
        <w:tc>
          <w:tcPr>
            <w:tcW w:type="dxa" w:w="6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Time</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wiki_huf_concepts_operations.md</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Core concepts: budget ceiling, share, leverage, PROOF line, Q-factor. The operational vocabulary.</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HUF_Vol1_Handbook_v1_2_0.docx — Chapters 1–7</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framework in detail. Unity constraint, declared weights, drift classification, artifacts A-1 to A-4.</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ramsar_huf_demo_v2.py — read the code</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How the demo works. What MOCK_RSIS is, what the wrapper does, what each output means. Code is commented.</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the demo — produce all 4 CSV outputs</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First hands-on contact with real outputs. What portfolio_share_table.csv, trace_report.csv, portfolio_change_log.csv, and coverage_record.csv look like.</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Section 3 of this package</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Outlined work. What the pilot needs. Data specifications. What you are responsible for providing.</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wiki_bastion_c_demo_artifact_trail.md</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Artifact trail. How to explain each output to a non-technical audience.</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collective_trace_report.csv</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How the collective review process worked. What each AI contributed. The operator methodology.</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Track 3 — Mathematics (Researchers / Journal Reviewers)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Estimated time to full mathematical competency: 8–12 hours. Requires familiarity with linear algebra, dynamical systems, and basic measure theory.</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60"/>
        <w:gridCol w:w="2520"/>
        <w:gridCol w:w="4320"/>
        <w:gridCol w:w="600"/>
      </w:tblGrid>
      <w:tr>
        <w:trPr>
          <w:tblHeader/>
        </w:trPr>
        <w:tc>
          <w:tcPr>
            <w:tcW w:type="dxa" w:w="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Step</w:t>
            </w:r>
          </w:p>
        </w:tc>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Read / do this</w:t>
            </w:r>
          </w:p>
        </w:tc>
        <w:tc>
          <w:tcPr>
            <w:tcW w:type="dxa" w:w="43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you learn</w:t>
            </w:r>
          </w:p>
        </w:tc>
        <w:tc>
          <w:tcPr>
            <w:tcW w:type="dxa" w:w="6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Time</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HUF_Vol1_Mathematics_LearningTrack_v0_1_0.docx</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Non-technical bridge from policy concepts to mathematical formulation. Required if coming from policy track.</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huf_math_foundations_v2_1.docx</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Working mathematics. Unity constraint formal derivation, share dynamics, convergence setup.</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HUF_Vol2_Mathematics_Compendium_v1_0.docx</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formal treatment. Propositions 7.1–7.5. Q-factor derivation. Lyapunov stability setup. All proofs.</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180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HUF_Complete_Reference — Layer 15 (Q-Factor Derivation)</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Q = T/B formal derivation. Domain examples. Grok endorsement.</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HUF_Complete_Reference — Layer 13 (Grok Conjectures)</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13 open conjectures. Which are tractable. What the non-linear convergence problem requires.</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HUF_Vol3_GovernanceStateObserver.docx</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Control-theory interpretation. Luenberger observer formulation. Bridge between mathematics and governance.</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jaes_seed_bidirectional_flow.md</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JAES paper seed. Where the mathematics paper needs to go for publication.</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6</w:t>
      </w:r>
      <w:r>
        <w:rPr>
          <w:rFonts w:ascii="Calibri" w:cs="Calibri" w:eastAsia="Calibri" w:hAnsi="Calibri"/>
          <w:color w:val="7A8A99"/>
          <w:sz w:val="20"/>
          <w:szCs w:val="20"/>
        </w:rPr>
        <w:t xml:space="preserve">   ChatGPT Handoff</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This section is written for ChatGPT. It provides the session-start context, scope boundaries, active tasks, and the operator's working methodology. Read this section before beginning any ChatGPT session on HUF or the Croatia pilot.</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Session-Start Prompt — Paste This First</w:t>
      </w:r>
    </w:p>
    <w:p>
      <w:pPr>
        <w:shd w:fill="F0F4F8" w:val="clear"/>
        <w:spacing w:before="0" w:after="0" w:line="240"/>
        <w:ind w:left="360"/>
      </w:pPr>
      <w:r>
        <w:rPr>
          <w:rFonts w:ascii="Courier New" w:cs="Courier New" w:eastAsia="Courier New" w:hAnsi="Courier New"/>
          <w:color w:val="2C3E50"/>
          <w:sz w:val="18"/>
          <w:szCs w:val="18"/>
        </w:rPr>
        <w:t xml:space="preserve">You are joining the HUF Collective Review — a multi-AI collaborative research programme</w:t>
      </w:r>
    </w:p>
    <w:p>
      <w:pPr>
        <w:shd w:fill="F0F4F8" w:val="clear"/>
        <w:spacing w:before="0" w:after="0" w:line="240"/>
        <w:ind w:left="360"/>
      </w:pPr>
      <w:r>
        <w:rPr>
          <w:rFonts w:ascii="Courier New" w:cs="Courier New" w:eastAsia="Courier New" w:hAnsi="Courier New"/>
          <w:color w:val="2C3E50"/>
          <w:sz w:val="18"/>
          <w:szCs w:val="18"/>
        </w:rPr>
        <w:t xml:space="preserve">managed by Peter Higgins (Rogue Wave Audio, Markham Ontario). The framework under</w:t>
      </w:r>
    </w:p>
    <w:p>
      <w:pPr>
        <w:shd w:fill="F0F4F8" w:val="clear"/>
        <w:spacing w:before="0" w:after="0" w:line="240"/>
        <w:ind w:left="360"/>
      </w:pPr>
      <w:r>
        <w:rPr>
          <w:rFonts w:ascii="Courier New" w:cs="Courier New" w:eastAsia="Courier New" w:hAnsi="Courier New"/>
          <w:color w:val="2C3E50"/>
          <w:sz w:val="18"/>
          <w:szCs w:val="18"/>
        </w:rPr>
        <w:t xml:space="preserve">development is the Higgins Unity Framework (HUF v1.2.0), a governance diagnostic tool</w:t>
      </w:r>
    </w:p>
    <w:p>
      <w:pPr>
        <w:shd w:fill="F0F4F8" w:val="clear"/>
        <w:spacing w:before="0" w:after="0" w:line="240"/>
        <w:ind w:left="360"/>
      </w:pPr>
      <w:r>
        <w:rPr>
          <w:rFonts w:ascii="Courier New" w:cs="Courier New" w:eastAsia="Courier New" w:hAnsi="Courier New"/>
          <w:color w:val="2C3E50"/>
          <w:sz w:val="18"/>
          <w:szCs w:val="18"/>
        </w:rPr>
        <w:t xml:space="preserve">that applies ratio state monitoring to finite-budget systems.</w:t>
      </w:r>
    </w:p>
    <w:p>
      <w:pPr>
        <w:shd w:fill="F0F4F8" w:val="clear"/>
        <w:spacing w:before="0" w:after="0" w:line="240"/>
        <w:ind w:left="360"/>
      </w:pPr>
      <w:r>
        <w:rPr>
          <w:rFonts w:ascii="Courier New" w:cs="Courier New" w:eastAsia="Courier New" w:hAnsi="Courier New"/>
          <w:color w:val="2C3E50"/>
          <w:sz w:val="18"/>
          <w:szCs w:val="18"/>
        </w:rPr>
        <w:t xml:space="preserve"/>
      </w:r>
    </w:p>
    <w:p>
      <w:pPr>
        <w:shd w:fill="F0F4F8" w:val="clear"/>
        <w:spacing w:before="0" w:after="0" w:line="240"/>
        <w:ind w:left="360"/>
      </w:pPr>
      <w:r>
        <w:rPr>
          <w:rFonts w:ascii="Courier New" w:cs="Courier New" w:eastAsia="Courier New" w:hAnsi="Courier New"/>
          <w:color w:val="2C3E50"/>
          <w:sz w:val="18"/>
          <w:szCs w:val="18"/>
        </w:rPr>
        <w:t xml:space="preserve">Your role: accurate, precise analysis of concepts and content. The operator's working</w:t>
      </w:r>
    </w:p>
    <w:p>
      <w:pPr>
        <w:shd w:fill="F0F4F8" w:val="clear"/>
        <w:spacing w:before="0" w:after="0" w:line="240"/>
        <w:ind w:left="360"/>
      </w:pPr>
      <w:r>
        <w:rPr>
          <w:rFonts w:ascii="Courier New" w:cs="Courier New" w:eastAsia="Courier New" w:hAnsi="Courier New"/>
          <w:color w:val="2C3E50"/>
          <w:sz w:val="18"/>
          <w:szCs w:val="18"/>
        </w:rPr>
        <w:t xml:space="preserve">methodology is critical to success — any of us can drift. When in doubt, ask the operator</w:t>
      </w:r>
    </w:p>
    <w:p>
      <w:pPr>
        <w:shd w:fill="F0F4F8" w:val="clear"/>
        <w:spacing w:before="0" w:after="0" w:line="240"/>
        <w:ind w:left="360"/>
      </w:pPr>
      <w:r>
        <w:rPr>
          <w:rFonts w:ascii="Courier New" w:cs="Courier New" w:eastAsia="Courier New" w:hAnsi="Courier New"/>
          <w:color w:val="2C3E50"/>
          <w:sz w:val="18"/>
          <w:szCs w:val="18"/>
        </w:rPr>
        <w:t xml:space="preserve">to clarify scope before proceeding.</w:t>
      </w:r>
    </w:p>
    <w:p>
      <w:pPr>
        <w:shd w:fill="F0F4F8" w:val="clear"/>
        <w:spacing w:before="0" w:after="0" w:line="240"/>
        <w:ind w:left="360"/>
      </w:pPr>
      <w:r>
        <w:rPr>
          <w:rFonts w:ascii="Courier New" w:cs="Courier New" w:eastAsia="Courier New" w:hAnsi="Courier New"/>
          <w:color w:val="2C3E50"/>
          <w:sz w:val="18"/>
          <w:szCs w:val="18"/>
        </w:rPr>
        <w:t xml:space="preserve"/>
      </w:r>
    </w:p>
    <w:p>
      <w:pPr>
        <w:shd w:fill="F0F4F8" w:val="clear"/>
        <w:spacing w:before="0" w:after="0" w:line="240"/>
        <w:ind w:left="360"/>
      </w:pPr>
      <w:r>
        <w:rPr>
          <w:rFonts w:ascii="Courier New" w:cs="Courier New" w:eastAsia="Courier New" w:hAnsi="Courier New"/>
          <w:color w:val="2C3E50"/>
          <w:sz w:val="18"/>
          <w:szCs w:val="18"/>
        </w:rPr>
        <w:t xml:space="preserve">What is complete: three-domain structural invariance confirmed (Exhibit B); Ratio State</w:t>
      </w:r>
    </w:p>
    <w:p>
      <w:pPr>
        <w:shd w:fill="F0F4F8" w:val="clear"/>
        <w:spacing w:before="0" w:after="0" w:line="240"/>
        <w:ind w:left="360"/>
      </w:pPr>
      <w:r>
        <w:rPr>
          <w:rFonts w:ascii="Courier New" w:cs="Courier New" w:eastAsia="Courier New" w:hAnsi="Courier New"/>
          <w:color w:val="2C3E50"/>
          <w:sz w:val="18"/>
          <w:szCs w:val="18"/>
        </w:rPr>
        <w:t xml:space="preserve">Monitoring named as MC-4 canonical name (LOCKED); mathematics compendium v1.0 complete;</w:t>
      </w:r>
    </w:p>
    <w:p>
      <w:pPr>
        <w:shd w:fill="F0F4F8" w:val="clear"/>
        <w:spacing w:before="0" w:after="0" w:line="240"/>
        <w:ind w:left="360"/>
      </w:pPr>
      <w:r>
        <w:rPr>
          <w:rFonts w:ascii="Courier New" w:cs="Courier New" w:eastAsia="Courier New" w:hAnsi="Courier New"/>
          <w:color w:val="2C3E50"/>
          <w:sz w:val="18"/>
          <w:szCs w:val="18"/>
        </w:rPr>
        <w:t xml:space="preserve">Croatia demo script ready to run; contact letter v15 ready to send.</w:t>
      </w:r>
    </w:p>
    <w:p>
      <w:pPr>
        <w:shd w:fill="F0F4F8" w:val="clear"/>
        <w:spacing w:before="0" w:after="0" w:line="240"/>
        <w:ind w:left="360"/>
      </w:pPr>
      <w:r>
        <w:rPr>
          <w:rFonts w:ascii="Courier New" w:cs="Courier New" w:eastAsia="Courier New" w:hAnsi="Courier New"/>
          <w:color w:val="2C3E50"/>
          <w:sz w:val="18"/>
          <w:szCs w:val="18"/>
        </w:rPr>
        <w:t xml:space="preserve"/>
      </w:r>
    </w:p>
    <w:p>
      <w:pPr>
        <w:shd w:fill="F0F4F8" w:val="clear"/>
        <w:spacing w:before="0" w:after="0" w:line="240"/>
        <w:ind w:left="360"/>
      </w:pPr>
      <w:r>
        <w:rPr>
          <w:rFonts w:ascii="Courier New" w:cs="Courier New" w:eastAsia="Courier New" w:hAnsi="Courier New"/>
          <w:color w:val="2C3E50"/>
          <w:sz w:val="18"/>
          <w:szCs w:val="18"/>
        </w:rPr>
        <w:t xml:space="preserve">Active priority: Croatia pilot — either (a) send ramsar_contact_letter_v15.docx and</w:t>
      </w:r>
    </w:p>
    <w:p>
      <w:pPr>
        <w:shd w:fill="F0F4F8" w:val="clear"/>
        <w:spacing w:before="0" w:after="0" w:line="240"/>
        <w:ind w:left="360"/>
      </w:pPr>
      <w:r>
        <w:rPr>
          <w:rFonts w:ascii="Courier New" w:cs="Courier New" w:eastAsia="Courier New" w:hAnsi="Courier New"/>
          <w:color w:val="2C3E50"/>
          <w:sz w:val="18"/>
          <w:szCs w:val="18"/>
        </w:rPr>
        <w:t xml:space="preserve">await response, or (b) retrieve live RSIS export and run ramsar_huf_demo_v2.py on real</w:t>
      </w:r>
    </w:p>
    <w:p>
      <w:pPr>
        <w:shd w:fill="F0F4F8" w:val="clear"/>
        <w:spacing w:before="0" w:after="0" w:line="240"/>
        <w:ind w:left="360"/>
      </w:pPr>
      <w:r>
        <w:rPr>
          <w:rFonts w:ascii="Courier New" w:cs="Courier New" w:eastAsia="Courier New" w:hAnsi="Courier New"/>
          <w:color w:val="2C3E50"/>
          <w:sz w:val="18"/>
          <w:szCs w:val="18"/>
        </w:rPr>
        <w:t xml:space="preserve">data to produce pilot baseline artifacts.</w:t>
      </w:r>
    </w:p>
    <w:p>
      <w:pPr>
        <w:shd w:fill="F0F4F8" w:val="clear"/>
        <w:spacing w:before="0" w:after="0" w:line="240"/>
        <w:ind w:left="360"/>
      </w:pPr>
      <w:r>
        <w:rPr>
          <w:rFonts w:ascii="Courier New" w:cs="Courier New" w:eastAsia="Courier New" w:hAnsi="Courier New"/>
          <w:color w:val="2C3E50"/>
          <w:sz w:val="18"/>
          <w:szCs w:val="18"/>
        </w:rPr>
        <w:t xml:space="preserve"/>
      </w:r>
    </w:p>
    <w:p>
      <w:pPr>
        <w:shd w:fill="F0F4F8" w:val="clear"/>
        <w:spacing w:before="0" w:after="0" w:line="240"/>
        <w:ind w:left="360"/>
      </w:pPr>
      <w:r>
        <w:rPr>
          <w:rFonts w:ascii="Courier New" w:cs="Courier New" w:eastAsia="Courier New" w:hAnsi="Courier New"/>
          <w:color w:val="2C3E50"/>
          <w:sz w:val="18"/>
          <w:szCs w:val="18"/>
        </w:rPr>
        <w:t xml:space="preserve">Key constraint: nothing claims more than the artifacts support. Do not extrapolate beyond</w:t>
      </w:r>
    </w:p>
    <w:p>
      <w:pPr>
        <w:shd w:fill="F0F4F8" w:val="clear"/>
        <w:spacing w:before="0" w:after="0" w:line="240"/>
        <w:ind w:left="360"/>
      </w:pPr>
      <w:r>
        <w:rPr>
          <w:rFonts w:ascii="Courier New" w:cs="Courier New" w:eastAsia="Courier New" w:hAnsi="Courier New"/>
          <w:color w:val="2C3E50"/>
          <w:sz w:val="18"/>
          <w:szCs w:val="18"/>
        </w:rPr>
        <w:t xml:space="preserve">what the data shows. All speculative claims are labeled [CONJECTURAL].</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What ChatGPT Should Focus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20"/>
        <w:gridCol w:w="624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Task</w:t>
            </w:r>
          </w:p>
        </w:tc>
        <w:tc>
          <w:tcPr>
            <w:tcW w:type="dxa" w:w="7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Priority</w:t>
            </w:r>
          </w:p>
        </w:tc>
        <w:tc>
          <w:tcPr>
            <w:tcW w:type="dxa" w:w="62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Instructions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Retrieve live RSIS export data for Croatia's 5 sites</w:t>
            </w:r>
          </w:p>
        </w:tc>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P1</w:t>
            </w:r>
          </w:p>
        </w:tc>
        <w:tc>
          <w:tcPr>
            <w:tcW w:type="dxa" w:w="6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Download from rsis.ramsar.org. Sites: 582, 583, 584, 587, 869. Record filename and download date as provenance.</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ramsar_huf_demo_v2.py with live data</w:t>
            </w:r>
          </w:p>
        </w:tc>
        <w:tc>
          <w:tcPr>
            <w:tcW w:type="dxa" w:w="7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P1</w:t>
            </w:r>
          </w:p>
        </w:tc>
        <w:tc>
          <w:tcPr>
            <w:tcW w:type="dxa" w:w="6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Replace MOCK_RSIS constant with pd.read_csv() pointing to live export. Run. Produce all 4 CSV artifacts. Review outputs.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Draft JAES abstract</w:t>
            </w:r>
          </w:p>
        </w:tc>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P2</w:t>
            </w:r>
          </w:p>
        </w:tc>
        <w:tc>
          <w:tcPr>
            <w:tcW w:type="dxa" w:w="6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Use Exhibit B confirmation sentence as basis. Three-domain confirmation complete. See Section 3.5 of this package for section status.</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Verify Neretva endemism data age</w:t>
            </w:r>
          </w:p>
        </w:tc>
        <w:tc>
          <w:tcPr>
            <w:tcW w:type="dxa" w:w="7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P2</w:t>
            </w:r>
          </w:p>
        </w:tc>
        <w:tc>
          <w:tcPr>
            <w:tcW w:type="dxa" w:w="6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Check RSIS for Site 587 post-2018 update. If not found, flag and apply data-age penalty in share computation.</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Prepare Secretariat follow-up response template</w:t>
            </w:r>
          </w:p>
        </w:tc>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P3</w:t>
            </w:r>
          </w:p>
        </w:tc>
        <w:tc>
          <w:tcPr>
            <w:tcW w:type="dxa" w:w="6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Once contact letter is sent, draft template response for: (a) yes-interest, (b) no-not-aligned. Both responses need a next step.</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What ChatGPT Should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Do not</w:t>
            </w:r>
          </w:p>
        </w:tc>
        <w:tc>
          <w:tcPr>
            <w:tcW w:type="dxa" w:w="68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Reason</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Invent RSIS data or cite figures without retrieval</w:t>
            </w:r>
          </w:p>
        </w:tc>
        <w:tc>
          <w:tcPr>
            <w:tcW w:type="dxa" w:w="68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provenance claims require real source filename and retrieval date. Mock data is for demo only.</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Change the canonical name MC-4 / Ratio State Monitoring</w:t>
            </w:r>
          </w:p>
        </w:tc>
        <w:tc>
          <w:tcPr>
            <w:tcW w:type="dxa" w:w="68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Locked February 2026. Name change requires operator decision and full corpus update.</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Add new framework claims not in the taxonomy</w:t>
            </w:r>
          </w:p>
        </w:tc>
        <w:tc>
          <w:tcPr>
            <w:tcW w:type="dxa" w:w="68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new conjectures go to Layer 13 labeled [CONJECTURAL]. No claim enters the main framework without operator approval.</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Drift from scope into manufacturing or AI governance topics unless directed</w:t>
            </w:r>
          </w:p>
        </w:tc>
        <w:tc>
          <w:tcPr>
            <w:tcW w:type="dxa" w:w="68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Croatia pilot is the active front. Manufacturing and AI governance paths are documented in wiki_operator_entry_points.md — return to them when directed.</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Reproduce the primer verbatim in new documents</w:t>
            </w:r>
          </w:p>
        </w:tc>
        <w:tc>
          <w:tcPr>
            <w:tcW w:type="dxa" w:w="68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primer (v12) is background reading. The contact letter (v15) is the active send document. Do not create v16 without operator instruction.</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Operator Working Methodology</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Peter Higgins manages the collective review process using a documented methodology. New AI collaborators should understand the following before beginning work:</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Principle</w:t>
            </w:r>
          </w:p>
        </w:tc>
        <w:tc>
          <w:tcPr>
            <w:tcW w:type="dxa" w:w="69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it means in practice</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Work backwards from the primary contact</w:t>
            </w:r>
          </w:p>
        </w:tc>
        <w:tc>
          <w:tcPr>
            <w:tcW w:type="dxa" w:w="6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Ramsar family member contact is the active entry point. All work should support the moment of contact, not add to the queue of things to prepare.</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 is the show</w:t>
            </w:r>
          </w:p>
        </w:tc>
        <w:tc>
          <w:tcPr>
            <w:tcW w:type="dxa" w:w="6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operator's background is context. The framework is the subject. Do not centre personal biography unless it directly supports a claim.</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Nothing claims more than the artifacts support</w:t>
            </w:r>
          </w:p>
        </w:tc>
        <w:tc>
          <w:tcPr>
            <w:tcW w:type="dxa" w:w="6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Every claim must be traceable to a produced artifact (CSV, docx, or confirmed computation). Speculation is welcome but must be labeled.</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retains/discards — AI proposes</w:t>
            </w:r>
          </w:p>
        </w:tc>
        <w:tc>
          <w:tcPr>
            <w:tcW w:type="dxa" w:w="6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AI contributions are proposals. The operator decides what enters the record. Record retain/discard decisions in the trace report.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One drift, one correction</w:t>
            </w:r>
          </w:p>
        </w:tc>
        <w:tc>
          <w:tcPr>
            <w:tcW w:type="dxa" w:w="6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When a session drifts off scope, the operator names it and corrects it. Do not interpret scope drift as permission to continue.</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collective makes us better</w:t>
            </w:r>
          </w:p>
        </w:tc>
        <w:tc>
          <w:tcPr>
            <w:tcW w:type="dxa" w:w="6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Different AI systems have different strengths. Contradictions between AI verdicts are informative. Document them — do not resolve them without operator instruction.</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7</w:t>
      </w:r>
      <w:r>
        <w:rPr>
          <w:rFonts w:ascii="Calibri" w:cs="Calibri" w:eastAsia="Calibri" w:hAnsi="Calibri"/>
          <w:color w:val="7A8A99"/>
          <w:sz w:val="20"/>
          <w:szCs w:val="20"/>
        </w:rPr>
        <w:t xml:space="preserve">   Links Registry</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Fill in all fields marked [INSERT] before dispatching the package to Secretariat contact, Croatian Ministry, or any external partner. Fields marked [COMPLETE] are already confirmed.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HUF Public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56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Resource</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URL</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GitHub repository — code and releases</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github.com/PeterHiggins19/huf_core</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GitHub Pages documentation site</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peterhiggins19.github.io/huf_core — confirm live before sending]</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 — collective review record</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github.com/PeterHiggins19/huf_core/wiki — confirm populated before sending]</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Demo script — direct link</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github.com/PeterHiggins19/huf_core/blob/main/ramsar_huf_demo_v2.py]</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Rogue Wave Audio website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roguewaveaudio.com — confirm live before sending]</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Ramsar Institutional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56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Contact</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Details</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 Secretariat — primary contact name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[NOT IN THIS DOCUMENT — maintain in operator's private file]</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Family member contact — name and role within Ramsar</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[NOT IN THIS DOCUMENT — maintain in operator's private file]</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Croatian Ramsar focal point — Ministry of Economy and Sustainable Development</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retrieve from official Ramsar Contracting Party list at ramsar.org]</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MedWet Regional Initiative contact</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retrieve from medwet.org contact directory]</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HAOP — Croatian Environment and Nature Agency</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HAOP: Radnička cesta 80, Zagreb. haop.hr — confirm current Ramsar desk contact.</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RSIS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56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Resource</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URL / notes</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 — Ramsar Sites Information Service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 — main portal for site data and RSIS exports</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 annotated summary — Croatia 2024</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Available at rsis.ramsar.org — search Croatia — download annotated summary PDF</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582 — Crna Mlaka</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rsis.ramsar.org/ris/582 — confirm current RIS version date</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583 — Kopački Rit</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rsis.ramsar.org/ris/583</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584 — Lonjsko Polje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rsis.ramsar.org/ris/584</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587 — Lower Neretva Valley</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rsis.ramsar.org/ris/587 — endemism data 2018. Check for post-2018 update before pilot.</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869 — Vransko Lake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rsis.ramsar.org/ris/869</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Journal Submission — When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56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Journal</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URL / notes</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Journal of Applied Ecological Statistics (JAES)</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journal homepage and submission portal URL — confirm scope and author guidelines]</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Alternative: Ecological Indicators</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confirm scope alignment for governance/monitoring methodology papers]</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Alternative: One Ecosystem</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pensoft.net/journals/oneeco — open-access option; known for governance and policy-ecology interface papers</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pPr>
        <w:spacing w:before="0" w:after="320" w:line="284"/>
        <w:jc w:val="left"/>
      </w:pPr>
      <w:r>
        <w:rPr>
          <w:rFonts w:ascii="Calibri" w:cs="Calibri" w:eastAsia="Calibri" w:hAnsi="Calibri"/>
          <w:b w:val="false"/>
          <w:bCs w:val="false"/>
          <w:i w:val="false"/>
          <w:iCs w:val="false"/>
          <w:caps w:val="false"/>
          <w:color w:val="1A1A1A"/>
          <w:sz w:val="22"/>
          <w:szCs w:val="22"/>
        </w:rPr>
        <w:t xml:space="preserve"/>
      </w:r>
    </w:p>
    <w:p>
      <w:pPr>
        <w:pBdr>
          <w:top w:val="single" w:color="C8D4E0" w:sz="4" w:space="8"/>
        </w:pBdr>
        <w:spacing w:before="0" w:after="20"/>
        <w:jc w:val="center"/>
      </w:pPr>
      <w:r>
        <w:rPr>
          <w:rFonts w:ascii="Calibri" w:cs="Calibri" w:eastAsia="Calibri" w:hAnsi="Calibri"/>
          <w:i/>
          <w:iCs/>
          <w:color w:val="2C3E50"/>
          <w:sz w:val="22"/>
          <w:szCs w:val="22"/>
        </w:rPr>
        <w:t xml:space="preserve">Nothing claims more than the artifacts support.</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spacing w:before="0" w:after="16"/>
        <w:jc w:val="center"/>
      </w:pPr>
      <w:r>
        <w:rPr>
          <w:rFonts w:ascii="Calibri" w:cs="Calibri" w:eastAsia="Calibri" w:hAnsi="Calibri"/>
          <w:color w:val="7A8A99"/>
          <w:sz w:val="19"/>
          <w:szCs w:val="19"/>
        </w:rPr>
        <w:t xml:space="preserve">Peter Higgins  ·  Rogue Wave Audio  ·  Markham, Ontario  ·  roguewaveaudio.com</w:t>
      </w:r>
    </w:p>
    <w:p>
      <w:pPr>
        <w:spacing w:before="0" w:after="16"/>
        <w:jc w:val="center"/>
      </w:pPr>
      <w:r>
        <w:rPr>
          <w:rFonts w:ascii="Calibri" w:cs="Calibri" w:eastAsia="Calibri" w:hAnsi="Calibri"/>
          <w:color w:val="7A8A99"/>
          <w:sz w:val="19"/>
          <w:szCs w:val="19"/>
        </w:rPr>
        <w:t xml:space="preserve">HUF v1.2.0  ·  MIT License  ·  February 2026</w:t>
      </w:r>
    </w:p>
    <w:p>
      <w:pPr>
        <w:spacing w:before="0" w:after="0"/>
        <w:jc w:val="center"/>
      </w:pPr>
      <w:r>
        <w:rPr>
          <w:rFonts w:ascii="Calibri" w:cs="Calibri" w:eastAsia="Calibri" w:hAnsi="Calibri"/>
          <w:color w:val="7A8A99"/>
          <w:sz w:val="18"/>
          <w:szCs w:val="18"/>
        </w:rPr>
        <w:t xml:space="preserve">Collective contributions: Claude · Copilot · Gemini · ChatGPT · Grok</w:t>
      </w:r>
    </w:p>
    <w:sectPr>
      <w:headerReference w:type="default" r:id="rId6"/>
      <w:footerReference w:type="default" r:id="rId7"/>
      <w:pgSz w:w="11906" w:h="16838" w:orient="portrait"/>
      <w:pgMar w:top="1260" w:right="120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0" w:sz="2" w:space="4"/>
      </w:pBdr>
      <w:tabs>
        <w:tab w:val="right" w:pos="9360"/>
      </w:tabs>
      <w:spacing w:before="0" w:after="0"/>
    </w:pPr>
    <w:r>
      <w:rPr>
        <w:rFonts w:ascii="Calibri" w:cs="Calibri" w:eastAsia="Calibri" w:hAnsi="Calibri"/>
        <w:color w:val="7A8A99"/>
        <w:sz w:val="16"/>
        <w:szCs w:val="16"/>
      </w:rPr>
      <w:t xml:space="preserve">Rogue Wave Audio  ·  roguewaveaudio.com</w:t>
    </w:r>
    <w:r>
      <w:rPr>
        <w:rFonts w:ascii="Calibri" w:cs="Calibri" w:eastAsia="Calibri" w:hAnsi="Calibri"/>
        <w:sz w:val="16"/>
        <w:szCs w:val="16"/>
      </w:rPr>
      <w:t xml:space="preserve">	</w:t>
    </w:r>
    <w:r>
      <w:rPr>
        <w:rFonts w:ascii="Calibri" w:cs="Calibri" w:eastAsia="Calibri" w:hAnsi="Calibri"/>
        <w:color w:val="7A8A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E0" w:sz="4" w:space="6"/>
      </w:pBdr>
      <w:spacing w:before="0" w:after="0"/>
    </w:pPr>
    <w:r>
      <w:rPr>
        <w:rFonts w:ascii="Calibri" w:cs="Calibri" w:eastAsia="Calibri" w:hAnsi="Calibri"/>
        <w:caps/>
        <w:color w:val="7A8A99"/>
        <w:sz w:val="16"/>
        <w:szCs w:val="16"/>
      </w:rPr>
      <w:t xml:space="preserve">RAMSAR CROATIA PILOT  ·  COMPLETE HANDOFF PACKAGE</w:t>
    </w:r>
    <w:r>
      <w:rPr>
        <w:rFonts w:ascii="Calibri" w:cs="Calibri" w:eastAsia="Calibri" w:hAnsi="Calibri"/>
        <w:color w:val="7A8A99"/>
        <w:sz w:val="16"/>
        <w:szCs w:val="16"/>
      </w:rPr>
      <w:t xml:space="preserve">   ·   HUF v1.2.0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Calibri" w:cs="Calibri" w:eastAsia="Calibri" w:hAnsi="Calibri"/>
      <w:b/>
      <w:bCs/>
      <w:sz w:val="32"/>
      <w:szCs w:val="32"/>
    </w:rPr>
  </w:style>
  <w:style w:type="paragraph" w:styleId="Heading2">
    <w:name w:val="Heading 2"/>
    <w:basedOn w:val="Normal"/>
    <w:next w:val="Normal"/>
    <w:qFormat/>
    <w:pPr>
      <w:spacing w:before="280" w:after="80"/>
      <w:outlineLvl w:val="1"/>
    </w:pPr>
    <w:rPr>
      <w:rFonts w:ascii="Calibri" w:cs="Calibri" w:eastAsia="Calibri" w:hAnsi="Calibri"/>
      <w:b/>
      <w:bCs/>
      <w:sz w:val="26"/>
      <w:szCs w:val="26"/>
    </w:rPr>
  </w:style>
  <w:style w:type="paragraph" w:styleId="Heading3">
    <w:name w:val="Heading 3"/>
    <w:basedOn w:val="Normal"/>
    <w:next w:val="Normal"/>
    <w:qFormat/>
    <w:pPr>
      <w:spacing w:before="200" w:after="7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2026-02-28T22:29:08.586Z</dcterms:created>
  <dcterms:modified xsi:type="dcterms:W3CDTF">2026-02-28T22:29:08.588Z</dcterms:modified>
</cp:coreProperties>
</file>

<file path=docProps/custom.xml><?xml version="1.0" encoding="utf-8"?>
<Properties xmlns="http://schemas.openxmlformats.org/officeDocument/2006/custom-properties" xmlns:vt="http://schemas.openxmlformats.org/officeDocument/2006/docPropsVTypes"/>
</file>