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111111"/>
          <w:sz w:val="28"/>
          <w:szCs w:val="28"/>
        </w:rPr>
        <w:t xml:space="preserve">HIGGINS UNITY FRAMEWORK</w:t>
      </w:r>
    </w:p>
    <w:p>
      <w:pPr>
        <w:spacing w:before="0" w:after="20" w:line="276"/>
        <w:jc w:val="center"/>
      </w:pPr>
      <w:r>
        <w:rPr>
          <w:rFonts w:ascii="Arial" w:cs="Arial" w:eastAsia="Arial" w:hAnsi="Arial"/>
          <w:b/>
          <w:bCs/>
          <w:i w:val="false"/>
          <w:iCs w:val="false"/>
          <w:color w:val="333333"/>
          <w:sz w:val="28"/>
          <w:szCs w:val="28"/>
        </w:rPr>
        <w:t xml:space="preserve">APPENDIX D</w:t>
      </w:r>
    </w:p>
    <w:p>
      <w:pPr>
        <w:spacing w:before="0" w:after="40" w:line="276"/>
        <w:jc w:val="center"/>
      </w:pPr>
      <w:r>
        <w:rPr>
          <w:rFonts w:ascii="Georgia" w:cs="Georgia" w:eastAsia="Georgia" w:hAnsi="Georgia"/>
          <w:b w:val="false"/>
          <w:bCs w:val="false"/>
          <w:i/>
          <w:iCs/>
          <w:color w:val="555555"/>
          <w:sz w:val="24"/>
          <w:szCs w:val="24"/>
        </w:rPr>
        <w:t xml:space="preserve">Research Case Studies</w:t>
      </w:r>
    </w:p>
    <w:p>
      <w:pPr>
        <w:spacing w:before="0" w:after="40" w:line="276"/>
        <w:jc w:val="center"/>
      </w:pPr>
      <w:r>
        <w:rPr>
          <w:rFonts w:ascii="Arial" w:cs="Arial" w:eastAsia="Arial" w:hAnsi="Arial"/>
          <w:b/>
          <w:bCs/>
          <w:i w:val="false"/>
          <w:iCs w:val="false"/>
          <w:color w:val="111111"/>
          <w:sz w:val="32"/>
          <w:szCs w:val="32"/>
        </w:rPr>
        <w:t xml:space="preserve">Case Study D.2 — Exhibit B</w:t>
      </w:r>
    </w:p>
    <w:p>
      <w:pPr>
        <w:spacing w:before="0" w:after="20" w:line="276"/>
        <w:jc w:val="center"/>
      </w:pPr>
      <w:r>
        <w:rPr>
          <w:rFonts w:ascii="Georgia" w:cs="Georgia" w:eastAsia="Georgia" w:hAnsi="Georgia"/>
          <w:b w:val="false"/>
          <w:bCs w:val="false"/>
          <w:i/>
          <w:iCs/>
          <w:color w:val="333333"/>
          <w:sz w:val="28"/>
          <w:szCs w:val="28"/>
        </w:rPr>
        <w:t xml:space="preserve">Three-Domain Declaration Comparison:</w:t>
      </w:r>
    </w:p>
    <w:p>
      <w:pPr>
        <w:spacing w:before="0" w:after="60" w:line="276"/>
        <w:jc w:val="center"/>
      </w:pPr>
      <w:r>
        <w:rPr>
          <w:rFonts w:ascii="Georgia" w:cs="Georgia" w:eastAsia="Georgia" w:hAnsi="Georgia"/>
          <w:b w:val="false"/>
          <w:bCs w:val="false"/>
          <w:i/>
          <w:iCs/>
          <w:color w:val="333333"/>
          <w:sz w:val="28"/>
          <w:szCs w:val="28"/>
        </w:rPr>
        <w:t xml:space="preserve">Sourdough Loaf vs. Croatia Ramsar Portfolio vs. Software Retrieval Pipeline</w:t>
      </w:r>
    </w:p>
    <w:p>
      <w:pPr>
        <w:spacing w:before="0" w:after="60" w:line="276"/>
        <w:jc w:val="center"/>
      </w:pPr>
      <w:r>
        <w:rPr>
          <w:rFonts w:ascii="Georgia" w:cs="Georgia" w:eastAsia="Georgia" w:hAnsi="Georgia"/>
          <w:b w:val="false"/>
          <w:bCs w:val="false"/>
          <w:i/>
          <w:iCs/>
          <w:color w:val="555555"/>
          <w:sz w:val="26"/>
          <w:szCs w:val="26"/>
        </w:rPr>
        <w:t xml:space="preserve">Empirical Validation of Proposition 7.1 — Structural Invariance (Interpretive)</w:t>
      </w:r>
    </w:p>
    <w:p>
      <w:pPr>
        <w:spacing w:before="0" w:after="60" w:line="276"/>
        <w:jc w:val="center"/>
      </w:pPr>
      <w:r>
        <w:rPr>
          <w:rFonts w:ascii="Georgia" w:cs="Georgia" w:eastAsia="Georgia" w:hAnsi="Georgia"/>
          <w:b w:val="false"/>
          <w:bCs w:val="false"/>
          <w:i w:val="false"/>
          <w:iCs w:val="false"/>
          <w:color w:val="888888"/>
          <w:sz w:val="20"/>
          <w:szCs w:val="20"/>
        </w:rPr>
        <w:t xml:space="preserve">Observer: HUF Compliance Engine v1.2.0 · February 2026</w:t>
      </w:r>
    </w:p>
    <w:p>
      <w:pPr>
        <w:spacing w:before="0" w:after="200" w:line="276"/>
        <w:jc w:val="center"/>
      </w:pPr>
      <w:r>
        <w:rPr>
          <w:rFonts w:ascii="Georgia" w:cs="Georgia" w:eastAsia="Georgia" w:hAnsi="Georgia"/>
          <w:b w:val="false"/>
          <w:bCs w:val="false"/>
          <w:i w:val="false"/>
          <w:iCs w:val="false"/>
          <w:color w:val="888888"/>
          <w:sz w:val="20"/>
          <w:szCs w:val="20"/>
        </w:rPr>
        <w:t xml:space="preserve">Handbook v1.2.0 · MIT License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5588" w:sz="6" w:space="8"/>
        </w:pBdr>
        <w:spacing w:before="80" w:after="80" w:line="276"/>
        <w:ind w:left="360"/>
        <w:jc w:val="both"/>
      </w:pPr>
      <w:r>
        <w:rPr>
          <w:rFonts w:ascii="Arial" w:cs="Arial" w:eastAsia="Arial" w:hAnsi="Arial"/>
          <w:b/>
          <w:bCs/>
          <w:i w:val="false"/>
          <w:iCs w:val="false"/>
          <w:color w:val="005588"/>
          <w:sz w:val="24"/>
          <w:szCs w:val="24"/>
        </w:rPr>
        <w:t xml:space="preserve">SCOPE POSTURE:  </w:t>
      </w:r>
      <w:r>
        <w:rPr>
          <w:rFonts w:ascii="Georgia" w:cs="Georgia" w:eastAsia="Georgia" w:hAnsi="Georgia"/>
          <w:b w:val="false"/>
          <w:bCs w:val="false"/>
          <w:i/>
          <w:iCs/>
          <w:color w:val="005588"/>
          <w:sz w:val="24"/>
          <w:szCs w:val="24"/>
        </w:rPr>
        <w:t xml:space="preserve">Structural invariance (interpretive) — shared diagnostic patterns are presented as structural analogies, not formal domain equivalence. Three domains are compared because they share the unity constraint, not because the domains are equivalent.</w:t>
      </w:r>
    </w:p>
    <w:p>
      <w:pPr>
        <w:pBdr>
          <w:left w:val="single" w:color="006633" w:sz="6" w:space="8"/>
        </w:pBdr>
        <w:spacing w:before="80" w:after="80" w:line="276"/>
        <w:ind w:left="360"/>
        <w:jc w:val="both"/>
      </w:pPr>
      <w:r>
        <w:rPr>
          <w:rFonts w:ascii="Arial" w:cs="Arial" w:eastAsia="Arial" w:hAnsi="Arial"/>
          <w:b/>
          <w:bCs/>
          <w:i w:val="false"/>
          <w:iCs w:val="false"/>
          <w:color w:val="006633"/>
          <w:sz w:val="24"/>
          <w:szCs w:val="24"/>
        </w:rPr>
        <w:t xml:space="preserve">STATUS:  </w:t>
      </w:r>
      <w:r>
        <w:rPr>
          <w:rFonts w:ascii="Georgia" w:cs="Georgia" w:eastAsia="Georgia" w:hAnsi="Georgia"/>
          <w:b w:val="false"/>
          <w:bCs w:val="false"/>
          <w:i/>
          <w:iCs/>
          <w:color w:val="006633"/>
          <w:sz w:val="24"/>
          <w:szCs w:val="24"/>
        </w:rPr>
        <w:t xml:space="preserve">EXHIBIT B FRAMEWORK COMPLETE. System C data entry pending. Placeholder fields marked in red. Document is execution-ready — insert pipeline data and run diagnostics.</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Preamble: What This Document Is</w:t>
      </w:r>
    </w:p>
    <w:p>
      <w:pPr>
        <w:spacing w:before="0" w:after="160" w:line="276"/>
        <w:jc w:val="both"/>
      </w:pPr>
      <w:r>
        <w:rPr>
          <w:rFonts w:ascii="Georgia" w:cs="Georgia" w:eastAsia="Georgia" w:hAnsi="Georgia"/>
          <w:b w:val="false"/>
          <w:bCs w:val="false"/>
          <w:i w:val="false"/>
          <w:iCs w:val="false"/>
          <w:color w:val="000000"/>
          <w:sz w:val="24"/>
          <w:szCs w:val="24"/>
        </w:rPr>
        <w:t xml:space="preserve">This is the second case study in the HUF Research Appendix. It extends the cross-domain comparison first established in Case Study D.1 (Exhibit A) to a third domain: a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Exhibit A demonstrated that the HUF Diagnostic Engine applied Tests T1, T4, T5, and T8 to two systems — an artisanal sourdough loaf and the Croatia Ramsar site portfolio — produced coherent, comparable, formally structured results using the same instrument without modification. The unity constraint applied without domain knowledge of either system.</w:t>
      </w:r>
    </w:p>
    <w:p>
      <w:pPr>
        <w:spacing w:before="0" w:after="160" w:line="276"/>
        <w:jc w:val="both"/>
      </w:pPr>
      <w:r>
        <w:rPr>
          <w:rFonts w:ascii="Georgia" w:cs="Georgia" w:eastAsia="Georgia" w:hAnsi="Georgia"/>
          <w:b w:val="false"/>
          <w:bCs w:val="false"/>
          <w:i w:val="false"/>
          <w:iCs w:val="false"/>
          <w:color w:val="000000"/>
          <w:sz w:val="24"/>
          <w:szCs w:val="24"/>
        </w:rPr>
        <w:t xml:space="preserve">The purpose of Exhibit B is to complete the three-domain confirmation required for strong empirical support of Proposition 7.1 (Structural Invariance, interpretive). The third domain — a software retrieval pipeline — introduces a system that differs from both prior systems in every material way: its budget ceiling is abstract (query mass, not physical), its characteristic cycles operate at millisecond to week timescales (not hours or years), and its governance actors are software engineers and system administrators rather than bakers or wetland managers.</w:t>
      </w:r>
    </w:p>
    <w:p>
      <w:pPr>
        <w:spacing w:before="0" w:after="160" w:line="276"/>
        <w:jc w:val="both"/>
      </w:pPr>
      <w:r>
        <w:rPr>
          <w:rFonts w:ascii="Georgia" w:cs="Georgia" w:eastAsia="Georgia" w:hAnsi="Georgia"/>
          <w:b w:val="false"/>
          <w:bCs w:val="false"/>
          <w:i w:val="false"/>
          <w:iCs w:val="false"/>
          <w:color w:val="000000"/>
          <w:sz w:val="24"/>
          <w:szCs w:val="24"/>
        </w:rPr>
        <w:t xml:space="preserve">If the same diagnostic instrument produces coherent results across all three domains, Proposition 7.1 has three-domain empirical support with no structural overlap between systems. This constitutes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1: The Three Systems</w:t>
      </w:r>
    </w:p>
    <w:p>
      <w:pPr>
        <w:pStyle w:val="Heading3"/>
        <w:spacing w:before="180" w:after="80"/>
      </w:pPr>
      <w:r>
        <w:rPr>
          <w:rFonts w:ascii="Arial" w:cs="Arial" w:eastAsia="Arial" w:hAnsi="Arial"/>
          <w:b/>
          <w:bCs/>
          <w:i/>
          <w:iCs/>
          <w:color w:val="555555"/>
          <w:sz w:val="26"/>
          <w:szCs w:val="26"/>
        </w:rPr>
        <w:t xml:space="preserve">System A — Artisanal Sourdough Loaf (1,000g)</w:t>
      </w:r>
    </w:p>
    <w:p>
      <w:pPr>
        <w:spacing w:before="0" w:after="160" w:line="276"/>
        <w:jc w:val="both"/>
      </w:pPr>
      <w:r>
        <w:rPr>
          <w:rFonts w:ascii="Georgia" w:cs="Georgia" w:eastAsia="Georgia" w:hAnsi="Georgia"/>
          <w:b w:val="false"/>
          <w:bCs w:val="false"/>
          <w:i w:val="false"/>
          <w:iCs w:val="false"/>
          <w:color w:val="000000"/>
          <w:sz w:val="24"/>
          <w:szCs w:val="24"/>
        </w:rPr>
        <w:t xml:space="preserve">Carried forward from Case Study D.1. Budget ceiling: 1,000g total ingredient mass. Five elements: flour, water, starter, salt, yeast. Highest-Q element: yeast (leverage 833, characteristic period 4–12 hours fermentation). Mean drift gap: 1.4pp (near ground state). Status: CONFIRMED — Exhibit A.</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B — Croatia Ramsar Site Portfolio (93,000 ha)</w:t>
      </w:r>
    </w:p>
    <w:p>
      <w:pPr>
        <w:spacing w:before="0" w:after="160" w:line="276"/>
        <w:jc w:val="both"/>
      </w:pPr>
      <w:r>
        <w:rPr>
          <w:rFonts w:ascii="Georgia" w:cs="Georgia" w:eastAsia="Georgia" w:hAnsi="Georgia"/>
          <w:b w:val="false"/>
          <w:bCs w:val="false"/>
          <w:i w:val="false"/>
          <w:iCs w:val="false"/>
          <w:color w:val="000000"/>
          <w:sz w:val="24"/>
          <w:szCs w:val="24"/>
        </w:rPr>
        <w:t xml:space="preserve">Carried forward from Case Study D.1. Budget ceiling: 93,000 ha total designated area. Five sites: Lonjsko Polje, Kopački Rit, Lower Neretva Valley, Crna Mlaka, Vransko Lake. Highest-Q element: Crna Mlaka (leverage 149, characteristic period: multi-year endemic species cycle). Mean drift gap: 4.8pp (emergent drift — action window open). Status: CONFIRMED — Exhibit A.</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C —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A multi-namespace vector database or document retrieval system. The budget ceiling is total retrieval volume — the aggregate query mass processed by the system over a defined observation window. Each namespace is an element: it holds a proportional share of total retrieval activity. The declared weights are the operator's stated priorities — which namespaces should receive what proportion of retrieval investment, expressed as normalised shares.</w:t>
      </w:r>
    </w:p>
    <w:p>
      <w:pPr>
        <w:spacing w:before="0" w:after="160" w:line="276"/>
        <w:jc w:val="both"/>
      </w:pPr>
      <w:r>
        <w:rPr>
          <w:rFonts w:ascii="Georgia" w:cs="Georgia" w:eastAsia="Georgia" w:hAnsi="Georgia"/>
          <w:b w:val="false"/>
          <w:bCs w:val="false"/>
          <w:i w:val="false"/>
          <w:iCs w:val="false"/>
          <w:color w:val="000000"/>
          <w:sz w:val="24"/>
          <w:szCs w:val="24"/>
        </w:rPr>
        <w:t xml:space="preserve">The governance structure: whoever manages the namespace allocation and embedding refresh schedule is the operator. Their declared priority weights are the reference. The observed shares are the actual query-volume distribution over the observation window.</w:t>
      </w:r>
    </w:p>
    <w:p>
      <w:pPr>
        <w:spacing w:before="0" w:after="160" w:line="276"/>
        <w:jc w:val="both"/>
      </w:pPr>
      <w:r>
        <w:rPr>
          <w:rFonts w:ascii="Georgia" w:cs="Georgia" w:eastAsia="Georgia" w:hAnsi="Georgia"/>
          <w:b w:val="false"/>
          <w:bCs w:val="false"/>
          <w:i w:val="false"/>
          <w:iCs w:val="false"/>
          <w:color w:val="000000"/>
          <w:sz w:val="24"/>
          <w:szCs w:val="24"/>
        </w:rPr>
        <w:t xml:space="preserve">Characteristic cycles by namespace type:</w:t>
      </w:r>
    </w:p>
    <w:p>
      <w:pPr>
        <w:spacing w:before="0" w:after="80" w:line="276"/>
        <w:ind w:left="720"/>
        <w:jc w:val="both"/>
      </w:pPr>
      <w:r>
        <w:rPr>
          <w:rFonts w:ascii="Georgia" w:cs="Georgia" w:eastAsia="Georgia" w:hAnsi="Georgia"/>
          <w:b/>
          <w:bCs/>
          <w:i w:val="false"/>
          <w:iCs w:val="false"/>
          <w:color w:val="000000"/>
          <w:sz w:val="24"/>
          <w:szCs w:val="24"/>
        </w:rPr>
        <w:t xml:space="preserve">General-purpose namespace:</w:t>
      </w:r>
      <w:r>
        <w:rPr>
          <w:rFonts w:ascii="Georgia" w:cs="Georgia" w:eastAsia="Georgia" w:hAnsi="Georgia"/>
          <w:b w:val="false"/>
          <w:bCs w:val="false"/>
          <w:i w:val="false"/>
          <w:iCs w:val="false"/>
          <w:color w:val="000000"/>
          <w:sz w:val="24"/>
          <w:szCs w:val="24"/>
        </w:rPr>
        <w:t xml:space="preserve">  High query volume, broad coverage. Characteristic cycle: days to weeks (query patterns shift with news and user base). Low-Q element — always visible in any observation window.</w:t>
      </w:r>
    </w:p>
    <w:p>
      <w:pPr>
        <w:spacing w:before="0" w:after="80" w:line="276"/>
        <w:ind w:left="720"/>
        <w:jc w:val="both"/>
      </w:pPr>
      <w:r>
        <w:rPr>
          <w:rFonts w:ascii="Georgia" w:cs="Georgia" w:eastAsia="Georgia" w:hAnsi="Georgia"/>
          <w:b/>
          <w:bCs/>
          <w:i w:val="false"/>
          <w:iCs w:val="false"/>
          <w:color w:val="000000"/>
          <w:sz w:val="24"/>
          <w:szCs w:val="24"/>
        </w:rPr>
        <w:t xml:space="preserve">Domain-specialist namespace:</w:t>
      </w:r>
      <w:r>
        <w:rPr>
          <w:rFonts w:ascii="Georgia" w:cs="Georgia" w:eastAsia="Georgia" w:hAnsi="Georgia"/>
          <w:b w:val="false"/>
          <w:bCs w:val="false"/>
          <w:i w:val="false"/>
          <w:iCs w:val="false"/>
          <w:color w:val="000000"/>
          <w:sz w:val="24"/>
          <w:szCs w:val="24"/>
        </w:rPr>
        <w:t xml:space="preserve">  Narrow topic coverage, queried heavily during specific events (product launches, incident investigations, research phases). Characteristic cycle: weeks to months. Medium-to-high Q — easily missed in snapshot observations taken between active phases.</w:t>
      </w:r>
    </w:p>
    <w:p>
      <w:pPr>
        <w:spacing w:before="0" w:after="80" w:line="276"/>
        <w:ind w:left="720"/>
        <w:jc w:val="both"/>
      </w:pPr>
      <w:r>
        <w:rPr>
          <w:rFonts w:ascii="Georgia" w:cs="Georgia" w:eastAsia="Georgia" w:hAnsi="Georgia"/>
          <w:b/>
          <w:bCs/>
          <w:i w:val="false"/>
          <w:iCs w:val="false"/>
          <w:color w:val="000000"/>
          <w:sz w:val="24"/>
          <w:szCs w:val="24"/>
        </w:rPr>
        <w:t xml:space="preserve">Legacy/archival namespace:</w:t>
      </w:r>
      <w:r>
        <w:rPr>
          <w:rFonts w:ascii="Georgia" w:cs="Georgia" w:eastAsia="Georgia" w:hAnsi="Georgia"/>
          <w:b w:val="false"/>
          <w:bCs w:val="false"/>
          <w:i w:val="false"/>
          <w:iCs w:val="false"/>
          <w:color w:val="000000"/>
          <w:sz w:val="24"/>
          <w:szCs w:val="24"/>
        </w:rPr>
        <w:t xml:space="preserve">  Historical documents, low routine query volume. Contribution spikes during compliance reviews, litigation, or periodic research. Highest-Q element — its contribution window may be months apart. Removal based on low observed share would be the snapshot error failure mode in a software domain.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Raw Data</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OPERATOR: insert System C baseline data below. Column format matches Systems A and B. Observation window = your T_obs (recommend: 30 days for initial baseline). Each namespace is a row. Shares must sum to 1.0000.</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Element</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 Sourdough (share)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 Croatia Ramsar (share)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 Retrieval Pipeline (share)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0.615</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Polje — 0.543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General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Secondary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Water — 0.369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Kopački Rit — 0.257</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Second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Tertiary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Starter — 0.014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Lower Neretva — 0.129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Third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Quaternary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Salt — 0.002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Vransko Lake — 0.064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Fourth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 0.0012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 0.0067</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Legacy/specialist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Σρ (unity check)</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Must equal 1.0000 ] ✓</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2: Diagnostic Results</w:t>
      </w:r>
    </w:p>
    <w:p>
      <w:pPr>
        <w:pStyle w:val="Heading2"/>
        <w:spacing w:before="300" w:after="120"/>
      </w:pPr>
      <w:r>
        <w:rPr>
          <w:rFonts w:ascii="Arial" w:cs="Arial" w:eastAsia="Arial" w:hAnsi="Arial"/>
          <w:b/>
          <w:bCs/>
          <w:i w:val="false"/>
          <w:iCs w:val="false"/>
          <w:color w:val="333333"/>
          <w:sz w:val="28"/>
          <w:szCs w:val="28"/>
        </w:rPr>
        <w:t xml:space="preserve">Test T1 —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Systems A and B pass the unity constraint — carried from Exhibit A. System C must be verified at data entry:</w:t>
      </w:r>
    </w:p>
    <w:p>
      <w:pPr>
        <w:spacing w:before="100" w:after="100" w:line="276"/>
        <w:jc w:val="center"/>
      </w:pPr>
      <w:r>
        <w:rPr>
          <w:rFonts w:ascii="Courier New" w:cs="Courier New" w:eastAsia="Courier New" w:hAnsi="Courier New"/>
          <w:b w:val="false"/>
          <w:bCs w:val="false"/>
          <w:i w:val="false"/>
          <w:iCs w:val="false"/>
          <w:color w:val="000000"/>
          <w:sz w:val="24"/>
          <w:szCs w:val="24"/>
        </w:rPr>
        <w:t xml:space="preserve">Σρ (System C) = [ insert sum ] = 1.0000  ✓</w:t>
      </w:r>
    </w:p>
    <w:p>
      <w:pPr>
        <w:spacing w:before="0" w:after="160" w:line="276"/>
        <w:jc w:val="both"/>
      </w:pPr>
      <w:r>
        <w:rPr>
          <w:rFonts w:ascii="Georgia" w:cs="Georgia" w:eastAsia="Georgia" w:hAnsi="Georgia"/>
          <w:b w:val="false"/>
          <w:bCs w:val="false"/>
          <w:i w:val="false"/>
          <w:iCs w:val="false"/>
          <w:color w:val="000000"/>
          <w:sz w:val="24"/>
          <w:szCs w:val="24"/>
        </w:rPr>
        <w:t xml:space="preserve">This is Test T1 applied without modification across all three domains. The constraint is dimensionless — grams, hectares, and retrieval volume all reduce to the same ratio constraint.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T4 — Concentration (PROOF Line)</w:t>
      </w:r>
    </w:p>
    <w:p>
      <w:pPr>
        <w:spacing w:before="0" w:after="160" w:line="276"/>
        <w:jc w:val="both"/>
      </w:pPr>
      <w:r>
        <w:rPr>
          <w:rFonts w:ascii="Georgia" w:cs="Georgia" w:eastAsia="Georgia" w:hAnsi="Georgia"/>
          <w:b w:val="false"/>
          <w:bCs w:val="false"/>
          <w:i w:val="false"/>
          <w:iCs w:val="false"/>
          <w:color w:val="000000"/>
          <w:sz w:val="24"/>
          <w:szCs w:val="24"/>
        </w:rPr>
        <w:t xml:space="preserve">Carried from Exhibit A for Systems A and B. System C: insert PROOF line at data entry.</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1480"/>
        <w:gridCol w:w="328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PROOF line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Elements at PROOF line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Combined share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Interpretation</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 — Sourdough</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Water</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Extreme concentration by design — intentional recipe structure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 — Croatia Ramsar</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 Kopački</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Concentration by area — declared or undeclared priority?</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 — Retrieval Pipeline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 intentional or silent? ]</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T5 — Reciprocal Sensitivity (Leverage)</w:t>
      </w:r>
    </w:p>
    <w:p>
      <w:pPr>
        <w:spacing w:before="0" w:after="160" w:line="276"/>
        <w:jc w:val="both"/>
      </w:pPr>
      <w:r>
        <w:rPr>
          <w:rFonts w:ascii="Georgia" w:cs="Georgia" w:eastAsia="Georgia" w:hAnsi="Georgia"/>
          <w:b w:val="false"/>
          <w:bCs w:val="false"/>
          <w:i w:val="false"/>
          <w:iCs w:val="false"/>
          <w:color w:val="000000"/>
          <w:sz w:val="24"/>
          <w:szCs w:val="24"/>
        </w:rPr>
        <w:t xml:space="preserve">The leverage table is where System C's highest-Q element becomes visible.</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40"/>
        <w:gridCol w:w="2440"/>
        <w:gridCol w:w="244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Element</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(share / leverage)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(share / leverage)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(share / leverage)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0.615 / 1.63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0.543 / 1.84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Secondary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Water: 0.369 / 2.71</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Kopački: 0.257 / 3.89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Tertiary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Starter: 0.014 / 71.4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Neretva: 0.129 / 7.75</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Quaternary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Salt: 0.002 / 500</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Vransko: 0.064 / 15.6</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 Highest-Q</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0.0012 / 833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0.0067 / 149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legacy namespace — insert ]</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key finding pattern from Exhibit A: the smallest-share element carries the highest governance leverage. The expectation for System C: the legacy or archival namespace — lowest routine query share — will have the highest leverage value. If confirmed, this is the same structural signature as yeast (leverage 833) and Crna Mlaka (leverage 149) appearing in a third, completely unrelated domain.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T8 — Ground State Assessment (Mean Drift Gap)</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OPERATOR: declared weights for System C required. If no formal declared weights exist, this is the first cycle — declare them now before running T8. The declaration is the governance act that makes T8 possible.</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Metric</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 Sourdough</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 Croatia Ramsar</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 Retrieval Pipeline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 Status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Interpretation</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Recipe followed closely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Portfolio drifting from declared priorities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3: The Structural Signature</w:t>
      </w:r>
    </w:p>
    <w:p>
      <w:pPr>
        <w:pStyle w:val="Heading2"/>
        <w:spacing w:before="300" w:after="120"/>
      </w:pPr>
      <w:r>
        <w:rPr>
          <w:rFonts w:ascii="Arial" w:cs="Arial" w:eastAsia="Arial" w:hAnsi="Arial"/>
          <w:b/>
          <w:bCs/>
          <w:i w:val="false"/>
          <w:iCs w:val="false"/>
          <w:color w:val="333333"/>
          <w:sz w:val="28"/>
          <w:szCs w:val="28"/>
        </w:rPr>
        <w:t xml:space="preserve">What Three Domains Produce</w:t>
      </w:r>
    </w:p>
    <w:p>
      <w:pPr>
        <w:spacing w:before="0" w:after="160" w:line="276"/>
        <w:jc w:val="both"/>
      </w:pPr>
      <w:r>
        <w:rPr>
          <w:rFonts w:ascii="Georgia" w:cs="Georgia" w:eastAsia="Georgia" w:hAnsi="Georgia"/>
          <w:b w:val="false"/>
          <w:bCs w:val="false"/>
          <w:i w:val="false"/>
          <w:iCs w:val="false"/>
          <w:color w:val="000000"/>
          <w:sz w:val="24"/>
          <w:szCs w:val="24"/>
        </w:rPr>
        <w:t xml:space="preserve">The structural signature established in Exhibit A — top-heavy concentration (PROOF line = 2), tail-element leverage extremes, mean drift gap as governance signal — is expected to appear in System C for the same structural reason: any finite-budget system expressed as proportional shares is governed by the same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System C introduces structural challenges not present in the first two systems:</w:t>
      </w:r>
    </w:p>
    <w:p>
      <w:pPr>
        <w:spacing w:before="0" w:after="160" w:line="276"/>
        <w:jc w:val="both"/>
      </w:pPr>
      <w:r>
        <w:rPr>
          <w:rFonts w:ascii="Georgia" w:cs="Georgia" w:eastAsia="Georgia" w:hAnsi="Georgia"/>
          <w:b w:val="false"/>
          <w:bCs w:val="false"/>
          <w:i w:val="false"/>
          <w:iCs w:val="false"/>
          <w:color w:val="000000"/>
          <w:sz w:val="24"/>
          <w:szCs w:val="24"/>
        </w:rPr>
        <w:t xml:space="preserve">Query volume is not declared in the same sense as a recipe or a management priority statement. The 'declared weights' are the operator's namespace allocation policy — which namespaces should receive what share of embedding refresh budget, query routing priority, or monitoring attention. In many production systems, this policy is implicit, not explicit. If System C has no formal declared weights, the first HUF Declaration cycle is the moment of making the implicit policy explicit.</w:t>
      </w:r>
    </w:p>
    <w:p>
      <w:pPr>
        <w:spacing w:before="0" w:after="160" w:line="276"/>
        <w:jc w:val="both"/>
      </w:pPr>
      <w:r>
        <w:rPr>
          <w:rFonts w:ascii="Georgia" w:cs="Georgia" w:eastAsia="Georgia" w:hAnsi="Georgia"/>
          <w:b w:val="false"/>
          <w:bCs w:val="false"/>
          <w:i w:val="false"/>
          <w:iCs w:val="false"/>
          <w:color w:val="000000"/>
          <w:sz w:val="24"/>
          <w:szCs w:val="24"/>
        </w:rPr>
        <w:t xml:space="preserve">Characteristic cycle mismatch is more extreme in System C than in any prior case. The general namespace may have a cycle of days; the legacy namespace may have a cycle of months. If the observation window is 30 days, the legacy namespace's contribution may not be visible at all during a quiescent phase. This is the snapshot error (FM-3) operating in a software domain — structurally identical to the yeast fermentation window and the endemic species ecological cycle, expressed in milliseconds and days instead of hours and years.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Three-Domain Comparison Table</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Complete after System C data entry. This table is the Exhibit B confirmation artifact.</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Diagnostic metric</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 Sourdough</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 Croatia Ramsar</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 Retrieval Pipeline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Unity constant (Σρ)</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PROOF line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share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share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0.12% (yeast)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0.67% (Crna Mlaka)</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 (legacy namespace)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leverage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Highest-Q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Highest-Q leverage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Food system (mass)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Conservation portfolio (area)</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Software retrieval (query volume)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Budget unit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Grams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Hectares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unit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Characteristic cycle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Hours (fermentation)</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Years (ecological)</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4: Formal HUF Declaration — System C</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Complete at data entry. Format mirrors Exhibit A Declarations.</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HUF DECLARATION — SYSTEM C — SOFTWARE RETRIEVAL PIPELINE</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Budget ceiling        : [ total query volume over observation window, indexed to 1.0 ]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Elements              : [ n namespaces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Observation window    : [ T_obs — recommend 30 days for initial baseline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Ratio state           : [ ρ₁ / ρ₂ / ... / ρₙ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Declared weights      : [ operator's namespace priority allocation, normalised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Drift                 : Mean gap [ ]pp — ground state status [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Trace status          : [ declared / undeclared / partial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Concentration         : PROOF line = [ ] ( [ top namespaces ] = [ ]%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Fragmentation         : [ any namespace flagged for orphan risk?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Ground state          : [ classification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Highest-Q element     : [ namespace ] — leverage [ ] — characteristic period: [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Cycles on record      : 1 (this observation window) — cross-cycle comparison pending</w:t>
      </w:r>
    </w:p>
    <w:p>
      <w:pPr>
        <w:spacing w:before="0" w:after="80" w:line="276"/>
        <w:ind w:left="360"/>
        <w:jc w:val="both"/>
      </w:pPr>
      <w:r>
        <w:rPr>
          <w:rFonts w:ascii="Courier New" w:cs="Courier New" w:eastAsia="Courier New" w:hAnsi="Courier New"/>
          <w:b w:val="false"/>
          <w:bCs w:val="false"/>
          <w:i w:val="false"/>
          <w:iCs w:val="false"/>
          <w:color w:val="000000"/>
          <w:sz w:val="24"/>
          <w:szCs w:val="24"/>
        </w:rPr>
        <w:t xml:space="preserve">Provenance            : [ data source, export filename, retrieval date ]</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5: Conclusion and Research Status</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Complete after data entry and diagnostics. Template below.</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6633" w:sz="6" w:space="8"/>
        </w:pBdr>
        <w:spacing w:before="80" w:after="80" w:line="276"/>
        <w:ind w:left="360"/>
        <w:jc w:val="both"/>
      </w:pPr>
      <w:r>
        <w:rPr>
          <w:rFonts w:ascii="Arial" w:cs="Arial" w:eastAsia="Arial" w:hAnsi="Arial"/>
          <w:b/>
          <w:bCs/>
          <w:i w:val="false"/>
          <w:iCs w:val="false"/>
          <w:color w:val="006633"/>
          <w:sz w:val="24"/>
          <w:szCs w:val="24"/>
        </w:rPr>
        <w:t xml:space="preserve">CONFIRMATION SENTENCE (insert when complete):  </w:t>
      </w:r>
      <w:r>
        <w:rPr>
          <w:rFonts w:ascii="Georgia" w:cs="Georgia" w:eastAsia="Georgia" w:hAnsi="Georgia"/>
          <w:b w:val="false"/>
          <w:bCs w:val="false"/>
          <w:i/>
          <w:iCs/>
          <w:color w:val="006633"/>
          <w:sz w:val="24"/>
          <w:szCs w:val="24"/>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 The unity constraint is domain-invariant.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Proposition</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Status after Exhibit B</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Basis</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7.1 — Structural Invariance (interpretive)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Strong three-domain empirical support — pending System C data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Exhibit A (two-domain) + Exhibit B (three-domain) — same instrument, no domain overlap</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Required for formal proof</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Formal mathematical proof</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Theorem 3.1 in Vol 2 Mathematics Compendium — proved. Empirical support from Exhibits A and B supplements the formal proof.</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Next research step: Case Study D.3 — supply chain or civic budget domain — extends the confirmation to four domains. However, three-domain confirmation is the minimum required for the JAES submission empirical support section. Exhibit B completes that requirement.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200" w:after="40" w:line="276"/>
        <w:jc w:val="center"/>
      </w:pPr>
      <w:r>
        <w:rPr>
          <w:rFonts w:ascii="Georgia" w:cs="Georgia" w:eastAsia="Georgia" w:hAnsi="Georgia"/>
          <w:b w:val="false"/>
          <w:bCs w:val="false"/>
          <w:i/>
          <w:iCs/>
          <w:color w:val="666666"/>
          <w:sz w:val="20"/>
          <w:szCs w:val="20"/>
        </w:rPr>
        <w:t xml:space="preserve">Entry added to Research Appendix D · Handbook v1.2.0 · Ref: Exhibit B</w:t>
      </w:r>
    </w:p>
    <w:p>
      <w:pPr>
        <w:spacing w:before="0" w:after="40" w:line="276"/>
        <w:jc w:val="center"/>
      </w:pPr>
      <w:r>
        <w:rPr>
          <w:rFonts w:ascii="Georgia" w:cs="Georgia" w:eastAsia="Georgia" w:hAnsi="Georgia"/>
          <w:b w:val="false"/>
          <w:bCs w:val="false"/>
          <w:i/>
          <w:iCs/>
          <w:color w:val="888888"/>
          <w:sz w:val="20"/>
          <w:szCs w:val="20"/>
        </w:rPr>
        <w:t xml:space="preserve">System C designated by operator, February 2026 · Framework built by Claude (HUF collective)</w:t>
      </w:r>
    </w:p>
    <w:p>
      <w:pPr>
        <w:spacing w:before="0" w:after="160" w:line="276"/>
        <w:jc w:val="center"/>
      </w:pPr>
      <w:r>
        <w:rPr>
          <w:rFonts w:ascii="Georgia" w:cs="Georgia" w:eastAsia="Georgia" w:hAnsi="Georgia"/>
          <w:b w:val="false"/>
          <w:bCs w:val="false"/>
          <w:i w:val="false"/>
          <w:iCs w:val="false"/>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Case Study D.2 — Software Retrieval Pipeline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HUF APPENDIX D · CASE STUDY D.2 · EXHIBIT B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2026-02-27T04:01:19.584Z</dcterms:created>
  <dcterms:modified xsi:type="dcterms:W3CDTF">2026-02-27T04:01:19.585Z</dcterms:modified>
</cp:coreProperties>
</file>

<file path=docProps/custom.xml><?xml version="1.0" encoding="utf-8"?>
<Properties xmlns="http://schemas.openxmlformats.org/officeDocument/2006/custom-properties" xmlns:vt="http://schemas.openxmlformats.org/officeDocument/2006/docPropsVTypes"/>
</file>