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60" w:line="276"/>
        <w:jc w:val="center"/>
      </w:pPr>
      <w:r>
        <w:rPr>
          <w:rFonts w:ascii="Arial" w:cs="Arial" w:eastAsia="Arial" w:hAnsi="Arial"/>
          <w:b w:val="false"/>
          <w:bCs w:val="false"/>
          <w:i w:val="false"/>
          <w:iCs w:val="false"/>
          <w:color w:val="555555"/>
          <w:sz w:val="24"/>
          <w:szCs w:val="24"/>
        </w:rPr>
        <w:t xml:space="preserve">APPENDIX D — Research Case Studies</w:t>
      </w:r>
    </w:p>
    <w:p>
      <w:pPr>
        <w:spacing w:before="0" w:after="40" w:line="276"/>
        <w:jc w:val="center"/>
      </w:pPr>
      <w:r>
        <w:rPr>
          <w:rFonts w:ascii="Arial" w:cs="Arial" w:eastAsia="Arial" w:hAnsi="Arial"/>
          <w:b/>
          <w:bCs/>
          <w:i w:val="false"/>
          <w:iCs w:val="false"/>
          <w:color w:val="111111"/>
          <w:sz w:val="36"/>
          <w:szCs w:val="36"/>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80" w:line="276"/>
        <w:jc w:val="center"/>
      </w:pPr>
      <w:r>
        <w:rPr>
          <w:rFonts w:ascii="Georgia" w:cs="Georgia" w:eastAsia="Georgia" w:hAnsi="Georgia"/>
          <w:b w:val="false"/>
          <w:bCs w:val="false"/>
          <w:i/>
          <w:iCs/>
          <w:color w:val="333333"/>
          <w:sz w:val="28"/>
          <w:szCs w:val="28"/>
        </w:rPr>
        <w:t xml:space="preserve">Sourdough Loaf  ·  Croatia Ramsar Portfolio  ·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4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AAAAAA"/>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structural analogies, not domain-equivalence claims. Three domains are compared because all three are governed by the unity constraint, not because the domains are equivalent.</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Case Study D.1 (Exhibit A) demonstrated that the HUF Diagnostic Engine, given only the unity constraint and the vocabulary, applied Tests T1, T4, T5, and T8 to two systems — an artisanal sourdough loaf and the Croatia Ramsar site portfolio — and produced coherent, comparable, formally structured results.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A third domain is required that differs from both prior systems in every material way: abstract budget ceiling rather than physical, short characteristic cycles rather than long, software governance rather than culinary or ecological governance.</w:t>
      </w:r>
    </w:p>
    <w:p>
      <w:pPr>
        <w:spacing w:before="0" w:after="160" w:line="276"/>
        <w:jc w:val="both"/>
      </w:pPr>
      <w:r>
        <w:rPr>
          <w:rFonts w:ascii="Georgia" w:cs="Georgia" w:eastAsia="Georgia" w:hAnsi="Georgia"/>
          <w:b w:val="false"/>
          <w:bCs w:val="false"/>
          <w:i w:val="false"/>
          <w:iCs w:val="false"/>
          <w:color w:val="000000"/>
          <w:sz w:val="24"/>
          <w:szCs w:val="24"/>
        </w:rPr>
        <w:t xml:space="preserve">System C is a four-namespace software retrieval pipeline. Its budget ceiling is total query volume. Its elements are content namespaces: General documentation, Technical specifications, Domain specialist (HUF research), and Archive / legacy materials. Its operator is the person who manages namespace priorities and retrieval investment — and who declared, for the first time in this exercise, what their intended allocation should be.</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comparable results across all three domains, Proposition 7.1 has three-domain empirical support with no structural overlap between systems.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1,000g total ingredient mass. Five elements. Highest-Q element: Yeast, leverage 833. Mean drift gap: 1.4pp. Ground state: NEAR GROUND STATE.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93,000 ha total designated area. Five sites. Highest-Q element: Crna Mlaka, leverage 149. Mean drift gap: 4.8pp. Ground state: EMERGENT DRIFT.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four-namespace retrieval system. Budget ceiling: total query volume over the observation window, indexed to 1.0. Each namespace holds a proportional share of total retrieval activity. The operator declared intended priority weights before seeing the observed distribution — making this the first formal declaration cycle for this system.</w:t>
      </w:r>
    </w:p>
    <w:p>
      <w:pPr>
        <w:spacing w:before="0" w:after="160" w:line="276"/>
        <w:jc w:val="both"/>
      </w:pPr>
      <w:r>
        <w:rPr>
          <w:rFonts w:ascii="Georgia" w:cs="Georgia" w:eastAsia="Georgia" w:hAnsi="Georgia"/>
          <w:b w:val="false"/>
          <w:bCs w:val="false"/>
          <w:i w:val="false"/>
          <w:iCs w:val="false"/>
          <w:color w:val="000000"/>
          <w:sz w:val="24"/>
          <w:szCs w:val="24"/>
        </w:rPr>
        <w:t xml:space="preserve">Provenance: operator-estimated query-volume distribution, 30-day observation window, February 2026. Declared weights provided by the operator directly. This is the first HUF Declaration for this system.</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320"/>
        <w:gridCol w:w="1920"/>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Declared weight</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Observed share</w:t>
            </w:r>
          </w:p>
        </w:tc>
        <w:tc>
          <w:tcPr>
            <w:tcW w:type="dxa" w:w="13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Drift gap</w:t>
            </w:r>
          </w:p>
        </w:tc>
        <w:tc>
          <w:tcPr>
            <w:tcW w:type="dxa" w:w="19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Direction</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concentrating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on target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13.0pp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Both declared weights and observed shares sum to 1.0000. The budget ceiling is fully accounted for in both. No undeclared allocation exists.</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Σρ_declared  = 0.30 + 0.30 + 0.20 + 0.20  = 1.0000  ✓</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Σρ_observed  = 0.50 + 0.30 + 0.13 + 0.07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the first confirmation: the unity constraint applies to a software retrieval pipeline without modification, without domain knowledge, and without requiring the observer to understand the difference between query volume and hectares or grams.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Ranked by observed share: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General documentation  ███████████████████░░░░░░░░░░░░░░░░░░░ 50.0%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Technical specs        ███████████░░░░░░░░░░░░░░░░░░░░░░░░░░░ 30.0%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Domain specialist(HUF) █████░░░░░░░░░░░░░░░░░░░░░░░░░░░░░░░░░ 13.0%</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Archive / legacy       ███░░░░░░░░░░░░░░░░░░░░░░░░░░░░░░░░░░░  7.0%</w:t>
      </w:r>
    </w:p>
    <w:p>
      <w:pPr>
        <w:spacing w:before="0" w:after="160" w:line="276"/>
        <w:jc w:val="both"/>
      </w:pPr>
      <w:r>
        <w:rPr>
          <w:rFonts w:ascii="Georgia" w:cs="Georgia" w:eastAsia="Georgia" w:hAnsi="Georgia"/>
          <w:b w:val="false"/>
          <w:bCs w:val="false"/>
          <w:i w:val="false"/>
          <w:iCs w:val="false"/>
          <w:color w:val="000000"/>
          <w:sz w:val="24"/>
          <w:szCs w:val="24"/>
        </w:rPr>
        <w:t xml:space="preserve">PROOF line = 2. General documentation and Technical specifications together account for 80.0% of total retrieval volume.</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PROOF line = 2 in all three systems. System A: top-2 = 98.4%. System B: top-2 = 80.0%. System C: top-2 = 80.0%. The concentration signature is structurally identical across three unrelated domains.</w:t>
      </w:r>
    </w:p>
    <w:p>
      <w:pPr>
        <w:spacing w:before="0" w:after="160" w:line="276"/>
        <w:jc w:val="both"/>
      </w:pPr>
      <w:r>
        <w:rPr>
          <w:rFonts w:ascii="Georgia" w:cs="Georgia" w:eastAsia="Georgia" w:hAnsi="Georgia"/>
          <w:b w:val="false"/>
          <w:bCs w:val="false"/>
          <w:i w:val="false"/>
          <w:iCs w:val="false"/>
          <w:color w:val="000000"/>
          <w:sz w:val="24"/>
          <w:szCs w:val="24"/>
        </w:rPr>
        <w:t xml:space="preserve">The question this raises for System C: is the 80% top-2 concentration declared or undeclared? Technical specifications is exactly at its declared weight (0pp gap) — its share is intentional. General documentation has a 20pp gap — its dominance was not declared. The top-2 concentration is partly intended and partly the product of silent drift toward the most accessible namespace.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shows governance sensitivity — how much impact the removal or defunding of each namespace would have relative to its current share.</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40"/>
        <w:gridCol w:w="800"/>
        <w:gridCol w:w="3120"/>
      </w:tblGrid>
      <w:tr>
        <w:trPr>
          <w:tblHeader/>
        </w:trPr>
        <w:tc>
          <w:tcPr>
            <w:tcW w:type="dxa" w:w="24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Share (ρ)</w:t>
            </w:r>
          </w:p>
        </w:tc>
        <w:tc>
          <w:tcPr>
            <w:tcW w:type="dxa" w:w="144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Leverage (1/ρ)</w:t>
            </w:r>
          </w:p>
        </w:tc>
        <w:tc>
          <w:tcPr>
            <w:tcW w:type="dxa" w:w="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Flag</w:t>
            </w:r>
          </w:p>
        </w:tc>
        <w:tc>
          <w:tcPr>
            <w:tcW w:type="dxa" w:w="31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Governance implication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 visibility, high resilience — tolerates reduction without governance risk</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3.33</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At declared weight — stable, no action required</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7.69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Below declared weight — monitor; 35pp below intended allocation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 — at 35% of declared weight; see T8</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archive namespace has a leverage of 14.29 — the system is 14.3 times more sensitive to changes in the archive allocation than to changes in general documentation. At 7% observed share against a declared weight of 20%, the archive is receiving 35% of its intended resourcing. This is the System C expression of the high-leverage tail element pattern seen in yeast (leverage 833) and Crna Mlaka (leverage 149).</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The smallest-share element carries the highest governance leverage in all three systems. The structure is identical across domains: leverage is inversely proportional to share, and the tail element is the one most vulnerable to governance decisions made from share data alone.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Metric</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186"/>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Worst single-element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0.08pp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7.3pp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docs: 20.0pp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monitor</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 ⚠ ORPHAN RISK</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ACTIVE DRIFT: mean drift gap 10.0pp exceeds the 5pp intervention threshold. The portfolio is not at ground state. Archive / legacy is at 35% of declared weight — below the 50% orphan alert threshold. Classification: ORPHAN RISK. Action window: open. Operator response required before next cycle.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Element-level drift breakdown:</w:t>
      </w:r>
    </w:p>
    <w:p>
      <w:pPr>
        <w:spacing w:before="0" w:after="80" w:line="276"/>
        <w:ind w:left="360"/>
        <w:jc w:val="both"/>
      </w:pPr>
      <w:r>
        <w:rPr>
          <w:rFonts w:ascii="Georgia" w:cs="Georgia" w:eastAsia="Georgia" w:hAnsi="Georgia"/>
          <w:b/>
          <w:bCs/>
          <w:i w:val="false"/>
          <w:iCs w:val="false"/>
          <w:color w:val="000000"/>
          <w:sz w:val="24"/>
          <w:szCs w:val="24"/>
        </w:rPr>
        <w:t xml:space="preserve">General documentation:  </w:t>
      </w:r>
      <w:r>
        <w:rPr>
          <w:rFonts w:ascii="Georgia" w:cs="Georgia" w:eastAsia="Georgia" w:hAnsi="Georgia"/>
          <w:b w:val="false"/>
          <w:bCs w:val="false"/>
          <w:i w:val="false"/>
          <w:iCs w:val="false"/>
          <w:color w:val="000000"/>
          <w:sz w:val="24"/>
          <w:szCs w:val="24"/>
        </w:rPr>
        <w:t xml:space="preserve">declared 30.0%, observed 50.0% — gap 20.0pp. The most-used namespace is consuming 20pp more than its declared allocation. This is administrative gravity operating without a governance decision. Silent drift toward the dominant element.</w:t>
      </w:r>
    </w:p>
    <w:p>
      <w:pPr>
        <w:spacing w:before="0" w:after="80" w:line="276"/>
        <w:ind w:left="360"/>
        <w:jc w:val="both"/>
      </w:pPr>
      <w:r>
        <w:rPr>
          <w:rFonts w:ascii="Georgia" w:cs="Georgia" w:eastAsia="Georgia" w:hAnsi="Georgia"/>
          <w:b/>
          <w:bCs/>
          <w:i w:val="false"/>
          <w:iCs w:val="false"/>
          <w:color w:val="000000"/>
          <w:sz w:val="24"/>
          <w:szCs w:val="24"/>
        </w:rPr>
        <w:t xml:space="preserve">Technical specifications:  </w:t>
      </w:r>
      <w:r>
        <w:rPr>
          <w:rFonts w:ascii="Georgia" w:cs="Georgia" w:eastAsia="Georgia" w:hAnsi="Georgia"/>
          <w:b w:val="false"/>
          <w:bCs w:val="false"/>
          <w:i w:val="false"/>
          <w:iCs w:val="false"/>
          <w:color w:val="000000"/>
          <w:sz w:val="24"/>
          <w:szCs w:val="24"/>
        </w:rPr>
        <w:t xml:space="preserve">declared 30.0%, observed 30.0% — gap 0.0pp. Exactly at declared weight. This namespace is the system's ground state reference — it is performing as intended.</w:t>
      </w:r>
    </w:p>
    <w:p>
      <w:pPr>
        <w:spacing w:before="0" w:after="80" w:line="276"/>
        <w:ind w:left="360"/>
        <w:jc w:val="both"/>
      </w:pPr>
      <w:r>
        <w:rPr>
          <w:rFonts w:ascii="Georgia" w:cs="Georgia" w:eastAsia="Georgia" w:hAnsi="Georgia"/>
          <w:b/>
          <w:bCs/>
          <w:i w:val="false"/>
          <w:iCs w:val="false"/>
          <w:color w:val="000000"/>
          <w:sz w:val="24"/>
          <w:szCs w:val="24"/>
        </w:rPr>
        <w:t xml:space="preserve">Domain specialist (HUF):  </w:t>
      </w:r>
      <w:r>
        <w:rPr>
          <w:rFonts w:ascii="Georgia" w:cs="Georgia" w:eastAsia="Georgia" w:hAnsi="Georgia"/>
          <w:b w:val="false"/>
          <w:bCs w:val="false"/>
          <w:i w:val="false"/>
          <w:iCs w:val="false"/>
          <w:color w:val="000000"/>
          <w:sz w:val="24"/>
          <w:szCs w:val="24"/>
        </w:rPr>
        <w:t xml:space="preserve">declared 20.0%, observed 13.0% — gap 7.0pp. At 65% of declared weight. The specialist namespace is being underserved relative to declared intent. This is the pattern seen in Crna Mlaka (Croatian wetland portfolio) — high specific value, low observed share, narrow characteristic window.</w:t>
      </w:r>
    </w:p>
    <w:p>
      <w:pPr>
        <w:spacing w:before="0" w:after="80" w:line="276"/>
        <w:ind w:left="360"/>
        <w:jc w:val="both"/>
      </w:pPr>
      <w:r>
        <w:rPr>
          <w:rFonts w:ascii="Georgia" w:cs="Georgia" w:eastAsia="Georgia" w:hAnsi="Georgia"/>
          <w:b/>
          <w:bCs/>
          <w:i w:val="false"/>
          <w:iCs w:val="false"/>
          <w:color w:val="000000"/>
          <w:sz w:val="24"/>
          <w:szCs w:val="24"/>
        </w:rPr>
        <w:t xml:space="preserve">Archive / legacy:  </w:t>
      </w:r>
      <w:r>
        <w:rPr>
          <w:rFonts w:ascii="Georgia" w:cs="Georgia" w:eastAsia="Georgia" w:hAnsi="Georgia"/>
          <w:b w:val="false"/>
          <w:bCs w:val="false"/>
          <w:i w:val="false"/>
          <w:iCs w:val="false"/>
          <w:color w:val="000000"/>
          <w:sz w:val="24"/>
          <w:szCs w:val="24"/>
        </w:rPr>
        <w:t xml:space="preserve">declared 20.0%, observed 7.0% — gap 13.0pp. At 35% of declared weight. Orphan risk. The archive namespace is the highest-Q element in the system — it holds content whose value is not expressed in routine query frequency but spikes when needed for research, compliance, or deep-reference work. Its low observed share does not mean low importance; it means its contribution window is narrow. Defunding it based on the 7% observed share would be the snapshot error operating in a software domain.</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that defines the HUF diagnostic pattern — top-heavy concentration at the PROOF line, tail-element leverage extremes, silent drift away from specialist and archival content — appears in all three domains.</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Diagnostic metric</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254"/>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combined share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elements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 Technical</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(0.12%)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(0.67%)</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(7.0%)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Q character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narrow fermentation window</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endemic species cycle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Medium-Q: research / compliance spikes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failure mode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 — 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FM-3 snapshot risk (Crna Mlaka)</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FM-1 silent reweighting (General docs)
FM-6 orphan risk (Archive)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Query volume (normalised)</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Days–weeks (query patterns)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governance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three domains share no material properties. The sourdough loaf is measured in grams over hours. The Croatian wetland portfolio is measured in hectares over years. The retrieval pipeline is measured in query volume over days to weeks. They have different governance structures, different operators, different institutional contexts, and different failure consequences.</w:t>
      </w:r>
    </w:p>
    <w:p>
      <w:pPr>
        <w:spacing w:before="0" w:after="160" w:line="276"/>
        <w:jc w:val="both"/>
      </w:pPr>
      <w:r>
        <w:rPr>
          <w:rFonts w:ascii="Georgia" w:cs="Georgia" w:eastAsia="Georgia" w:hAnsi="Georgia"/>
          <w:b w:val="false"/>
          <w:bCs w:val="false"/>
          <w:i w:val="false"/>
          <w:iCs w:val="false"/>
          <w:color w:val="000000"/>
          <w:sz w:val="24"/>
          <w:szCs w:val="24"/>
        </w:rPr>
        <w:t xml:space="preserve">They share one thing: they are each finite-budget systems in which elements hold proportional shares that sum to 1.0. That is sufficient for the unity constraint to apply. When it applies, it produces the same structural signature — top-heavy concentration, high-leverage tail elements, detectable silent drift — without modification, without domain knowledge, and without a new instrument.</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CONFIRMATION OF PROPOSITION 7.1: The HUF Diagnostic Engine applied Tests T1, T4, T5, and T8 to three systems with no domain overlap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New Finding: Active Drift in System C</w:t>
      </w:r>
    </w:p>
    <w:p>
      <w:pPr>
        <w:spacing w:before="0" w:after="160" w:line="276"/>
        <w:jc w:val="both"/>
      </w:pPr>
      <w:r>
        <w:rPr>
          <w:rFonts w:ascii="Georgia" w:cs="Georgia" w:eastAsia="Georgia" w:hAnsi="Georgia"/>
          <w:b w:val="false"/>
          <w:bCs w:val="false"/>
          <w:i w:val="false"/>
          <w:iCs w:val="false"/>
          <w:color w:val="000000"/>
          <w:sz w:val="24"/>
          <w:szCs w:val="24"/>
        </w:rPr>
        <w:t xml:space="preserve">System C produces the highest mean drift gap of the three systems at 10.0pp — nearly double System B and seven times System A. This is not a failure of the instrument. It is the instrument working.</w:t>
      </w:r>
    </w:p>
    <w:p>
      <w:pPr>
        <w:spacing w:before="0" w:after="160" w:line="276"/>
        <w:jc w:val="both"/>
      </w:pPr>
      <w:r>
        <w:rPr>
          <w:rFonts w:ascii="Georgia" w:cs="Georgia" w:eastAsia="Georgia" w:hAnsi="Georgia"/>
          <w:b w:val="false"/>
          <w:bCs w:val="false"/>
          <w:i w:val="false"/>
          <w:iCs w:val="false"/>
          <w:color w:val="000000"/>
          <w:sz w:val="24"/>
          <w:szCs w:val="24"/>
        </w:rPr>
        <w:t xml:space="preserve">The finding is structurally important for the research record: the first time this operator formally declared their intended namespace allocation, the diagnostic immediately revealed a 20pp silent drift toward the dominant namespace, a 13pp silent drift away from the archive, and an orphan risk flag on the highest-leverage element. None of this was visible before the declaration was made, because there was no declared reference to compare against.</w:t>
      </w:r>
    </w:p>
    <w:p>
      <w:pPr>
        <w:spacing w:before="0" w:after="160" w:line="276"/>
        <w:jc w:val="both"/>
      </w:pPr>
      <w:r>
        <w:rPr>
          <w:rFonts w:ascii="Georgia" w:cs="Georgia" w:eastAsia="Georgia" w:hAnsi="Georgia"/>
          <w:b w:val="false"/>
          <w:bCs w:val="false"/>
          <w:i w:val="false"/>
          <w:iCs w:val="false"/>
          <w:color w:val="000000"/>
          <w:sz w:val="24"/>
          <w:szCs w:val="24"/>
        </w:rPr>
        <w:t xml:space="preserve">This is the governance value of the fourth monitoring category — Ratio State Monitoring — expressed in a software domain. The system was not being mismanaged. It was being managed without a declared reference. The moment the reference exists, the drift becomes visible and actionable.</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80" w:after="60" w:line="276"/>
        <w:ind w:left="360"/>
        <w:jc w:val="both"/>
      </w:pPr>
      <w:r>
        <w:rPr>
          <w:rFonts w:ascii="Courier New" w:cs="Courier New" w:eastAsia="Courier New" w:hAnsi="Courier New"/>
          <w:b/>
          <w:bCs/>
          <w:i w:val="false"/>
          <w:iCs w:val="false"/>
          <w:color w:val="000000"/>
          <w:sz w:val="24"/>
          <w:szCs w:val="24"/>
        </w:rPr>
        <w:t xml:space="preserve">HUF DECLARATION — SYSTEM C — SOFTWARE RETRIEVAL PIPELINE — February 2026</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Budget ceiling        : Total query volume, 30-day observation window (indexed to 1.0)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Elements              : 4 namespaces</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Observation window    : 30 days (operator-estimated)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Ratio state           : 0.50 / 0.30 / 0.13 / 0.07</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Declared weights      : 0.30 / 0.30 / 0.20 / 0.20  (declared February 2026 — first declaration cycle)</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Drift                 : Mean gap 10.0pp — ACTIVE DRIFT — intervention required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Trace status          : FIRST CYCLE — no prior cycle for change log comparison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Concentration         : PROOF line = 2  (General + Technical = 80.0%)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Fragmentation         : Archive / legacy at 7.0% — 13.0pp below declared weight</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Ground state          : NOT AT GROUND STATE (MDG 10.0pp)</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Highest-Q element     : Archive / legacy — leverage 14.29 — characteristic period: event-driven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Orphan risk           : Archive / legacy at 35% of declared weight — ORPHAN RISK — monitor</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Cycles on record      : 1 — cross-cycle comparison available from cycle 2</w:t>
      </w:r>
    </w:p>
    <w:p>
      <w:pPr>
        <w:spacing w:before="0" w:after="80" w:line="276"/>
        <w:ind w:left="360"/>
        <w:jc w:val="both"/>
      </w:pPr>
      <w:r>
        <w:rPr>
          <w:rFonts w:ascii="Courier New" w:cs="Courier New" w:eastAsia="Courier New" w:hAnsi="Courier New"/>
          <w:b w:val="false"/>
          <w:bCs w:val="false"/>
          <w:i w:val="false"/>
          <w:iCs w:val="false"/>
          <w:color w:val="000000"/>
          <w:sz w:val="20"/>
          <w:szCs w:val="20"/>
        </w:rPr>
        <w:t xml:space="preserve">Provenance            : Operator-estimated, 30-day window, February 2026</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Style w:val="Heading2"/>
        <w:spacing w:before="300" w:after="120"/>
      </w:pPr>
      <w:r>
        <w:rPr>
          <w:rFonts w:ascii="Arial" w:cs="Arial" w:eastAsia="Arial" w:hAnsi="Arial"/>
          <w:b/>
          <w:bCs/>
          <w:i w:val="false"/>
          <w:iCs w:val="false"/>
          <w:color w:val="333333"/>
          <w:sz w:val="28"/>
          <w:szCs w:val="28"/>
        </w:rPr>
        <w:t xml:space="preserve">Finding</w:t>
      </w:r>
    </w:p>
    <w:p>
      <w:pPr>
        <w:spacing w:before="0" w:after="160" w:line="276"/>
        <w:jc w:val="both"/>
      </w:pPr>
      <w:r>
        <w:rPr>
          <w:rFonts w:ascii="Georgia" w:cs="Georgia" w:eastAsia="Georgia" w:hAnsi="Georgia"/>
          <w:b w:val="false"/>
          <w:bCs w:val="false"/>
          <w:i w:val="false"/>
          <w:iCs w:val="false"/>
          <w:color w:val="000000"/>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w:t>
      </w:r>
    </w:p>
    <w:p>
      <w:pPr>
        <w:spacing w:before="0" w:after="160" w:line="276"/>
        <w:jc w:val="both"/>
      </w:pPr>
      <w:r>
        <w:rPr>
          <w:rFonts w:ascii="Georgia" w:cs="Georgia" w:eastAsia="Georgia" w:hAnsi="Georgia"/>
          <w:b w:val="false"/>
          <w:bCs w:val="false"/>
          <w:i w:val="false"/>
          <w:iCs w:val="false"/>
          <w:color w:val="000000"/>
          <w:sz w:val="24"/>
          <w:szCs w:val="24"/>
        </w:rPr>
        <w:t xml:space="preserve">All three systems produced PROOF line = 2. All three exhibited tail-element leverage inversely proportional to share. All three produced a mean drift gap that classified the system's governance state — near ground state, emergent drift, and active drift respectively. All three produced a formal HUF Declaration from their own declared outputs without requiring domain knowledge from the instrument.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Status of Proposition 7.1</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Proposition</w:t>
            </w:r>
          </w:p>
        </w:tc>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Status</w:t>
            </w:r>
          </w:p>
        </w:tc>
        <w:tc>
          <w:tcPr>
            <w:tcW w:type="dxa" w:w="29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Basis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STRONG THREE-DOMAIN EMPIRICAL SUPPORT</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Exhibits A and B: three systems, no domain overlap, same instrument, coherent results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already proved formally</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See Vol 2 Mathematics Compendium — Exhibit B provides empirical support supplementing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Proposition 7.1 now has the minimum empirical support required for inclusion in the JAES submission. The three-domain confirmation path (Layer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Governance Action Required — System C</w:t>
      </w:r>
    </w:p>
    <w:p>
      <w:pPr>
        <w:spacing w:before="0" w:after="160" w:line="276"/>
        <w:jc w:val="both"/>
      </w:pPr>
      <w:r>
        <w:rPr>
          <w:rFonts w:ascii="Georgia" w:cs="Georgia" w:eastAsia="Georgia" w:hAnsi="Georgia"/>
          <w:b w:val="false"/>
          <w:bCs w:val="false"/>
          <w:i w:val="false"/>
          <w:iCs w:val="false"/>
          <w:color w:val="000000"/>
          <w:sz w:val="24"/>
          <w:szCs w:val="24"/>
        </w:rPr>
        <w:t xml:space="preserve">Exhibit B is a research document. It is also a live governance finding. The System C diagnosis reveals active drift and an orphan risk that require operator response before the next cycle:</w:t>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Archive / legacy at 35% of declared weight (7.0% observed vs 20.0% declared). Classify: is this a silent drift (no decision was made to reduce archive access) or an intentional reweighting (the declared weight of 0.20 was too high and should be revised downward)? Enter the classification in the trace report. If silent drift, correct toward declared weight. If intentional reweighting, update the declared weight and record the rationale.</w:t>
      </w:r>
    </w:p>
    <w:p>
      <w:pPr>
        <w:spacing w:before="0" w:after="160" w:line="276"/>
        <w:jc w:val="both"/>
      </w:pPr>
      <w:r>
        <w:rPr>
          <w:rFonts w:ascii="Georgia" w:cs="Georgia" w:eastAsia="Georgia" w:hAnsi="Georgia"/>
          <w:b w:val="false"/>
          <w:bCs w:val="false"/>
          <w:i w:val="false"/>
          <w:iCs w:val="false"/>
          <w:color w:val="000000"/>
          <w:sz w:val="24"/>
          <w:szCs w:val="24"/>
        </w:rPr>
        <w:t xml:space="preserve">General documentation at 167% of declared weight: query gravity is pulling retrieval toward the most accessible namespace without a governance decision. This is FM-1 (silent reweighting) operating in a software domain. The correction is not to reduce general documentation — it is to either raise its declared weight to match observed usage, or to actively route queries toward under-served namespaces.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Next Research Step</w:t>
      </w:r>
    </w:p>
    <w:p>
      <w:pPr>
        <w:spacing w:before="0" w:after="160" w:line="276"/>
        <w:jc w:val="both"/>
      </w:pPr>
      <w:r>
        <w:rPr>
          <w:rFonts w:ascii="Georgia" w:cs="Georgia" w:eastAsia="Georgia" w:hAnsi="Georgia"/>
          <w:b w:val="false"/>
          <w:bCs w:val="false"/>
          <w:i w:val="false"/>
          <w:iCs w:val="false"/>
          <w:color w:val="000000"/>
          <w:sz w:val="24"/>
          <w:szCs w:val="24"/>
        </w:rPr>
        <w:t xml:space="preserve">Case Study D.3 would extend the comparison to a fourth domain — supply chain procurement portfolio or municipal civic budget. However, three-domain confirmation with no structural overlap is sufficient for the JAES empirical support section. D.3 strengthens the claim further but is not required before submission.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With Exhibit B complete, the following are now unblocked:</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JAES paper formal sections can begin drafting (Sections 1–4 from Vol 2 Compendium, empirical section from Exhibits A and B)</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Three-domain confirmation claim can appear in the JAES abstract</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Data provided by operator, February 2026 · Diagnostics: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Exhibit B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2026-02-27T04:29:31.287Z</dcterms:created>
  <dcterms:modified xsi:type="dcterms:W3CDTF">2026-02-27T04:29:31.288Z</dcterms:modified>
</cp:coreProperties>
</file>

<file path=docProps/custom.xml><?xml version="1.0" encoding="utf-8"?>
<Properties xmlns="http://schemas.openxmlformats.org/officeDocument/2006/custom-properties" xmlns:vt="http://schemas.openxmlformats.org/officeDocument/2006/docPropsVTypes"/>
</file>