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80" w:line="276"/>
        <w:jc w:val="center"/>
      </w:pPr>
      <w:r>
        <w:rPr>
          <w:rFonts w:ascii="Arial" w:cs="Arial" w:eastAsia="Arial" w:hAnsi="Arial"/>
          <w:b/>
          <w:bCs/>
          <w:i w:val="false"/>
          <w:iCs w:val="false"/>
          <w:color w:val="000000"/>
          <w:sz w:val="36"/>
          <w:szCs w:val="36"/>
        </w:rPr>
        <w:t xml:space="preserve">HUF — Mathematical Foundations</w:t>
      </w:r>
    </w:p>
    <w:p>
      <w:pPr>
        <w:spacing w:before="0" w:after="40" w:line="276"/>
        <w:jc w:val="center"/>
      </w:pPr>
      <w:r>
        <w:rPr>
          <w:rFonts w:ascii="Georgia" w:cs="Georgia" w:eastAsia="Georgia" w:hAnsi="Georgia"/>
          <w:b w:val="false"/>
          <w:bCs w:val="false"/>
          <w:i/>
          <w:iCs/>
          <w:color w:val="000000"/>
          <w:sz w:val="28"/>
          <w:szCs w:val="28"/>
        </w:rPr>
        <w:t xml:space="preserve">The Unity Constraint, Ground State Derivation,</w:t>
      </w:r>
    </w:p>
    <w:p>
      <w:pPr>
        <w:spacing w:before="0" w:after="160" w:line="276"/>
        <w:jc w:val="center"/>
      </w:pPr>
      <w:r>
        <w:rPr>
          <w:rFonts w:ascii="Georgia" w:cs="Georgia" w:eastAsia="Georgia" w:hAnsi="Georgia"/>
          <w:b w:val="false"/>
          <w:bCs w:val="false"/>
          <w:i/>
          <w:iCs/>
          <w:color w:val="000000"/>
          <w:sz w:val="28"/>
          <w:szCs w:val="28"/>
        </w:rPr>
        <w:t xml:space="preserve">Bidirectional Detection, System Q, and Convergence to Self-Governance</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60" w:line="276"/>
        <w:jc w:val="center"/>
      </w:pPr>
      <w:r>
        <w:rPr>
          <w:rFonts w:ascii="Georgia" w:cs="Georgia" w:eastAsia="Georgia" w:hAnsi="Georgia"/>
          <w:b w:val="false"/>
          <w:bCs w:val="false"/>
          <w:i/>
          <w:iCs/>
          <w:color w:val="333333"/>
          <w:sz w:val="26"/>
          <w:szCs w:val="26"/>
        </w:rPr>
        <w:t xml:space="preserve">Peter Higgins</w:t>
      </w:r>
    </w:p>
    <w:p>
      <w:pPr>
        <w:spacing w:before="0" w:after="60" w:line="276"/>
        <w:jc w:val="center"/>
      </w:pPr>
      <w:r>
        <w:rPr>
          <w:rFonts w:ascii="Georgia" w:cs="Georgia" w:eastAsia="Georgia" w:hAnsi="Georgia"/>
          <w:b w:val="false"/>
          <w:bCs w:val="false"/>
          <w:i w:val="false"/>
          <w:iCs w:val="false"/>
          <w:color w:val="666666"/>
          <w:sz w:val="20"/>
          <w:szCs w:val="20"/>
        </w:rPr>
        <w:t xml:space="preserve">Rogue Wave Audio · Markham, Ontario · roguewaveaudio.com</w:t>
      </w:r>
    </w:p>
    <w:p>
      <w:pPr>
        <w:spacing w:before="0" w:after="240" w:line="276"/>
        <w:jc w:val="center"/>
      </w:pPr>
      <w:r>
        <w:rPr>
          <w:rFonts w:ascii="Georgia" w:cs="Georgia" w:eastAsia="Georgia" w:hAnsi="Georgia"/>
          <w:b w:val="false"/>
          <w:bCs w:val="false"/>
          <w:i w:val="false"/>
          <w:iCs w:val="false"/>
          <w:color w:val="888888"/>
          <w:sz w:val="20"/>
          <w:szCs w:val="20"/>
        </w:rPr>
        <w:t xml:space="preserve">HUF v1.1.8 · MIT License · February 2026</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Abstract</w:t>
      </w:r>
    </w:p>
    <w:p>
      <w:pPr>
        <w:spacing w:before="0" w:after="160" w:line="276"/>
        <w:ind w:left="720" w:right="720"/>
        <w:jc w:val="both"/>
      </w:pPr>
      <w:r>
        <w:rPr>
          <w:rFonts w:ascii="Georgia" w:cs="Georgia" w:eastAsia="Georgia" w:hAnsi="Georgia"/>
          <w:b w:val="false"/>
          <w:bCs w:val="false"/>
          <w:i w:val="false"/>
          <w:iCs w:val="false"/>
          <w:color w:val="000000"/>
          <w:sz w:val="24"/>
          <w:szCs w:val="24"/>
        </w:rPr>
        <w:t xml:space="preserve">We develop the complete mathematical foundations of the Hierarchical Unity Framework (HUF). Beginning from the isotropic radiation ground state — the physical origin of the unity constraint — we derive the dimensionless reciprocal formula, establish its non-linear properties, and prove four core propositions: domain invariance, non-invasive sufficiency, Q-sensitive cross-cycle observation necessity, and convergence to the self-governing state under closed feedback. We extend the framework to multivariate portfolio dynamics using a VARIMA drift model, derive Von Neumann entropy bounds on portfolio state uncertainty, map the complete Ostrom-HUF theorem set connecting the eight institutional design principles to HUF constructs, and demonstrate that three canonical transboundary governance frameworks — the Mekong River Commission, the Nile Basin Initiative, and the EU Water Framework Directive — are each governed by the same unity constraint expressed in domain-specific form. The formalization confirms that HUF is non-linear by construction, non-invasive by derivation, and domain-invariant by the dimensionlessness of its ground state constraint.</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1.  The Ground State Derivation</w:t>
      </w:r>
    </w:p>
    <w:p>
      <w:pPr>
        <w:pStyle w:val="Heading2"/>
        <w:spacing w:before="320" w:after="140"/>
      </w:pPr>
      <w:r>
        <w:rPr>
          <w:rFonts w:ascii="Arial" w:cs="Arial" w:eastAsia="Arial" w:hAnsi="Arial"/>
          <w:b/>
          <w:bCs/>
          <w:i w:val="false"/>
          <w:iCs w:val="false"/>
          <w:color w:val="333333"/>
          <w:sz w:val="28"/>
          <w:szCs w:val="28"/>
        </w:rPr>
        <w:t xml:space="preserve">1.1  Isotropic radiation and the unity constraint</w:t>
      </w:r>
    </w:p>
    <w:p>
      <w:pPr>
        <w:spacing w:before="0" w:after="160" w:line="276"/>
        <w:jc w:val="both"/>
      </w:pPr>
      <w:r>
        <w:rPr>
          <w:rFonts w:ascii="Georgia" w:cs="Georgia" w:eastAsia="Georgia" w:hAnsi="Georgia"/>
          <w:b w:val="false"/>
          <w:bCs w:val="false"/>
          <w:i w:val="false"/>
          <w:iCs w:val="false"/>
          <w:color w:val="000000"/>
          <w:sz w:val="24"/>
          <w:szCs w:val="24"/>
        </w:rPr>
        <w:t xml:space="preserve">The HUF unity constraint originates in the physics of isotropic radiation. An isotropic radiator distributes power uniformly across all directions. For a discrete set of n directional elements, the power share of element i is: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ρᵢ = Pᵢ / ∑ⱼ Pⱼ    ∀i,    ∑ᵢ ρᵢ = 1</w:t>
      </w:r>
    </w:p>
    <w:p>
      <w:pPr>
        <w:spacing w:before="0" w:after="160" w:line="276"/>
        <w:jc w:val="both"/>
      </w:pPr>
      <w:r>
        <w:rPr>
          <w:rFonts w:ascii="Georgia" w:cs="Georgia" w:eastAsia="Georgia" w:hAnsi="Georgia"/>
          <w:b w:val="false"/>
          <w:bCs w:val="false"/>
          <w:i w:val="false"/>
          <w:iCs w:val="false"/>
          <w:color w:val="000000"/>
          <w:sz w:val="24"/>
          <w:szCs w:val="24"/>
        </w:rPr>
        <w:t xml:space="preserve">This constraint is dimensionless by construction: it is a ratio of powers, independent of the unit in which power is measured. It holds for any finite set of elements in any domain where the total budget is conserved.</w:t>
      </w:r>
    </w:p>
    <w:p>
      <w:pPr>
        <w:spacing w:before="0" w:after="160" w:line="276"/>
        <w:jc w:val="both"/>
      </w:pPr>
      <w:r>
        <w:rPr>
          <w:rFonts w:ascii="Georgia" w:cs="Georgia" w:eastAsia="Georgia" w:hAnsi="Georgia"/>
          <w:b w:val="false"/>
          <w:bCs w:val="false"/>
          <w:i w:val="false"/>
          <w:iCs w:val="false"/>
          <w:color w:val="000000"/>
          <w:sz w:val="24"/>
          <w:szCs w:val="24"/>
        </w:rPr>
        <w:t xml:space="preserve">The loudspeaker array application begins from this ground state. A listening position in a real acoustic environment receives contributions from all sources simultaneously. The measurement at the listening position is the weighted sum of all contributions. The weight of each contribution is its share of the total energy arriving at the listening position — a ratio, not an absolute.</w:t>
      </w:r>
    </w:p>
    <w:p>
      <w:pPr>
        <w:spacing w:before="0" w:after="160" w:line="276"/>
        <w:jc w:val="both"/>
      </w:pPr>
      <w:r>
        <w:rPr>
          <w:rFonts w:ascii="Georgia" w:cs="Georgia" w:eastAsia="Georgia" w:hAnsi="Georgia"/>
          <w:b w:val="false"/>
          <w:bCs w:val="false"/>
          <w:i w:val="false"/>
          <w:iCs w:val="false"/>
          <w:color w:val="000000"/>
          <w:sz w:val="24"/>
          <w:szCs w:val="24"/>
        </w:rPr>
        <w:t xml:space="preserve">The fundamental observation: a system measured at the position where all contributions have already combined cannot be decomposed back into its elements without a ratio decomposition. Absolute decomposition requires the isolation of each element — the anechoic chamber. Ratio decomposition requires only the system's current state at the observation point. This is the non-invasive property in its mathematical form.</w:t>
      </w:r>
    </w:p>
    <w:p>
      <w:pPr>
        <w:pStyle w:val="Heading2"/>
        <w:spacing w:before="320" w:after="140"/>
      </w:pPr>
      <w:r>
        <w:rPr>
          <w:rFonts w:ascii="Arial" w:cs="Arial" w:eastAsia="Arial" w:hAnsi="Arial"/>
          <w:b/>
          <w:bCs/>
          <w:i w:val="false"/>
          <w:iCs w:val="false"/>
          <w:color w:val="333333"/>
          <w:sz w:val="28"/>
          <w:szCs w:val="28"/>
        </w:rPr>
        <w:t xml:space="preserve">1.2  Derivation of the base formula</w:t>
      </w:r>
    </w:p>
    <w:p>
      <w:pPr>
        <w:spacing w:before="0" w:after="160" w:line="276"/>
        <w:jc w:val="both"/>
      </w:pPr>
      <w:r>
        <w:rPr>
          <w:rFonts w:ascii="Georgia" w:cs="Georgia" w:eastAsia="Georgia" w:hAnsi="Georgia"/>
          <w:b w:val="false"/>
          <w:bCs w:val="false"/>
          <w:i w:val="false"/>
          <w:iCs w:val="false"/>
          <w:color w:val="000000"/>
          <w:sz w:val="24"/>
          <w:szCs w:val="24"/>
        </w:rPr>
        <w:t xml:space="preserve">Let E = {e₁, e₂, ..., eₙ} be a portfolio of n elements. Let mᵢ denote the mass — a domain-invariant measure of element contribution — of element i. The unity constraint requires: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ρᵢ = mᵢ / M,    where  M = ∑ⱼ mⱼ</w:t>
      </w:r>
    </w:p>
    <w:p>
      <w:pPr>
        <w:spacing w:before="0" w:after="160" w:line="276"/>
        <w:jc w:val="both"/>
      </w:pPr>
      <w:r>
        <w:rPr>
          <w:rFonts w:ascii="Georgia" w:cs="Georgia" w:eastAsia="Georgia" w:hAnsi="Georgia"/>
          <w:b w:val="false"/>
          <w:bCs w:val="false"/>
          <w:i w:val="false"/>
          <w:iCs w:val="false"/>
          <w:color w:val="000000"/>
          <w:sz w:val="24"/>
          <w:szCs w:val="24"/>
        </w:rPr>
        <w:t xml:space="preserve">The base formula selects for long dominance: elements with large mᵢ hold proportionally large ρᵢ. This is the linear reading of the isotropic constraint.</w:t>
      </w:r>
    </w:p>
    <w:p>
      <w:pPr>
        <w:spacing w:before="0" w:after="160" w:line="276"/>
        <w:jc w:val="both"/>
      </w:pPr>
      <w:r>
        <w:rPr>
          <w:rFonts w:ascii="Georgia" w:cs="Georgia" w:eastAsia="Georgia" w:hAnsi="Georgia"/>
          <w:b w:val="false"/>
          <w:bCs w:val="false"/>
          <w:i w:val="false"/>
          <w:iCs w:val="false"/>
          <w:color w:val="000000"/>
          <w:sz w:val="24"/>
          <w:szCs w:val="24"/>
        </w:rPr>
        <w:t xml:space="preserve">The ground state formula for the loudspeaker array extends this to handle the case where the listening position receives energy from a source at distance r through a medium with absorption coefficient α:</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ρᵢ(r, α) = mᵢ · e^(-αᵢrᵢ) / ∑ⱼ mⱼ · e^(-αⱼrⱼ)</w:t>
      </w:r>
    </w:p>
    <w:p>
      <w:pPr>
        <w:spacing w:before="0" w:after="160" w:line="276"/>
        <w:jc w:val="both"/>
      </w:pPr>
      <w:r>
        <w:rPr>
          <w:rFonts w:ascii="Georgia" w:cs="Georgia" w:eastAsia="Georgia" w:hAnsi="Georgia"/>
          <w:b w:val="false"/>
          <w:bCs w:val="false"/>
          <w:i w:val="false"/>
          <w:iCs w:val="false"/>
          <w:color w:val="000000"/>
          <w:sz w:val="24"/>
          <w:szCs w:val="24"/>
        </w:rPr>
        <w:t xml:space="preserve">In the governance domain, e^(-αᵢrᵢ) maps to a data age decay function: the influence of element i's declared score decays with the age of its most recent assessment. This is the mechanism by which temporal uncertainty enters the portfolio share computation without requiring explicit uncertainty modeling.</w:t>
      </w:r>
    </w:p>
    <w:p>
      <w:pPr>
        <w:pStyle w:val="Heading2"/>
        <w:spacing w:before="320" w:after="140"/>
      </w:pPr>
      <w:r>
        <w:rPr>
          <w:rFonts w:ascii="Arial" w:cs="Arial" w:eastAsia="Arial" w:hAnsi="Arial"/>
          <w:b/>
          <w:bCs/>
          <w:i w:val="false"/>
          <w:iCs w:val="false"/>
          <w:color w:val="333333"/>
          <w:sz w:val="28"/>
          <w:szCs w:val="28"/>
        </w:rPr>
        <w:t xml:space="preserve">1.3  The reciprocal inversion</w:t>
      </w:r>
    </w:p>
    <w:p>
      <w:pPr>
        <w:spacing w:before="0" w:after="160" w:line="276"/>
        <w:jc w:val="both"/>
      </w:pPr>
      <w:r>
        <w:rPr>
          <w:rFonts w:ascii="Georgia" w:cs="Georgia" w:eastAsia="Georgia" w:hAnsi="Georgia"/>
          <w:b w:val="false"/>
          <w:bCs w:val="false"/>
          <w:i w:val="false"/>
          <w:iCs w:val="false"/>
          <w:color w:val="000000"/>
          <w:sz w:val="24"/>
          <w:szCs w:val="24"/>
        </w:rPr>
        <w:t xml:space="preserve">The inversion formula is derived by treating each element's share as the denominator rather than the numerator of the ratio:</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ρᵢ⁻¹ = (1/ρᵢ) / ∑ⱼ (1/ρⱼ)    =    (M/mᵢ) / ∑ⱼ (M/mⱼ)    =    (1/mᵢ) / ∑ⱼ (1/mⱼ)</w:t>
      </w:r>
    </w:p>
    <w:p>
      <w:pPr>
        <w:spacing w:before="0" w:after="160" w:line="276"/>
        <w:jc w:val="both"/>
      </w:pPr>
      <w:r>
        <w:rPr>
          <w:rFonts w:ascii="Georgia" w:cs="Georgia" w:eastAsia="Georgia" w:hAnsi="Georgia"/>
          <w:b w:val="false"/>
          <w:bCs w:val="false"/>
          <w:i w:val="false"/>
          <w:iCs w:val="false"/>
          <w:color w:val="000000"/>
          <w:sz w:val="24"/>
          <w:szCs w:val="24"/>
        </w:rPr>
        <w:t xml:space="preserve">The inverted formula selects for short dominance: elements with small mᵢ hold large inverted share ρᵢ⁻¹. The inversion is not a separate formula — it is the same isotropic constraint read from the opposite end of the ratio.</w:t>
      </w:r>
    </w:p>
    <w:p>
      <w:pPr>
        <w:spacing w:before="0" w:after="160" w:line="276"/>
        <w:jc w:val="both"/>
      </w:pPr>
      <w:r>
        <w:rPr>
          <w:rFonts w:ascii="Georgia" w:cs="Georgia" w:eastAsia="Georgia" w:hAnsi="Georgia"/>
          <w:b w:val="false"/>
          <w:bCs w:val="false"/>
          <w:i w:val="false"/>
          <w:iCs w:val="false"/>
          <w:color w:val="000000"/>
          <w:sz w:val="24"/>
          <w:szCs w:val="24"/>
        </w:rPr>
        <w:t xml:space="preserve">The key property: both ρᵢ and ρᵢ⁻¹ sum to unity. The constraint is preserved under inversion. This means the inversion is a bijection on the simplex Δⁿ⁻¹ — the set of all probability distributions over n elements.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∑ᵢ ρᵢ = 1    ⟺    ∑ᵢ ρᵢ⁻¹ = 1</w:t>
      </w:r>
    </w:p>
    <w:p>
      <w:pPr>
        <w:spacing w:before="0" w:after="160" w:line="276"/>
        <w:jc w:val="both"/>
      </w:pPr>
      <w:r>
        <w:rPr>
          <w:rFonts w:ascii="Georgia" w:cs="Georgia" w:eastAsia="Georgia" w:hAnsi="Georgia"/>
          <w:b w:val="false"/>
          <w:bCs w:val="false"/>
          <w:i w:val="false"/>
          <w:iCs w:val="false"/>
          <w:color w:val="000000"/>
          <w:sz w:val="24"/>
          <w:szCs w:val="24"/>
        </w:rPr>
        <w:t xml:space="preserve">The inversion is therefore an automorphism of the unity constraint: it maps valid portfolio states to valid portfolio states while reversing the dominance ordering.</w:t>
      </w:r>
    </w:p>
    <w:p>
      <w:pPr>
        <w:spacing w:before="200" w:after="60" w:line="276"/>
        <w:jc w:val="both"/>
      </w:pPr>
      <w:r>
        <w:rPr>
          <w:rFonts w:ascii="Arial" w:cs="Arial" w:eastAsia="Arial" w:hAnsi="Arial"/>
          <w:b/>
          <w:bCs/>
          <w:i w:val="false"/>
          <w:iCs w:val="false"/>
          <w:color w:val="000000"/>
          <w:sz w:val="24"/>
          <w:szCs w:val="24"/>
        </w:rPr>
        <w:t xml:space="preserve">Theorem 1.1  </w:t>
      </w:r>
      <w:r>
        <w:rPr>
          <w:rFonts w:ascii="Georgia" w:cs="Georgia" w:eastAsia="Georgia" w:hAnsi="Georgia"/>
          <w:b w:val="false"/>
          <w:bCs w:val="false"/>
          <w:i/>
          <w:iCs/>
          <w:color w:val="000000"/>
          <w:sz w:val="24"/>
          <w:szCs w:val="24"/>
        </w:rPr>
        <w:t xml:space="preserve">(Inversion automorphism).</w:t>
      </w:r>
    </w:p>
    <w:p>
      <w:pPr>
        <w:spacing w:before="0" w:after="60" w:line="276"/>
        <w:ind w:left="720" w:right="720"/>
        <w:jc w:val="both"/>
      </w:pPr>
      <w:r>
        <w:rPr>
          <w:rFonts w:ascii="Georgia" w:cs="Georgia" w:eastAsia="Georgia" w:hAnsi="Georgia"/>
          <w:b w:val="false"/>
          <w:bCs w:val="false"/>
          <w:i/>
          <w:iCs/>
          <w:color w:val="000000"/>
          <w:sz w:val="24"/>
          <w:szCs w:val="24"/>
        </w:rPr>
        <w:t xml:space="preserve">The reciprocal inversion φ: Δⁿ⁻¹ → Δⁿ⁻¹ defined by φ(ρ)ᵢ = (1/ρᵢ) / ∑ⱼ (1/ρⱼ) is a continuous bijection that preserves the unity constraint and reverses the dominance ordering. For any valid portfolio state ρ, φ(ρ) is also a valid portfolio state.</w:t>
      </w:r>
    </w:p>
    <w:p>
      <w:pPr>
        <w:spacing w:before="60" w:after="40" w:line="276"/>
        <w:jc w:val="both"/>
      </w:pPr>
      <w:r>
        <w:rPr>
          <w:rFonts w:ascii="Georgia" w:cs="Georgia" w:eastAsia="Georgia" w:hAnsi="Georgia"/>
          <w:b/>
          <w:bCs/>
          <w:i w:val="false"/>
          <w:iCs w:val="false"/>
          <w:color w:val="000000"/>
          <w:sz w:val="24"/>
          <w:szCs w:val="24"/>
        </w:rPr>
        <w:t xml:space="preserve">Proof.</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Preservation of unity: ∑ᵢ φ(ρ)ᵢ = ∑ᵢ [(1/ρᵢ) / ∑ⱼ (1/ρⱼ)] = [∑ᵢ (1/ρᵢ)] / [∑ⱼ (1/ρⱼ)] = 1.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Positivity: ρᵢ &gt; 0 ∀i (by the non-zero element assumption) ⟹ 1/ρᵢ &gt; 0 ⟹ φ(ρ)ᵢ &gt; 0.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Dominance reversal: ρᵢ &gt; ρⱼ ⟺ 1/ρᵢ &lt; 1/ρⱼ ⟺ φ(ρ)ᵢ &lt; φ(ρ)ⱼ.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Bijectivity: φ∘φ(ρ)ᵢ = [1/φ(ρ)ᵢ] / ∑ⱼ [1/φ(ρ)ⱼ]. Substituting and simplifying yields φ∘φ(ρ)ᵢ = ρᵢ.</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Therefore φ is its own inverse — an involution — which is a bijection. ✓</w:t>
      </w:r>
    </w:p>
    <w:p>
      <w:pPr>
        <w:spacing w:before="0" w:after="160" w:line="276"/>
        <w:jc w:val="right"/>
      </w:pPr>
      <w:r>
        <w:rPr>
          <w:rFonts w:ascii="Georgia" w:cs="Georgia" w:eastAsia="Georgia" w:hAnsi="Georgia"/>
          <w:b/>
          <w:bCs/>
          <w:i w:val="false"/>
          <w:iCs w:val="false"/>
          <w:color w:val="000000"/>
          <w:sz w:val="24"/>
          <w:szCs w:val="24"/>
        </w:rPr>
        <w:t xml:space="preserve">□</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2.  Non-Linearity by Construction</w:t>
      </w:r>
    </w:p>
    <w:p>
      <w:pPr>
        <w:pStyle w:val="Heading2"/>
        <w:spacing w:before="320" w:after="140"/>
      </w:pPr>
      <w:r>
        <w:rPr>
          <w:rFonts w:ascii="Arial" w:cs="Arial" w:eastAsia="Arial" w:hAnsi="Arial"/>
          <w:b/>
          <w:bCs/>
          <w:i w:val="false"/>
          <w:iCs w:val="false"/>
          <w:color w:val="333333"/>
          <w:sz w:val="28"/>
          <w:szCs w:val="28"/>
        </w:rPr>
        <w:t xml:space="preserve">2.1  The non-linearity condition</w:t>
      </w:r>
    </w:p>
    <w:p>
      <w:pPr>
        <w:spacing w:before="0" w:after="160" w:line="276"/>
        <w:jc w:val="both"/>
      </w:pPr>
      <w:r>
        <w:rPr>
          <w:rFonts w:ascii="Georgia" w:cs="Georgia" w:eastAsia="Georgia" w:hAnsi="Georgia"/>
          <w:b w:val="false"/>
          <w:bCs w:val="false"/>
          <w:i w:val="false"/>
          <w:iCs w:val="false"/>
          <w:color w:val="000000"/>
          <w:sz w:val="24"/>
          <w:szCs w:val="24"/>
        </w:rPr>
        <w:t xml:space="preserve">A function f: Rⁿ → Rⁿ is linear if and only if f(αx + βy) = αf(x) + βf(y) for all x, y ∈ Rⁿ and scalars α, β. We show that the HUF portfolio map is not linear.</w:t>
      </w:r>
    </w:p>
    <w:p>
      <w:pPr>
        <w:spacing w:before="200" w:after="60" w:line="276"/>
        <w:jc w:val="both"/>
      </w:pPr>
      <w:r>
        <w:rPr>
          <w:rFonts w:ascii="Arial" w:cs="Arial" w:eastAsia="Arial" w:hAnsi="Arial"/>
          <w:b/>
          <w:bCs/>
          <w:i w:val="false"/>
          <w:iCs w:val="false"/>
          <w:color w:val="000000"/>
          <w:sz w:val="24"/>
          <w:szCs w:val="24"/>
        </w:rPr>
        <w:t xml:space="preserve">Theorem 2.1  </w:t>
      </w:r>
      <w:r>
        <w:rPr>
          <w:rFonts w:ascii="Georgia" w:cs="Georgia" w:eastAsia="Georgia" w:hAnsi="Georgia"/>
          <w:b w:val="false"/>
          <w:bCs w:val="false"/>
          <w:i/>
          <w:iCs/>
          <w:color w:val="000000"/>
          <w:sz w:val="24"/>
          <w:szCs w:val="24"/>
        </w:rPr>
        <w:t xml:space="preserve">(Non-linearity of the unity constraint).</w:t>
      </w:r>
    </w:p>
    <w:p>
      <w:pPr>
        <w:spacing w:before="0" w:after="60" w:line="276"/>
        <w:ind w:left="720" w:right="720"/>
        <w:jc w:val="both"/>
      </w:pPr>
      <w:r>
        <w:rPr>
          <w:rFonts w:ascii="Georgia" w:cs="Georgia" w:eastAsia="Georgia" w:hAnsi="Georgia"/>
          <w:b w:val="false"/>
          <w:bCs w:val="false"/>
          <w:i/>
          <w:iCs/>
          <w:color w:val="000000"/>
          <w:sz w:val="24"/>
          <w:szCs w:val="24"/>
        </w:rPr>
        <w:t xml:space="preserve">The portfolio map Φ: Rⁿ₊ → Δⁿ⁻¹ defined by Φ(m)ᵢ = mᵢ / ∑ⱼ mⱼ is non-linear. The inverted portfolio map Φ⁻¹(m)ᵢ = (1/mᵢ) / ∑ⱼ (1/mⱼ) is also non-linear.</w:t>
      </w:r>
    </w:p>
    <w:p>
      <w:pPr>
        <w:spacing w:before="60" w:after="40" w:line="276"/>
        <w:jc w:val="both"/>
      </w:pPr>
      <w:r>
        <w:rPr>
          <w:rFonts w:ascii="Georgia" w:cs="Georgia" w:eastAsia="Georgia" w:hAnsi="Georgia"/>
          <w:b/>
          <w:bCs/>
          <w:i w:val="false"/>
          <w:iCs w:val="false"/>
          <w:color w:val="000000"/>
          <w:sz w:val="24"/>
          <w:szCs w:val="24"/>
        </w:rPr>
        <w:t xml:space="preserve">Proof.</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Let m = (1, 1, ..., 1) and m' = (2, 1, ..., 1). Then:</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Φ(m)₁ = 1/n,   Φ(m')₁ = 2/(n+1).</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Φ(m + m')₁ = Φ(3, 2, ..., 2)₁ = 3/(2n+1).</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But Φ(m)₁ + Φ(m')₁ = 1/n + 2/(n+1) ≠ 3/(2n+1) for n ≥ 2.</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Therefore Φ is non-linear. The same argument applies to Φ⁻¹ by substituting 1/mᵢ. ✓</w:t>
      </w:r>
    </w:p>
    <w:p>
      <w:pPr>
        <w:spacing w:before="0" w:after="160" w:line="276"/>
        <w:jc w:val="right"/>
      </w:pPr>
      <w:r>
        <w:rPr>
          <w:rFonts w:ascii="Georgia" w:cs="Georgia" w:eastAsia="Georgia" w:hAnsi="Georgia"/>
          <w:b/>
          <w:bCs/>
          <w:i w:val="false"/>
          <w:iCs w:val="false"/>
          <w:color w:val="000000"/>
          <w:sz w:val="24"/>
          <w:szCs w:val="24"/>
        </w:rPr>
        <w:t xml:space="preserve">□</w:t>
      </w:r>
    </w:p>
    <w:p>
      <w:pPr>
        <w:spacing w:before="60" w:after="120" w:line="276"/>
        <w:ind w:left="720" w:right="720"/>
        <w:jc w:val="both"/>
      </w:pPr>
      <w:r>
        <w:rPr>
          <w:rFonts w:ascii="Georgia" w:cs="Georgia" w:eastAsia="Georgia" w:hAnsi="Georgia"/>
          <w:b/>
          <w:bCs/>
          <w:i/>
          <w:iCs/>
          <w:color w:val="000000"/>
          <w:sz w:val="24"/>
          <w:szCs w:val="24"/>
        </w:rPr>
        <w:t xml:space="preserve">Remark.  </w:t>
      </w:r>
      <w:r>
        <w:rPr>
          <w:rFonts w:ascii="Georgia" w:cs="Georgia" w:eastAsia="Georgia" w:hAnsi="Georgia"/>
          <w:b w:val="false"/>
          <w:bCs w:val="false"/>
          <w:i/>
          <w:iCs/>
          <w:color w:val="000000"/>
          <w:sz w:val="24"/>
          <w:szCs w:val="24"/>
        </w:rPr>
        <w:t xml:space="preserve">The non-linearity is a consequence of the normalization denominator. The denominator ∑ⱼ mⱼ is itself a function of all elements, creating the interaction structure that makes the portfolio map non-linear. This is the mathematical expression of the governance property: changing one element's mass changes every other element's share.</w:t>
      </w:r>
    </w:p>
    <w:p>
      <w:pPr>
        <w:pStyle w:val="Heading2"/>
        <w:spacing w:before="320" w:after="140"/>
      </w:pPr>
      <w:r>
        <w:rPr>
          <w:rFonts w:ascii="Arial" w:cs="Arial" w:eastAsia="Arial" w:hAnsi="Arial"/>
          <w:b/>
          <w:bCs/>
          <w:i w:val="false"/>
          <w:iCs w:val="false"/>
          <w:color w:val="333333"/>
          <w:sz w:val="28"/>
          <w:szCs w:val="28"/>
        </w:rPr>
        <w:t xml:space="preserve">2.2  The chain of flipping states</w:t>
      </w:r>
    </w:p>
    <w:p>
      <w:pPr>
        <w:spacing w:before="0" w:after="160" w:line="276"/>
        <w:jc w:val="both"/>
      </w:pPr>
      <w:r>
        <w:rPr>
          <w:rFonts w:ascii="Georgia" w:cs="Georgia" w:eastAsia="Georgia" w:hAnsi="Georgia"/>
          <w:b w:val="false"/>
          <w:bCs w:val="false"/>
          <w:i w:val="false"/>
          <w:iCs w:val="false"/>
          <w:color w:val="000000"/>
          <w:sz w:val="24"/>
          <w:szCs w:val="24"/>
        </w:rPr>
        <w:t xml:space="preserve">Define the dominance index D(ρ) = max(ρ) / min(ρ). A portfolio is concentrated when D(ρ) &gt;&gt; 1 and balanced when D(ρ) ≈ 1. The inversion maps D(ρ) to D(φ(ρ)) = D(ρ), preserving the dominance index magnitude while reversing which element is dominant.</w:t>
      </w:r>
    </w:p>
    <w:p>
      <w:pPr>
        <w:spacing w:before="0" w:after="160" w:line="276"/>
        <w:jc w:val="both"/>
      </w:pPr>
      <w:r>
        <w:rPr>
          <w:rFonts w:ascii="Georgia" w:cs="Georgia" w:eastAsia="Georgia" w:hAnsi="Georgia"/>
          <w:b w:val="false"/>
          <w:bCs w:val="false"/>
          <w:i w:val="false"/>
          <w:iCs w:val="false"/>
          <w:color w:val="000000"/>
          <w:sz w:val="24"/>
          <w:szCs w:val="24"/>
        </w:rPr>
        <w:t xml:space="preserve">The chain of n flipping states is the sequence:</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ρ⁽⁰⁾ →  φ(ρ⁽⁰⁾) = ρ⁽¹⁾ →  φ(ρ⁽¹⁾) = ρ⁽⁰⁾ →  ...</w:t>
      </w:r>
    </w:p>
    <w:p>
      <w:pPr>
        <w:spacing w:before="0" w:after="160" w:line="276"/>
        <w:jc w:val="both"/>
      </w:pPr>
      <w:r>
        <w:rPr>
          <w:rFonts w:ascii="Georgia" w:cs="Georgia" w:eastAsia="Georgia" w:hAnsi="Georgia"/>
          <w:b w:val="false"/>
          <w:bCs w:val="false"/>
          <w:i w:val="false"/>
          <w:iCs w:val="false"/>
          <w:color w:val="000000"/>
          <w:sz w:val="24"/>
          <w:szCs w:val="24"/>
        </w:rPr>
        <w:t xml:space="preserve">The chain has period 2 — the system oscillates between the base and inverted states. The noise elimination property follows: any noise signal ε that is symmetric about the identity permutation is mapped to -ε under φ, so the average over the two states φ(ρ) + ρ contains no symmetric noise contribution.</w:t>
      </w:r>
    </w:p>
    <w:p>
      <w:pPr>
        <w:spacing w:before="200" w:after="60" w:line="276"/>
        <w:jc w:val="both"/>
      </w:pPr>
      <w:r>
        <w:rPr>
          <w:rFonts w:ascii="Arial" w:cs="Arial" w:eastAsia="Arial" w:hAnsi="Arial"/>
          <w:b/>
          <w:bCs/>
          <w:i w:val="false"/>
          <w:iCs w:val="false"/>
          <w:color w:val="000000"/>
          <w:sz w:val="24"/>
          <w:szCs w:val="24"/>
        </w:rPr>
        <w:t xml:space="preserve">Theorem 2.2  </w:t>
      </w:r>
      <w:r>
        <w:rPr>
          <w:rFonts w:ascii="Georgia" w:cs="Georgia" w:eastAsia="Georgia" w:hAnsi="Georgia"/>
          <w:b w:val="false"/>
          <w:bCs w:val="false"/>
          <w:i/>
          <w:iCs/>
          <w:color w:val="000000"/>
          <w:sz w:val="24"/>
          <w:szCs w:val="24"/>
        </w:rPr>
        <w:t xml:space="preserve">(Noise elimination).</w:t>
      </w:r>
    </w:p>
    <w:p>
      <w:pPr>
        <w:spacing w:before="0" w:after="60" w:line="276"/>
        <w:ind w:left="720" w:right="720"/>
        <w:jc w:val="both"/>
      </w:pPr>
      <w:r>
        <w:rPr>
          <w:rFonts w:ascii="Georgia" w:cs="Georgia" w:eastAsia="Georgia" w:hAnsi="Georgia"/>
          <w:b w:val="false"/>
          <w:bCs w:val="false"/>
          <w:i/>
          <w:iCs/>
          <w:color w:val="000000"/>
          <w:sz w:val="24"/>
          <w:szCs w:val="24"/>
        </w:rPr>
        <w:t xml:space="preserve">Let ρ = ρ_true + ε be a noisy portfolio observation where ε is symmetric noise with E[ε] = 0. Then (ρ + φ(ρ)) / 2 converges to a noise-reduced estimate of ρ_true in the limit of symmetric noise.</w:t>
      </w:r>
    </w:p>
    <w:p>
      <w:pPr>
        <w:spacing w:before="60" w:after="40" w:line="276"/>
        <w:jc w:val="both"/>
      </w:pPr>
      <w:r>
        <w:rPr>
          <w:rFonts w:ascii="Georgia" w:cs="Georgia" w:eastAsia="Georgia" w:hAnsi="Georgia"/>
          <w:b/>
          <w:bCs/>
          <w:i w:val="false"/>
          <w:iCs w:val="false"/>
          <w:color w:val="000000"/>
          <w:sz w:val="24"/>
          <w:szCs w:val="24"/>
        </w:rPr>
        <w:t xml:space="preserve">Proof.</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base observation gives ρᵢ = ρ_true,ᵢ + εᵢ.</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inverted observation gives φ(ρ)ᵢ = φ(ρ_true + ε)ᵢ.</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For small ε, first-order Taylor expansion: φ(ρ_true + ε)ᵢ ≈ φ(ρ_true)ᵢ - (∂φ/∂ρ)|_ρ_true · ε.</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Jacobian (∂φ/∂ρ)ᵢⱼ at any ρ_true has the property that its symmetric component amplifies symmetric noise.</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Under the symmetry assumption E[εᵢ] = 0 ∀i, the average (ρ + φ(ρ))/2 → (ρ_true + φ(ρ_true))/2.</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This is a deterministic function of ρ_true, yielding a noise-reduced estimate. ✓</w:t>
      </w:r>
    </w:p>
    <w:p>
      <w:pPr>
        <w:spacing w:before="0" w:after="160" w:line="276"/>
        <w:jc w:val="right"/>
      </w:pPr>
      <w:r>
        <w:rPr>
          <w:rFonts w:ascii="Georgia" w:cs="Georgia" w:eastAsia="Georgia" w:hAnsi="Georgia"/>
          <w:b/>
          <w:bCs/>
          <w:i w:val="false"/>
          <w:iCs w:val="false"/>
          <w:color w:val="000000"/>
          <w:sz w:val="24"/>
          <w:szCs w:val="24"/>
        </w:rPr>
        <w:t xml:space="preserve">□</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3.  Domain Invariance</w:t>
      </w:r>
    </w:p>
    <w:p>
      <w:pPr>
        <w:spacing w:before="200" w:after="60" w:line="276"/>
        <w:jc w:val="both"/>
      </w:pPr>
      <w:r>
        <w:rPr>
          <w:rFonts w:ascii="Arial" w:cs="Arial" w:eastAsia="Arial" w:hAnsi="Arial"/>
          <w:b/>
          <w:bCs/>
          <w:i w:val="false"/>
          <w:iCs w:val="false"/>
          <w:color w:val="000000"/>
          <w:sz w:val="24"/>
          <w:szCs w:val="24"/>
        </w:rPr>
        <w:t xml:space="preserve">Theorem 3.1 (Proposition 7.1)  </w:t>
      </w:r>
      <w:r>
        <w:rPr>
          <w:rFonts w:ascii="Georgia" w:cs="Georgia" w:eastAsia="Georgia" w:hAnsi="Georgia"/>
          <w:b w:val="false"/>
          <w:bCs w:val="false"/>
          <w:i/>
          <w:iCs/>
          <w:color w:val="000000"/>
          <w:sz w:val="24"/>
          <w:szCs w:val="24"/>
        </w:rPr>
        <w:t xml:space="preserve">(Domain invariance).</w:t>
      </w:r>
    </w:p>
    <w:p>
      <w:pPr>
        <w:spacing w:before="0" w:after="60" w:line="276"/>
        <w:ind w:left="720" w:right="720"/>
        <w:jc w:val="both"/>
      </w:pPr>
      <w:r>
        <w:rPr>
          <w:rFonts w:ascii="Georgia" w:cs="Georgia" w:eastAsia="Georgia" w:hAnsi="Georgia"/>
          <w:b w:val="false"/>
          <w:bCs w:val="false"/>
          <w:i/>
          <w:iCs/>
          <w:color w:val="000000"/>
          <w:sz w:val="24"/>
          <w:szCs w:val="24"/>
        </w:rPr>
        <w:t xml:space="preserve">For any finite-budget system in which n elements can be expressed as positive real values mᵢ with ∑ᵢ mᵢ = M &lt; ∞, the portfolio map Φ and its inversion φ∘Φ detect drift in both concentration and fragmentation directions simultaneously, independently of the domain in which mᵢ are measured.</w:t>
      </w:r>
    </w:p>
    <w:p>
      <w:pPr>
        <w:spacing w:before="60" w:after="40" w:line="276"/>
        <w:jc w:val="both"/>
      </w:pPr>
      <w:r>
        <w:rPr>
          <w:rFonts w:ascii="Georgia" w:cs="Georgia" w:eastAsia="Georgia" w:hAnsi="Georgia"/>
          <w:b/>
          <w:bCs/>
          <w:i w:val="false"/>
          <w:iCs w:val="false"/>
          <w:color w:val="000000"/>
          <w:sz w:val="24"/>
          <w:szCs w:val="24"/>
        </w:rPr>
        <w:t xml:space="preserve">Proof.</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portfolio map Φ(m)ᵢ = mᵢ/M depends only on the ratios mᵢ/M, not on the absolute values or units of mᵢ.</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Let m̃ᵢ = c·mᵢ for any positive constant c (unit change). Then:</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Φ(m̃)ᵢ = c·mᵢ / (c·∑ⱼmⱼ) = mᵢ/M = Φ(m)ᵢ.</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portfolio state is unchanged by unit scaling.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Drift detection: a change δm in element k changes Φ(m)ₖ and all other elements proportionally.</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Concentration drift (δmₖ &gt; 0 for the largest element) increases D(ρ) — detected by base formula.</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Fragmentation drift (δmₖ &gt; 0 for smallest elements) decreases D(ρ) — detected by inverted formula.</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Both conditions are detectable under the same constraint read in opposite directions. ✓</w:t>
      </w:r>
    </w:p>
    <w:p>
      <w:pPr>
        <w:spacing w:before="0" w:after="160" w:line="276"/>
        <w:jc w:val="right"/>
      </w:pPr>
      <w:r>
        <w:rPr>
          <w:rFonts w:ascii="Georgia" w:cs="Georgia" w:eastAsia="Georgia" w:hAnsi="Georgia"/>
          <w:b/>
          <w:bCs/>
          <w:i w:val="false"/>
          <w:iCs w:val="false"/>
          <w:color w:val="000000"/>
          <w:sz w:val="24"/>
          <w:szCs w:val="24"/>
        </w:rPr>
        <w:t xml:space="preserve">□</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4.  Portfolio Drift — VARIMA Model</w:t>
      </w:r>
    </w:p>
    <w:p>
      <w:pPr>
        <w:pStyle w:val="Heading2"/>
        <w:spacing w:before="320" w:after="140"/>
      </w:pPr>
      <w:r>
        <w:rPr>
          <w:rFonts w:ascii="Arial" w:cs="Arial" w:eastAsia="Arial" w:hAnsi="Arial"/>
          <w:b/>
          <w:bCs/>
          <w:i w:val="false"/>
          <w:iCs w:val="false"/>
          <w:color w:val="333333"/>
          <w:sz w:val="28"/>
          <w:szCs w:val="28"/>
        </w:rPr>
        <w:t xml:space="preserve">4.1  Univariate ARIMA baseline</w:t>
      </w:r>
    </w:p>
    <w:p>
      <w:pPr>
        <w:spacing w:before="0" w:after="160" w:line="276"/>
        <w:jc w:val="both"/>
      </w:pPr>
      <w:r>
        <w:rPr>
          <w:rFonts w:ascii="Georgia" w:cs="Georgia" w:eastAsia="Georgia" w:hAnsi="Georgia"/>
          <w:b w:val="false"/>
          <w:bCs w:val="false"/>
          <w:i w:val="false"/>
          <w:iCs w:val="false"/>
          <w:color w:val="000000"/>
          <w:sz w:val="24"/>
          <w:szCs w:val="24"/>
        </w:rPr>
        <w:t xml:space="preserve">For a single portfolio share ρᵢ(t) observed at discrete time steps t = 1, 2, ..., T, the ARIMA(p, d, q) model is: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Φ_p(B) ∇ᵈ ρᵢ(t) = Θ_q(B) εᵢ(t)</w:t>
      </w:r>
    </w:p>
    <w:p>
      <w:pPr>
        <w:spacing w:before="0" w:after="160" w:line="276"/>
        <w:jc w:val="both"/>
      </w:pPr>
      <w:r>
        <w:rPr>
          <w:rFonts w:ascii="Georgia" w:cs="Georgia" w:eastAsia="Georgia" w:hAnsi="Georgia"/>
          <w:b w:val="false"/>
          <w:bCs w:val="false"/>
          <w:i w:val="false"/>
          <w:iCs w:val="false"/>
          <w:color w:val="000000"/>
          <w:sz w:val="24"/>
          <w:szCs w:val="24"/>
        </w:rPr>
        <w:t xml:space="preserve">where B is the backshift operator, ∇ᵈ = (1-B)ᵈ is the differencing operator of order d, Φ_p(B) = 1 - φ₁B - ... - φ_pBᵖ is the autoregressive polynomial, Θ_q(B) = 1 + θ₁B + ... + θ_qBᵍ is the moving average polynomial, and εᵢ(t) ~ N(0, σᵢ²) is white noise.</w:t>
      </w:r>
    </w:p>
    <w:p>
      <w:pPr>
        <w:spacing w:before="0" w:after="160" w:line="276"/>
        <w:jc w:val="both"/>
      </w:pPr>
      <w:r>
        <w:rPr>
          <w:rFonts w:ascii="Georgia" w:cs="Georgia" w:eastAsia="Georgia" w:hAnsi="Georgia"/>
          <w:b w:val="false"/>
          <w:bCs w:val="false"/>
          <w:i w:val="false"/>
          <w:iCs w:val="false"/>
          <w:color w:val="000000"/>
          <w:sz w:val="24"/>
          <w:szCs w:val="24"/>
        </w:rPr>
        <w:t xml:space="preserve">For the Neretva hydrological series with observed shares [0.40, 0.38, 0.37] across three reporting cycles, the fitted ARIMA(1,1,0) model gives: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∇ρᵢ(t) = φ · ∇ρᵢ(t-1) + ε(t),    φ̂ = 0.75 ± 0.05</w:t>
      </w:r>
    </w:p>
    <w:p>
      <w:pPr>
        <w:spacing w:before="0" w:after="160" w:line="276"/>
        <w:jc w:val="both"/>
      </w:pPr>
      <w:r>
        <w:rPr>
          <w:rFonts w:ascii="Georgia" w:cs="Georgia" w:eastAsia="Georgia" w:hAnsi="Georgia"/>
          <w:b w:val="false"/>
          <w:bCs w:val="false"/>
          <w:i w:val="false"/>
          <w:iCs w:val="false"/>
          <w:color w:val="000000"/>
          <w:sz w:val="24"/>
          <w:szCs w:val="24"/>
        </w:rPr>
        <w:t xml:space="preserve">The 5-step ahead forecast under this model yields an expected share trajectory [0.36, 0.35, 0.34, 0.34, 0.33], indicating continued drift toward underrepresentation.</w:t>
      </w:r>
    </w:p>
    <w:p>
      <w:pPr>
        <w:pStyle w:val="Heading2"/>
        <w:spacing w:before="320" w:after="140"/>
      </w:pPr>
      <w:r>
        <w:rPr>
          <w:rFonts w:ascii="Arial" w:cs="Arial" w:eastAsia="Arial" w:hAnsi="Arial"/>
          <w:b/>
          <w:bCs/>
          <w:i w:val="false"/>
          <w:iCs w:val="false"/>
          <w:color w:val="333333"/>
          <w:sz w:val="28"/>
          <w:szCs w:val="28"/>
        </w:rPr>
        <w:t xml:space="preserve">4.2  VARIMA extension for multisite portfolios</w:t>
      </w:r>
    </w:p>
    <w:p>
      <w:pPr>
        <w:spacing w:before="0" w:after="160" w:line="276"/>
        <w:jc w:val="both"/>
      </w:pPr>
      <w:r>
        <w:rPr>
          <w:rFonts w:ascii="Georgia" w:cs="Georgia" w:eastAsia="Georgia" w:hAnsi="Georgia"/>
          <w:b w:val="false"/>
          <w:bCs w:val="false"/>
          <w:i w:val="false"/>
          <w:iCs w:val="false"/>
          <w:color w:val="000000"/>
          <w:sz w:val="24"/>
          <w:szCs w:val="24"/>
        </w:rPr>
        <w:t xml:space="preserve">For an n-element portfolio with share vector ρ(t) = (ρ₁(t), ..., ρₙ(t))ᵀ subject to ∑ᵢ ρᵢ(t) = 1 ∀t, the VARIMA(p, d, q) model is: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Φ_p(B) ∇ᵈ ρ(t) = Θ_q(B) ε(t),    ε(t) ~ N(0, Σ)</w:t>
      </w:r>
    </w:p>
    <w:p>
      <w:pPr>
        <w:spacing w:before="0" w:after="160" w:line="276"/>
        <w:jc w:val="both"/>
      </w:pPr>
      <w:r>
        <w:rPr>
          <w:rFonts w:ascii="Georgia" w:cs="Georgia" w:eastAsia="Georgia" w:hAnsi="Georgia"/>
          <w:b w:val="false"/>
          <w:bCs w:val="false"/>
          <w:i w:val="false"/>
          <w:iCs w:val="false"/>
          <w:color w:val="000000"/>
          <w:sz w:val="24"/>
          <w:szCs w:val="24"/>
        </w:rPr>
        <w:t xml:space="preserve">where Σ is the n×n covariance matrix of innovations, subject to the unity constraint ∑ᵢ εᵢ(t) = 0 ∀t (since the portfolio shares must sum to 1 at every time step, the innovations must sum to zero).</w:t>
      </w:r>
    </w:p>
    <w:p>
      <w:pPr>
        <w:spacing w:before="0" w:after="160" w:line="276"/>
        <w:jc w:val="both"/>
      </w:pPr>
      <w:r>
        <w:rPr>
          <w:rFonts w:ascii="Georgia" w:cs="Georgia" w:eastAsia="Georgia" w:hAnsi="Georgia"/>
          <w:b w:val="false"/>
          <w:bCs w:val="false"/>
          <w:i w:val="false"/>
          <w:iCs w:val="false"/>
          <w:color w:val="000000"/>
          <w:sz w:val="24"/>
          <w:szCs w:val="24"/>
        </w:rPr>
        <w:t xml:space="preserve">This constraint reduces the effective dimension of the system from n to n-1: the share of the nth element is determined by the shares of the first n-1 elements. The reduced-form VARIMA operates on (ρ₁(t), ..., ρₙ₋₁(t))ᵀ and recovers ρₙ(t) = 1 - ∑ᵢ₌₁ⁿ⁻¹ ρᵢ(t).</w:t>
      </w:r>
    </w:p>
    <w:p>
      <w:pPr>
        <w:spacing w:before="0" w:after="160" w:line="276"/>
        <w:jc w:val="both"/>
      </w:pPr>
      <w:r>
        <w:rPr>
          <w:rFonts w:ascii="Georgia" w:cs="Georgia" w:eastAsia="Georgia" w:hAnsi="Georgia"/>
          <w:b w:val="false"/>
          <w:bCs w:val="false"/>
          <w:i w:val="false"/>
          <w:iCs w:val="false"/>
          <w:color w:val="000000"/>
          <w:sz w:val="24"/>
          <w:szCs w:val="24"/>
        </w:rPr>
        <w:t xml:space="preserve">For a two-site portfolio (n=2), the covariance structure reduces to a scalar: Cov(ρ₁, ρ₂) = -Var(ρ₁). In the Neretva/Kopački Rit paired analysis: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Σ = [Var(ρ₁)        Cov(ρ₁,ρ₂)] = [0.016    -0.004]</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    [Cov(ρ₁,ρ₂)     Var(ρ₂)   ]   [-0.004    0.016]</w:t>
      </w:r>
    </w:p>
    <w:p>
      <w:pPr>
        <w:spacing w:before="0" w:after="160" w:line="276"/>
        <w:jc w:val="both"/>
      </w:pPr>
      <w:r>
        <w:rPr>
          <w:rFonts w:ascii="Georgia" w:cs="Georgia" w:eastAsia="Georgia" w:hAnsi="Georgia"/>
          <w:b w:val="false"/>
          <w:bCs w:val="false"/>
          <w:i w:val="false"/>
          <w:iCs w:val="false"/>
          <w:color w:val="000000"/>
          <w:sz w:val="24"/>
          <w:szCs w:val="24"/>
        </w:rPr>
        <w:t xml:space="preserve">The negative off-diagonal confirms that drift in one site is offset by counter-drift in the other — the unity constraint forces compensatory movement.</w:t>
      </w:r>
    </w:p>
    <w:p>
      <w:pPr>
        <w:pStyle w:val="Heading2"/>
        <w:spacing w:before="320" w:after="140"/>
      </w:pPr>
      <w:r>
        <w:rPr>
          <w:rFonts w:ascii="Arial" w:cs="Arial" w:eastAsia="Arial" w:hAnsi="Arial"/>
          <w:b/>
          <w:bCs/>
          <w:i w:val="false"/>
          <w:iCs w:val="false"/>
          <w:color w:val="333333"/>
          <w:sz w:val="28"/>
          <w:szCs w:val="28"/>
        </w:rPr>
        <w:t xml:space="preserve">4.3  Drift classification using the portfolio change log</w:t>
      </w:r>
    </w:p>
    <w:p>
      <w:pPr>
        <w:spacing w:before="0" w:after="160" w:line="276"/>
        <w:jc w:val="both"/>
      </w:pPr>
      <w:r>
        <w:rPr>
          <w:rFonts w:ascii="Georgia" w:cs="Georgia" w:eastAsia="Georgia" w:hAnsi="Georgia"/>
          <w:b w:val="false"/>
          <w:bCs w:val="false"/>
          <w:i w:val="false"/>
          <w:iCs w:val="false"/>
          <w:color w:val="000000"/>
          <w:sz w:val="24"/>
          <w:szCs w:val="24"/>
        </w:rPr>
        <w:t xml:space="preserve">Define intentional drift Δᵢᴵ(t) as a share change traceable to a recorded operator decision, and silent drift Δᵢˢ(t) as a share change with no recorded decision. The total drift is: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Δᵢ(t) = ρᵢ(t) - ρᵢ(t-1) = Δᵢᴵ(t) + Δᵢˢ(t)</w:t>
      </w:r>
    </w:p>
    <w:p>
      <w:pPr>
        <w:spacing w:before="0" w:after="160" w:line="276"/>
        <w:jc w:val="both"/>
      </w:pPr>
      <w:r>
        <w:rPr>
          <w:rFonts w:ascii="Georgia" w:cs="Georgia" w:eastAsia="Georgia" w:hAnsi="Georgia"/>
          <w:b w:val="false"/>
          <w:bCs w:val="false"/>
          <w:i w:val="false"/>
          <w:iCs w:val="false"/>
          <w:color w:val="000000"/>
          <w:sz w:val="24"/>
          <w:szCs w:val="24"/>
        </w:rPr>
        <w:t xml:space="preserve">The portfolio change log provides Δᵢᴵ(t) for each element at each cycle. Silent drift is the residual:</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Δᵢˢ(t) = Δᵢ(t) - Δᵢᴵ(t)</w:t>
      </w:r>
    </w:p>
    <w:p>
      <w:pPr>
        <w:spacing w:before="0" w:after="160" w:line="276"/>
        <w:jc w:val="both"/>
      </w:pPr>
      <w:r>
        <w:rPr>
          <w:rFonts w:ascii="Georgia" w:cs="Georgia" w:eastAsia="Georgia" w:hAnsi="Georgia"/>
          <w:b w:val="false"/>
          <w:bCs w:val="false"/>
          <w:i w:val="false"/>
          <w:iCs w:val="false"/>
          <w:color w:val="000000"/>
          <w:sz w:val="24"/>
          <w:szCs w:val="24"/>
        </w:rPr>
        <w:t xml:space="preserve">The VARIMA model is fitted to Δᵢˢ(t) — the silent drift time series — not to the total drift. This separates the governance signal (intentional decisions) from the noise signal (administrative gravity, political drift). The ARIMA forecast of Δᵢˢ(t+h) is a forecast of future silent drift absent any corrective decision.</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5.  Von Neumann Entropy and Portfolio State Uncertainty</w:t>
      </w:r>
    </w:p>
    <w:p>
      <w:pPr>
        <w:pStyle w:val="Heading2"/>
        <w:spacing w:before="320" w:after="140"/>
      </w:pPr>
      <w:r>
        <w:rPr>
          <w:rFonts w:ascii="Arial" w:cs="Arial" w:eastAsia="Arial" w:hAnsi="Arial"/>
          <w:b/>
          <w:bCs/>
          <w:i w:val="false"/>
          <w:iCs w:val="false"/>
          <w:color w:val="333333"/>
          <w:sz w:val="28"/>
          <w:szCs w:val="28"/>
        </w:rPr>
        <w:t xml:space="preserve">5.1  Portfolio state as a density matrix</w:t>
      </w:r>
    </w:p>
    <w:p>
      <w:pPr>
        <w:spacing w:before="0" w:after="160" w:line="276"/>
        <w:jc w:val="both"/>
      </w:pPr>
      <w:r>
        <w:rPr>
          <w:rFonts w:ascii="Georgia" w:cs="Georgia" w:eastAsia="Georgia" w:hAnsi="Georgia"/>
          <w:b w:val="false"/>
          <w:bCs w:val="false"/>
          <w:i w:val="false"/>
          <w:iCs w:val="false"/>
          <w:color w:val="000000"/>
          <w:sz w:val="24"/>
          <w:szCs w:val="24"/>
        </w:rPr>
        <w:t xml:space="preserve">The portfolio share vector ρ = (ρ₁, ..., ρₙ) is a probability distribution over n elements. It can be represented as a diagonal density matrix:</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 = diag(ρ₁, ρ₂, ..., ρₙ)</w:t>
      </w:r>
    </w:p>
    <w:p>
      <w:pPr>
        <w:spacing w:before="0" w:after="160" w:line="276"/>
        <w:jc w:val="both"/>
      </w:pPr>
      <w:r>
        <w:rPr>
          <w:rFonts w:ascii="Georgia" w:cs="Georgia" w:eastAsia="Georgia" w:hAnsi="Georgia"/>
          <w:b w:val="false"/>
          <w:bCs w:val="false"/>
          <w:i w:val="false"/>
          <w:iCs w:val="false"/>
          <w:color w:val="000000"/>
          <w:sz w:val="24"/>
          <w:szCs w:val="24"/>
        </w:rPr>
        <w:t xml:space="preserve">The Von Neumann entropy of this state is: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S(ρ̂) = -Tr(ρ̂ ln ρ̂) = -∑ᵢ ρᵢ ln ρᵢ</w:t>
      </w:r>
    </w:p>
    <w:p>
      <w:pPr>
        <w:spacing w:before="0" w:after="160" w:line="276"/>
        <w:jc w:val="both"/>
      </w:pPr>
      <w:r>
        <w:rPr>
          <w:rFonts w:ascii="Georgia" w:cs="Georgia" w:eastAsia="Georgia" w:hAnsi="Georgia"/>
          <w:b w:val="false"/>
          <w:bCs w:val="false"/>
          <w:i w:val="false"/>
          <w:iCs w:val="false"/>
          <w:color w:val="000000"/>
          <w:sz w:val="24"/>
          <w:szCs w:val="24"/>
        </w:rPr>
        <w:t xml:space="preserve">This is the Shannon entropy of the portfolio share distribution. It measures the effective diversity of the portfolio: S = 0 when all attention is concentrated in one element (complete dominance), and S = ln n when all elements have equal share (maximum diversity).</w:t>
      </w:r>
    </w:p>
    <w:p>
      <w:pPr>
        <w:pStyle w:val="Heading2"/>
        <w:spacing w:before="320" w:after="140"/>
      </w:pPr>
      <w:r>
        <w:rPr>
          <w:rFonts w:ascii="Arial" w:cs="Arial" w:eastAsia="Arial" w:hAnsi="Arial"/>
          <w:b/>
          <w:bCs/>
          <w:i w:val="false"/>
          <w:iCs w:val="false"/>
          <w:color w:val="333333"/>
          <w:sz w:val="28"/>
          <w:szCs w:val="28"/>
        </w:rPr>
        <w:t xml:space="preserve">5.2  Entropy bounds under the unity constraint</w:t>
      </w:r>
    </w:p>
    <w:p>
      <w:pPr>
        <w:spacing w:before="200" w:after="60" w:line="276"/>
        <w:jc w:val="both"/>
      </w:pPr>
      <w:r>
        <w:rPr>
          <w:rFonts w:ascii="Arial" w:cs="Arial" w:eastAsia="Arial" w:hAnsi="Arial"/>
          <w:b/>
          <w:bCs/>
          <w:i w:val="false"/>
          <w:iCs w:val="false"/>
          <w:color w:val="000000"/>
          <w:sz w:val="24"/>
          <w:szCs w:val="24"/>
        </w:rPr>
        <w:t xml:space="preserve">Theorem 5.1  </w:t>
      </w:r>
      <w:r>
        <w:rPr>
          <w:rFonts w:ascii="Georgia" w:cs="Georgia" w:eastAsia="Georgia" w:hAnsi="Georgia"/>
          <w:b w:val="false"/>
          <w:bCs w:val="false"/>
          <w:i/>
          <w:iCs/>
          <w:color w:val="000000"/>
          <w:sz w:val="24"/>
          <w:szCs w:val="24"/>
        </w:rPr>
        <w:t xml:space="preserve">(Entropy bounds).</w:t>
      </w:r>
    </w:p>
    <w:p>
      <w:pPr>
        <w:spacing w:before="0" w:after="60" w:line="276"/>
        <w:ind w:left="720" w:right="720"/>
        <w:jc w:val="both"/>
      </w:pPr>
      <w:r>
        <w:rPr>
          <w:rFonts w:ascii="Georgia" w:cs="Georgia" w:eastAsia="Georgia" w:hAnsi="Georgia"/>
          <w:b w:val="false"/>
          <w:bCs w:val="false"/>
          <w:i/>
          <w:iCs/>
          <w:color w:val="000000"/>
          <w:sz w:val="24"/>
          <w:szCs w:val="24"/>
        </w:rPr>
        <w:t xml:space="preserve">For a portfolio with n elements subject to the unity constraint, 0 ≤ S(ρ̂) ≤ ln n, with S = 0 if and only if ρᵢ = 1 for some i (complete concentration), and S = ln n if and only if ρᵢ = 1/n ∀i (uniform distribution).</w:t>
      </w:r>
    </w:p>
    <w:p>
      <w:pPr>
        <w:spacing w:before="60" w:after="40" w:line="276"/>
        <w:jc w:val="both"/>
      </w:pPr>
      <w:r>
        <w:rPr>
          <w:rFonts w:ascii="Georgia" w:cs="Georgia" w:eastAsia="Georgia" w:hAnsi="Georgia"/>
          <w:b/>
          <w:bCs/>
          <w:i w:val="false"/>
          <w:iCs w:val="false"/>
          <w:color w:val="000000"/>
          <w:sz w:val="24"/>
          <w:szCs w:val="24"/>
        </w:rPr>
        <w:t xml:space="preserve">Proof.</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Lower bound: S ≥ 0 follows from ρᵢ ∈ (0,1] ⟹ ln ρᵢ ≤ 0 ⟹ -ρᵢ ln ρᵢ ≥ 0. Equality when ρᵢ → 1 for some i.</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Upper bound: by the concavity of -x ln x and Jensen's inequality,</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S(ρ̂) = ∑ᵢ (-ρᵢ ln ρᵢ) ≤ n · (-(1/n) ln(1/n)) = ln n.</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Equality holds when ρᵢ = 1/n ∀i. ✓</w:t>
      </w:r>
    </w:p>
    <w:p>
      <w:pPr>
        <w:spacing w:before="0" w:after="160" w:line="276"/>
        <w:jc w:val="right"/>
      </w:pPr>
      <w:r>
        <w:rPr>
          <w:rFonts w:ascii="Georgia" w:cs="Georgia" w:eastAsia="Georgia" w:hAnsi="Georgia"/>
          <w:b/>
          <w:bCs/>
          <w:i w:val="false"/>
          <w:iCs w:val="false"/>
          <w:color w:val="000000"/>
          <w:sz w:val="24"/>
          <w:szCs w:val="24"/>
        </w:rPr>
        <w:t xml:space="preserve">□</w:t>
      </w:r>
    </w:p>
    <w:p>
      <w:pPr>
        <w:pStyle w:val="Heading2"/>
        <w:spacing w:before="320" w:after="140"/>
      </w:pPr>
      <w:r>
        <w:rPr>
          <w:rFonts w:ascii="Arial" w:cs="Arial" w:eastAsia="Arial" w:hAnsi="Arial"/>
          <w:b/>
          <w:bCs/>
          <w:i w:val="false"/>
          <w:iCs w:val="false"/>
          <w:color w:val="333333"/>
          <w:sz w:val="28"/>
          <w:szCs w:val="28"/>
        </w:rPr>
        <w:t xml:space="preserve">5.3  Entropy change under drift</w:t>
      </w:r>
    </w:p>
    <w:p>
      <w:pPr>
        <w:spacing w:before="0" w:after="160" w:line="276"/>
        <w:jc w:val="both"/>
      </w:pPr>
      <w:r>
        <w:rPr>
          <w:rFonts w:ascii="Georgia" w:cs="Georgia" w:eastAsia="Georgia" w:hAnsi="Georgia"/>
          <w:b w:val="false"/>
          <w:bCs w:val="false"/>
          <w:i w:val="false"/>
          <w:iCs w:val="false"/>
          <w:color w:val="000000"/>
          <w:sz w:val="24"/>
          <w:szCs w:val="24"/>
        </w:rPr>
        <w:t xml:space="preserve">The change in portfolio entropy over one reporting cycle measures the direction of drift:</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ΔS = S(ρ̂(t)) - S(ρ̂(t-1)) = -∑ᵢ [ρᵢ(t) ln ρᵢ(t) - ρᵢ(t-1) ln ρᵢ(t-1)]</w:t>
      </w:r>
    </w:p>
    <w:p>
      <w:pPr>
        <w:spacing w:before="0" w:after="160" w:line="276"/>
        <w:jc w:val="both"/>
      </w:pPr>
      <w:r>
        <w:rPr>
          <w:rFonts w:ascii="Georgia" w:cs="Georgia" w:eastAsia="Georgia" w:hAnsi="Georgia"/>
          <w:b w:val="false"/>
          <w:bCs w:val="false"/>
          <w:i w:val="false"/>
          <w:iCs w:val="false"/>
          <w:color w:val="000000"/>
          <w:sz w:val="24"/>
          <w:szCs w:val="24"/>
        </w:rPr>
        <w:t xml:space="preserve">ΔS &gt; 0 indicates fragmentation drift — the portfolio is becoming more diffuse. ΔS &lt; 0 indicates concentration drift — the portfolio is becoming more dominated by a small number of elements. The unity constraint ensures that ΔS = 0 in a perfectly stable portfolio.</w:t>
      </w:r>
    </w:p>
    <w:p>
      <w:pPr>
        <w:spacing w:before="0" w:after="160" w:line="276"/>
        <w:jc w:val="both"/>
      </w:pPr>
      <w:r>
        <w:rPr>
          <w:rFonts w:ascii="Georgia" w:cs="Georgia" w:eastAsia="Georgia" w:hAnsi="Georgia"/>
          <w:b w:val="false"/>
          <w:bCs w:val="false"/>
          <w:i w:val="false"/>
          <w:iCs w:val="false"/>
          <w:color w:val="000000"/>
          <w:sz w:val="24"/>
          <w:szCs w:val="24"/>
        </w:rPr>
        <w:t xml:space="preserve">The entropy bounds provide a natural normalization for the drift signal:</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ΔS_normalized = ΔS / ln n  ∈  [-1, 1]</w:t>
      </w:r>
    </w:p>
    <w:p>
      <w:pPr>
        <w:spacing w:before="0" w:after="160" w:line="276"/>
        <w:jc w:val="both"/>
      </w:pPr>
      <w:r>
        <w:rPr>
          <w:rFonts w:ascii="Georgia" w:cs="Georgia" w:eastAsia="Georgia" w:hAnsi="Georgia"/>
          <w:b w:val="false"/>
          <w:bCs w:val="false"/>
          <w:i w:val="false"/>
          <w:iCs w:val="false"/>
          <w:color w:val="000000"/>
          <w:sz w:val="24"/>
          <w:szCs w:val="24"/>
        </w:rPr>
        <w:t xml:space="preserve">This normalized drift signal is domain-invariant and scale-invariant — it measures the fraction of maximum possible entropy change that occurred in the current cycle.</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6.  System Q — The Phase Problem</w:t>
      </w:r>
    </w:p>
    <w:p>
      <w:pPr>
        <w:pStyle w:val="Heading2"/>
        <w:spacing w:before="320" w:after="140"/>
      </w:pPr>
      <w:r>
        <w:rPr>
          <w:rFonts w:ascii="Arial" w:cs="Arial" w:eastAsia="Arial" w:hAnsi="Arial"/>
          <w:b/>
          <w:bCs/>
          <w:i w:val="false"/>
          <w:iCs w:val="false"/>
          <w:color w:val="333333"/>
          <w:sz w:val="28"/>
          <w:szCs w:val="28"/>
        </w:rPr>
        <w:t xml:space="preserve">6.1  Q-factor formalism</w:t>
      </w:r>
    </w:p>
    <w:p>
      <w:pPr>
        <w:spacing w:before="0" w:after="160" w:line="276"/>
        <w:jc w:val="both"/>
      </w:pPr>
      <w:r>
        <w:rPr>
          <w:rFonts w:ascii="Georgia" w:cs="Georgia" w:eastAsia="Georgia" w:hAnsi="Georgia"/>
          <w:b w:val="false"/>
          <w:bCs w:val="false"/>
          <w:i w:val="false"/>
          <w:iCs w:val="false"/>
          <w:color w:val="000000"/>
          <w:sz w:val="24"/>
          <w:szCs w:val="24"/>
        </w:rPr>
        <w:t xml:space="preserve">The Q-factor of element i in a portfolio is defined as the ratio of its characteristic contribution frequency to its contribution bandwidth:</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Qᵢ = fᵢ / Δfᵢ</w:t>
      </w:r>
    </w:p>
    <w:p>
      <w:pPr>
        <w:spacing w:before="0" w:after="160" w:line="276"/>
        <w:jc w:val="both"/>
      </w:pPr>
      <w:r>
        <w:rPr>
          <w:rFonts w:ascii="Georgia" w:cs="Georgia" w:eastAsia="Georgia" w:hAnsi="Georgia"/>
          <w:b w:val="false"/>
          <w:bCs w:val="false"/>
          <w:i w:val="false"/>
          <w:iCs w:val="false"/>
          <w:color w:val="000000"/>
          <w:sz w:val="24"/>
          <w:szCs w:val="24"/>
        </w:rPr>
        <w:t xml:space="preserve">where fᵢ is the element's characteristic frequency (how often it contributes significantly to the portfolio) and Δfᵢ is its bandwidth (the range of frequencies over which it contributes more than 1/√2 of its peak value).</w:t>
      </w:r>
    </w:p>
    <w:p>
      <w:pPr>
        <w:spacing w:before="0" w:after="160" w:line="276"/>
        <w:jc w:val="both"/>
      </w:pPr>
      <w:r>
        <w:rPr>
          <w:rFonts w:ascii="Georgia" w:cs="Georgia" w:eastAsia="Georgia" w:hAnsi="Georgia"/>
          <w:b w:val="false"/>
          <w:bCs w:val="false"/>
          <w:i w:val="false"/>
          <w:iCs w:val="false"/>
          <w:color w:val="000000"/>
          <w:sz w:val="24"/>
          <w:szCs w:val="24"/>
        </w:rPr>
        <w:t xml:space="preserve">In a governance portfolio, fᵢ maps to the reciprocal of the element's characteristic contribution period (annual, seasonal, multi-year), and Δfᵢ maps to the range of time over which the element's contribution is above the significance threshold.</w:t>
      </w:r>
    </w:p>
    <w:p>
      <w:pPr>
        <w:spacing w:before="200" w:after="60" w:line="276"/>
        <w:jc w:val="both"/>
      </w:pPr>
      <w:r>
        <w:rPr>
          <w:rFonts w:ascii="Arial" w:cs="Arial" w:eastAsia="Arial" w:hAnsi="Arial"/>
          <w:b/>
          <w:bCs/>
          <w:i w:val="false"/>
          <w:iCs w:val="false"/>
          <w:color w:val="000000"/>
          <w:sz w:val="24"/>
          <w:szCs w:val="24"/>
        </w:rPr>
        <w:t xml:space="preserve">Theorem 6.1 (Proposition 7.3)  </w:t>
      </w:r>
      <w:r>
        <w:rPr>
          <w:rFonts w:ascii="Georgia" w:cs="Georgia" w:eastAsia="Georgia" w:hAnsi="Georgia"/>
          <w:b w:val="false"/>
          <w:bCs w:val="false"/>
          <w:i/>
          <w:iCs/>
          <w:color w:val="000000"/>
          <w:sz w:val="24"/>
          <w:szCs w:val="24"/>
        </w:rPr>
        <w:t xml:space="preserve">(Q-sensitive cross-cycle observation).</w:t>
      </w:r>
    </w:p>
    <w:p>
      <w:pPr>
        <w:spacing w:before="0" w:after="60" w:line="276"/>
        <w:ind w:left="720" w:right="720"/>
        <w:jc w:val="both"/>
      </w:pPr>
      <w:r>
        <w:rPr>
          <w:rFonts w:ascii="Georgia" w:cs="Georgia" w:eastAsia="Georgia" w:hAnsi="Georgia"/>
          <w:b w:val="false"/>
          <w:bCs w:val="false"/>
          <w:i/>
          <w:iCs/>
          <w:color w:val="000000"/>
          <w:sz w:val="24"/>
          <w:szCs w:val="24"/>
        </w:rPr>
        <w:t xml:space="preserve">For a portfolio containing elements with Q-factors spanning at least one order of magnitude (max(Qᵢ)/min(Qᵢ) ≥ 10), a single-cycle observation T_obs &lt; 1/f_min systematically underestimates the contribution of elements with f ≤ f_obs = 1/T_obs by a factor of at least Q_min / Q_max.</w:t>
      </w:r>
    </w:p>
    <w:p>
      <w:pPr>
        <w:spacing w:before="60" w:after="40" w:line="276"/>
        <w:jc w:val="both"/>
      </w:pPr>
      <w:r>
        <w:rPr>
          <w:rFonts w:ascii="Georgia" w:cs="Georgia" w:eastAsia="Georgia" w:hAnsi="Georgia"/>
          <w:b/>
          <w:bCs/>
          <w:i w:val="false"/>
          <w:iCs w:val="false"/>
          <w:color w:val="000000"/>
          <w:sz w:val="24"/>
          <w:szCs w:val="24"/>
        </w:rPr>
        <w:t xml:space="preserve">Proof.</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Let element k have characteristic frequency fₖ and let T_obs &lt; 1/fₖ (observation window less than one full period).</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time-averaged contribution of element k over T_obs is:</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⟨ρₖ⟩_{T_obs} = (1/T_obs) ∫₀^{T_obs} ρₖ(t) dt</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For a sinusoidal contribution model ρₖ(t) = ρ̄ₖ(1 + Aₖ sin(2πfₖt)), where ρ̄ₖ is the mean share and Aₖ is the amplitude:</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⟨ρₖ⟩_{T_obs} = ρ̄ₖ + ρ̄ₖAₖ(1 - cos(2πfₖT_obs))/(2πfₖT_obs)</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For T_obs &lt;&lt; 1/fₖ, the cosine term → 1 and the correction term → 0.</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If T_obs corresponds to the peak of a high-frequency element (fₕ &gt;&gt; fₖ), the observation captures ρₕ at peak while capturing ρₖ at a phase that may be near minimum.</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ratio of observed to true mean: ⟨ρₖ⟩/ρ̄ₖ → (1 - Aₖ) in the worst case (trough observation).</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For Aₖ approaching 1 (high-Q element with sharp peak), this ratio → 0.</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underestimation factor is at minimum Aₖ_min/Aₖ_max ≥ Q_min/Q_max by the Q-bandwidth relationship. ✓</w:t>
      </w:r>
    </w:p>
    <w:p>
      <w:pPr>
        <w:spacing w:before="0" w:after="160" w:line="276"/>
        <w:jc w:val="right"/>
      </w:pPr>
      <w:r>
        <w:rPr>
          <w:rFonts w:ascii="Georgia" w:cs="Georgia" w:eastAsia="Georgia" w:hAnsi="Georgia"/>
          <w:b/>
          <w:bCs/>
          <w:i w:val="false"/>
          <w:iCs w:val="false"/>
          <w:color w:val="000000"/>
          <w:sz w:val="24"/>
          <w:szCs w:val="24"/>
        </w:rPr>
        <w:t xml:space="preserve">□</w:t>
      </w:r>
    </w:p>
    <w:p>
      <w:pPr>
        <w:pStyle w:val="Heading2"/>
        <w:spacing w:before="320" w:after="140"/>
      </w:pPr>
      <w:r>
        <w:rPr>
          <w:rFonts w:ascii="Arial" w:cs="Arial" w:eastAsia="Arial" w:hAnsi="Arial"/>
          <w:b/>
          <w:bCs/>
          <w:i w:val="false"/>
          <w:iCs w:val="false"/>
          <w:color w:val="333333"/>
          <w:sz w:val="28"/>
          <w:szCs w:val="28"/>
        </w:rPr>
        <w:t xml:space="preserve">6.2  The habitat irreversibility corollary</w:t>
      </w:r>
    </w:p>
    <w:p>
      <w:pPr>
        <w:spacing w:before="200" w:after="60" w:line="276"/>
        <w:jc w:val="both"/>
      </w:pPr>
      <w:r>
        <w:rPr>
          <w:rFonts w:ascii="Arial" w:cs="Arial" w:eastAsia="Arial" w:hAnsi="Arial"/>
          <w:b/>
          <w:bCs/>
          <w:i w:val="false"/>
          <w:iCs w:val="false"/>
          <w:color w:val="000000"/>
          <w:sz w:val="24"/>
          <w:szCs w:val="24"/>
        </w:rPr>
        <w:t xml:space="preserve">Corollary 6.2  </w:t>
      </w:r>
      <w:r>
        <w:rPr>
          <w:rFonts w:ascii="Georgia" w:cs="Georgia" w:eastAsia="Georgia" w:hAnsi="Georgia"/>
          <w:b w:val="false"/>
          <w:bCs w:val="false"/>
          <w:i/>
          <w:iCs/>
          <w:color w:val="000000"/>
          <w:sz w:val="24"/>
          <w:szCs w:val="24"/>
        </w:rPr>
        <w:t xml:space="preserve">(Habitat irreversibility).</w:t>
      </w:r>
    </w:p>
    <w:p>
      <w:pPr>
        <w:spacing w:before="0" w:after="60" w:line="276"/>
        <w:ind w:left="720" w:right="720"/>
        <w:jc w:val="both"/>
      </w:pPr>
      <w:r>
        <w:rPr>
          <w:rFonts w:ascii="Georgia" w:cs="Georgia" w:eastAsia="Georgia" w:hAnsi="Georgia"/>
          <w:b w:val="false"/>
          <w:bCs w:val="false"/>
          <w:i/>
          <w:iCs/>
          <w:color w:val="000000"/>
          <w:sz w:val="24"/>
          <w:szCs w:val="24"/>
        </w:rPr>
        <w:t xml:space="preserve">Let element k be a high-Q governance element removed from the portfolio at time t* based on a snapshot observation at a trough phase. The portfolio entropy loss from this removal is ΔS_k = ρₖ ln(1/ρₖ). For high-Q elements with characteristic periods T_k &gt;&gt; T_obs, the expected time to detect the removal's effect on the system is T_k / 2, which may exceed the governance horizon.</w:t>
      </w:r>
    </w:p>
    <w:p>
      <w:pPr>
        <w:spacing w:before="0" w:after="160" w:line="276"/>
        <w:jc w:val="both"/>
      </w:pPr>
      <w:r>
        <w:rPr>
          <w:rFonts w:ascii="Georgia" w:cs="Georgia" w:eastAsia="Georgia" w:hAnsi="Georgia"/>
          <w:b w:val="false"/>
          <w:bCs w:val="false"/>
          <w:i w:val="false"/>
          <w:iCs w:val="false"/>
          <w:color w:val="000000"/>
          <w:sz w:val="24"/>
          <w:szCs w:val="24"/>
        </w:rPr>
        <w:t xml:space="preserve">The corollary formalizes the habitat analogy: loss of a high-Q element is not detectable as a governance error until at least half its characteristic period has elapsed. By that time, the element's function — migratory waypoint, spawning ground, endemic species refuge — cannot be restored on the same timescale. The loss is structurally irreversible within any practical governance horizon.</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7.  The Ostrom-HUF Theorem Set</w:t>
      </w:r>
    </w:p>
    <w:p>
      <w:pPr>
        <w:pStyle w:val="Heading2"/>
        <w:spacing w:before="320" w:after="140"/>
      </w:pPr>
      <w:r>
        <w:rPr>
          <w:rFonts w:ascii="Arial" w:cs="Arial" w:eastAsia="Arial" w:hAnsi="Arial"/>
          <w:b/>
          <w:bCs/>
          <w:i w:val="false"/>
          <w:iCs w:val="false"/>
          <w:color w:val="333333"/>
          <w:sz w:val="28"/>
          <w:szCs w:val="28"/>
        </w:rPr>
        <w:t xml:space="preserve">7.1  Mapping Ostrom's design principles to HUF constructs</w:t>
      </w:r>
    </w:p>
    <w:p>
      <w:pPr>
        <w:spacing w:before="0" w:after="160" w:line="276"/>
        <w:jc w:val="both"/>
      </w:pPr>
      <w:r>
        <w:rPr>
          <w:rFonts w:ascii="Georgia" w:cs="Georgia" w:eastAsia="Georgia" w:hAnsi="Georgia"/>
          <w:b w:val="false"/>
          <w:bCs w:val="false"/>
          <w:i w:val="false"/>
          <w:iCs w:val="false"/>
          <w:color w:val="000000"/>
          <w:sz w:val="24"/>
          <w:szCs w:val="24"/>
        </w:rPr>
        <w:t xml:space="preserve">Ostrom's eight institutional design principles for long-enduring common pool resource governance are each formally satisfiable by HUF constructs. The mapping is as follows:</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120" w:after="80" w:line="276"/>
        <w:ind w:left="720" w:right="720"/>
        <w:jc w:val="both"/>
      </w:pPr>
      <w:r>
        <w:rPr>
          <w:rFonts w:ascii="Arial" w:cs="Arial" w:eastAsia="Arial" w:hAnsi="Arial"/>
          <w:b/>
          <w:bCs/>
          <w:i w:val="false"/>
          <w:iCs w:val="false"/>
          <w:color w:val="000000"/>
          <w:sz w:val="24"/>
          <w:szCs w:val="24"/>
        </w:rPr>
        <w:t xml:space="preserve">DP1 (Boundary definition).  </w:t>
      </w:r>
      <w:r>
        <w:rPr>
          <w:rFonts w:ascii="Georgia" w:cs="Georgia" w:eastAsia="Georgia" w:hAnsi="Georgia"/>
          <w:b w:val="false"/>
          <w:bCs w:val="false"/>
          <w:i w:val="false"/>
          <w:iCs w:val="false"/>
          <w:color w:val="000000"/>
          <w:sz w:val="24"/>
          <w:szCs w:val="24"/>
        </w:rPr>
        <w:t xml:space="preserve">HUF Axiom: the portfolio is a closed system under the unity constraint. The boundary is defined by ∑ᵢ ρᵢ = 1. No element enters or exits without a recorded decision in the portfolio change log.</w:t>
      </w:r>
    </w:p>
    <w:p>
      <w:pPr>
        <w:spacing w:before="120" w:after="80" w:line="276"/>
        <w:ind w:left="720" w:right="720"/>
        <w:jc w:val="both"/>
      </w:pPr>
      <w:r>
        <w:rPr>
          <w:rFonts w:ascii="Arial" w:cs="Arial" w:eastAsia="Arial" w:hAnsi="Arial"/>
          <w:b/>
          <w:bCs/>
          <w:i w:val="false"/>
          <w:iCs w:val="false"/>
          <w:color w:val="000000"/>
          <w:sz w:val="24"/>
          <w:szCs w:val="24"/>
        </w:rPr>
        <w:t xml:space="preserve">DP2 (Proportionality).  </w:t>
      </w:r>
      <w:r>
        <w:rPr>
          <w:rFonts w:ascii="Georgia" w:cs="Georgia" w:eastAsia="Georgia" w:hAnsi="Georgia"/>
          <w:b w:val="false"/>
          <w:bCs w:val="false"/>
          <w:i w:val="false"/>
          <w:iCs w:val="false"/>
          <w:color w:val="000000"/>
          <w:sz w:val="24"/>
          <w:szCs w:val="24"/>
        </w:rPr>
        <w:t xml:space="preserve">HUF Lemma: the portfolio share table provides an explicit proportionality record at each cycle. Shares are proportional to declared mass mᵢ, which is determined by the operator's stated priorities.</w:t>
      </w:r>
    </w:p>
    <w:p>
      <w:pPr>
        <w:spacing w:before="120" w:after="80" w:line="276"/>
        <w:ind w:left="720" w:right="720"/>
        <w:jc w:val="both"/>
      </w:pPr>
      <w:r>
        <w:rPr>
          <w:rFonts w:ascii="Arial" w:cs="Arial" w:eastAsia="Arial" w:hAnsi="Arial"/>
          <w:b/>
          <w:bCs/>
          <w:i w:val="false"/>
          <w:iCs w:val="false"/>
          <w:color w:val="000000"/>
          <w:sz w:val="24"/>
          <w:szCs w:val="24"/>
        </w:rPr>
        <w:t xml:space="preserve">DP3 (Collective choice).  </w:t>
      </w:r>
      <w:r>
        <w:rPr>
          <w:rFonts w:ascii="Georgia" w:cs="Georgia" w:eastAsia="Georgia" w:hAnsi="Georgia"/>
          <w:b w:val="false"/>
          <w:bCs w:val="false"/>
          <w:i w:val="false"/>
          <w:iCs w:val="false"/>
          <w:color w:val="000000"/>
          <w:sz w:val="24"/>
          <w:szCs w:val="24"/>
        </w:rPr>
        <w:t xml:space="preserve">HUF Construct: the trace report records which governance actors declared which priorities. The operator weight system documents whose decisions shaped the current allocation. Collective choice is made legible rather than assumed.</w:t>
      </w:r>
    </w:p>
    <w:p>
      <w:pPr>
        <w:spacing w:before="120" w:after="80" w:line="276"/>
        <w:ind w:left="720" w:right="720"/>
        <w:jc w:val="both"/>
      </w:pPr>
      <w:r>
        <w:rPr>
          <w:rFonts w:ascii="Arial" w:cs="Arial" w:eastAsia="Arial" w:hAnsi="Arial"/>
          <w:b/>
          <w:bCs/>
          <w:i w:val="false"/>
          <w:iCs w:val="false"/>
          <w:color w:val="000000"/>
          <w:sz w:val="24"/>
          <w:szCs w:val="24"/>
        </w:rPr>
        <w:t xml:space="preserve">DP4 (Monitoring).  </w:t>
      </w:r>
      <w:r>
        <w:rPr>
          <w:rFonts w:ascii="Georgia" w:cs="Georgia" w:eastAsia="Georgia" w:hAnsi="Georgia"/>
          <w:b w:val="false"/>
          <w:bCs w:val="false"/>
          <w:i w:val="false"/>
          <w:iCs w:val="false"/>
          <w:color w:val="000000"/>
          <w:sz w:val="24"/>
          <w:szCs w:val="24"/>
        </w:rPr>
        <w:t xml:space="preserve">HUF Theorem 3.1: the portfolio map and its inversion detect drift in both directions simultaneously. The portfolio change log provides the monitoring artifact at each cycle. Monitoring is an automatic output of the constraint application.</w:t>
      </w:r>
    </w:p>
    <w:p>
      <w:pPr>
        <w:spacing w:before="120" w:after="80" w:line="276"/>
        <w:ind w:left="720" w:right="720"/>
        <w:jc w:val="both"/>
      </w:pPr>
      <w:r>
        <w:rPr>
          <w:rFonts w:ascii="Arial" w:cs="Arial" w:eastAsia="Arial" w:hAnsi="Arial"/>
          <w:b/>
          <w:bCs/>
          <w:i w:val="false"/>
          <w:iCs w:val="false"/>
          <w:color w:val="000000"/>
          <w:sz w:val="24"/>
          <w:szCs w:val="24"/>
        </w:rPr>
        <w:t xml:space="preserve">DP5 (Graduated sanctions).  </w:t>
      </w:r>
      <w:r>
        <w:rPr>
          <w:rFonts w:ascii="Georgia" w:cs="Georgia" w:eastAsia="Georgia" w:hAnsi="Georgia"/>
          <w:b w:val="false"/>
          <w:bCs w:val="false"/>
          <w:i w:val="false"/>
          <w:iCs w:val="false"/>
          <w:color w:val="000000"/>
          <w:sz w:val="24"/>
          <w:szCs w:val="24"/>
        </w:rPr>
        <w:t xml:space="preserve">HUF Construct: the coverage record documents which elements received reduced focus and by what magnitude. The gradient of reduction is explicit. Graduated reduction is auditable.</w:t>
      </w:r>
    </w:p>
    <w:p>
      <w:pPr>
        <w:spacing w:before="120" w:after="80" w:line="276"/>
        <w:ind w:left="720" w:right="720"/>
        <w:jc w:val="both"/>
      </w:pPr>
      <w:r>
        <w:rPr>
          <w:rFonts w:ascii="Arial" w:cs="Arial" w:eastAsia="Arial" w:hAnsi="Arial"/>
          <w:b/>
          <w:bCs/>
          <w:i w:val="false"/>
          <w:iCs w:val="false"/>
          <w:color w:val="000000"/>
          <w:sz w:val="24"/>
          <w:szCs w:val="24"/>
        </w:rPr>
        <w:t xml:space="preserve">DP6 (Conflict resolution).  </w:t>
      </w:r>
      <w:r>
        <w:rPr>
          <w:rFonts w:ascii="Georgia" w:cs="Georgia" w:eastAsia="Georgia" w:hAnsi="Georgia"/>
          <w:b w:val="false"/>
          <w:bCs w:val="false"/>
          <w:i w:val="false"/>
          <w:iCs w:val="false"/>
          <w:color w:val="000000"/>
          <w:sz w:val="24"/>
          <w:szCs w:val="24"/>
        </w:rPr>
        <w:t xml:space="preserve">HUF Mechanism: the trace report provides a common reference for disputes about allocation decisions. Intentional drift (recorded) is distinguishable from silent drift (unrecorded). The reference resolves ambiguity about whether a change was decided or drifted.</w:t>
      </w:r>
    </w:p>
    <w:p>
      <w:pPr>
        <w:spacing w:before="120" w:after="80" w:line="276"/>
        <w:ind w:left="720" w:right="720"/>
        <w:jc w:val="both"/>
      </w:pPr>
      <w:r>
        <w:rPr>
          <w:rFonts w:ascii="Arial" w:cs="Arial" w:eastAsia="Arial" w:hAnsi="Arial"/>
          <w:b/>
          <w:bCs/>
          <w:i w:val="false"/>
          <w:iCs w:val="false"/>
          <w:color w:val="000000"/>
          <w:sz w:val="24"/>
          <w:szCs w:val="24"/>
        </w:rPr>
        <w:t xml:space="preserve">DP7 (Minimal autonomy rights).  </w:t>
      </w:r>
      <w:r>
        <w:rPr>
          <w:rFonts w:ascii="Georgia" w:cs="Georgia" w:eastAsia="Georgia" w:hAnsi="Georgia"/>
          <w:b w:val="false"/>
          <w:bCs w:val="false"/>
          <w:i w:val="false"/>
          <w:iCs w:val="false"/>
          <w:color w:val="000000"/>
          <w:sz w:val="24"/>
          <w:szCs w:val="24"/>
        </w:rPr>
        <w:t xml:space="preserve">HUF Constraint: the unity constraint does not override local governance decisions. It reads them. The portfolio share table reflects what local actors have declared. HUF is non-invasive — it does not prescribe what the allocation should be.</w:t>
      </w:r>
    </w:p>
    <w:p>
      <w:pPr>
        <w:spacing w:before="120" w:after="80" w:line="276"/>
        <w:ind w:left="720" w:right="720"/>
        <w:jc w:val="both"/>
      </w:pPr>
      <w:r>
        <w:rPr>
          <w:rFonts w:ascii="Arial" w:cs="Arial" w:eastAsia="Arial" w:hAnsi="Arial"/>
          <w:b/>
          <w:bCs/>
          <w:i w:val="false"/>
          <w:iCs w:val="false"/>
          <w:color w:val="000000"/>
          <w:sz w:val="24"/>
          <w:szCs w:val="24"/>
        </w:rPr>
        <w:t xml:space="preserve">DP8 (Nested enterprises).  </w:t>
      </w:r>
      <w:r>
        <w:rPr>
          <w:rFonts w:ascii="Georgia" w:cs="Georgia" w:eastAsia="Georgia" w:hAnsi="Georgia"/>
          <w:b w:val="false"/>
          <w:bCs w:val="false"/>
          <w:i w:val="false"/>
          <w:iCs w:val="false"/>
          <w:color w:val="000000"/>
          <w:sz w:val="24"/>
          <w:szCs w:val="24"/>
        </w:rPr>
        <w:t xml:space="preserve">HUF Extension: the unity constraint is recursive. A regime can itself be treated as an element in a higher-level portfolio, and each element in that regime can be a portfolio at the next level down. The entropy bounds and drift detection apply at each level.</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200" w:after="60" w:line="276"/>
        <w:jc w:val="both"/>
      </w:pPr>
      <w:r>
        <w:rPr>
          <w:rFonts w:ascii="Arial" w:cs="Arial" w:eastAsia="Arial" w:hAnsi="Arial"/>
          <w:b/>
          <w:bCs/>
          <w:i w:val="false"/>
          <w:iCs w:val="false"/>
          <w:color w:val="000000"/>
          <w:sz w:val="24"/>
          <w:szCs w:val="24"/>
        </w:rPr>
        <w:t xml:space="preserve">Theorem 7.1  </w:t>
      </w:r>
      <w:r>
        <w:rPr>
          <w:rFonts w:ascii="Georgia" w:cs="Georgia" w:eastAsia="Georgia" w:hAnsi="Georgia"/>
          <w:b w:val="false"/>
          <w:bCs w:val="false"/>
          <w:i/>
          <w:iCs/>
          <w:color w:val="000000"/>
          <w:sz w:val="24"/>
          <w:szCs w:val="24"/>
        </w:rPr>
        <w:t xml:space="preserve">(Ostrom-HUF compatibility).</w:t>
      </w:r>
    </w:p>
    <w:p>
      <w:pPr>
        <w:spacing w:before="0" w:after="60" w:line="276"/>
        <w:ind w:left="720" w:right="720"/>
        <w:jc w:val="both"/>
      </w:pPr>
      <w:r>
        <w:rPr>
          <w:rFonts w:ascii="Georgia" w:cs="Georgia" w:eastAsia="Georgia" w:hAnsi="Georgia"/>
          <w:b w:val="false"/>
          <w:bCs w:val="false"/>
          <w:i/>
          <w:iCs/>
          <w:color w:val="000000"/>
          <w:sz w:val="24"/>
          <w:szCs w:val="24"/>
        </w:rPr>
        <w:t xml:space="preserve">A portfolio governance system that satisfies the four HUF artifacts — portfolio share table, trace report, portfolio change log, coverage record — simultaneously satisfies Ostrom's design principles DP1, DP2, DP4, DP5, and DP6 by construction, and provides the informational prerequisites for DP3, DP7, and DP8.</w:t>
      </w:r>
    </w:p>
    <w:p>
      <w:pPr>
        <w:spacing w:before="60" w:after="40" w:line="276"/>
        <w:jc w:val="both"/>
      </w:pPr>
      <w:r>
        <w:rPr>
          <w:rFonts w:ascii="Georgia" w:cs="Georgia" w:eastAsia="Georgia" w:hAnsi="Georgia"/>
          <w:b/>
          <w:bCs/>
          <w:i w:val="false"/>
          <w:iCs w:val="false"/>
          <w:color w:val="000000"/>
          <w:sz w:val="24"/>
          <w:szCs w:val="24"/>
        </w:rPr>
        <w:t xml:space="preserve">Proof.</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DP1: ∑ᵢ ρᵢ = 1 defines the boundary. Any element with ρᵢ &gt; 0 is within the system. Any element with ρᵢ = 0 is outside it. Transitions are recorded in the portfolio change log.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DP2: ρᵢ = mᵢ/M is proportional to declared mass mᵢ. The share table is the explicit proportionality record.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DP4: Theorem 3.1 proves drift detection in both directions. The portfolio change log is the monitoring artifact.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DP5: The coverage record records the magnitude of reduced focus for each element. The gradient is computable from consecutive share tables.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DP6: The trace report records declared priorities. Intentional vs. silent drift is explicit. The reference for dispute resolution is the most recent trace report. ✓</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DP3, DP7, DP8: the artifacts provide the information required for collective choice (DP3), but do not prescribe governance structure (DP7). The recursive structure is available (DP8) but requires application. These are informational prerequisites, not automatic satisfactions. ✓</w:t>
      </w:r>
    </w:p>
    <w:p>
      <w:pPr>
        <w:spacing w:before="0" w:after="160" w:line="276"/>
        <w:jc w:val="right"/>
      </w:pPr>
      <w:r>
        <w:rPr>
          <w:rFonts w:ascii="Georgia" w:cs="Georgia" w:eastAsia="Georgia" w:hAnsi="Georgia"/>
          <w:b/>
          <w:bCs/>
          <w:i w:val="false"/>
          <w:iCs w:val="false"/>
          <w:color w:val="000000"/>
          <w:sz w:val="24"/>
          <w:szCs w:val="24"/>
        </w:rPr>
        <w:t xml:space="preserve">□</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8.  Transboundary Framework Alignment</w:t>
      </w:r>
    </w:p>
    <w:p>
      <w:pPr>
        <w:pStyle w:val="Heading2"/>
        <w:spacing w:before="320" w:after="140"/>
      </w:pPr>
      <w:r>
        <w:rPr>
          <w:rFonts w:ascii="Arial" w:cs="Arial" w:eastAsia="Arial" w:hAnsi="Arial"/>
          <w:b/>
          <w:bCs/>
          <w:i w:val="false"/>
          <w:iCs w:val="false"/>
          <w:color w:val="333333"/>
          <w:sz w:val="28"/>
          <w:szCs w:val="28"/>
        </w:rPr>
        <w:t xml:space="preserve">8.1  The common structure</w:t>
      </w:r>
    </w:p>
    <w:p>
      <w:pPr>
        <w:spacing w:before="0" w:after="160" w:line="276"/>
        <w:jc w:val="both"/>
      </w:pPr>
      <w:r>
        <w:rPr>
          <w:rFonts w:ascii="Georgia" w:cs="Georgia" w:eastAsia="Georgia" w:hAnsi="Georgia"/>
          <w:b w:val="false"/>
          <w:bCs w:val="false"/>
          <w:i w:val="false"/>
          <w:iCs w:val="false"/>
          <w:color w:val="000000"/>
          <w:sz w:val="24"/>
          <w:szCs w:val="24"/>
        </w:rPr>
        <w:t xml:space="preserve">Three canonical transboundary water governance frameworks — the Mekong River Commission (MRC), the Nile Basin Initiative (NBI), and the EU Water Framework Directive (WFD) — each contain a unity constraint expressed in domain-specific form. The claim is that these are the same constraint.</w:t>
      </w:r>
    </w:p>
    <w:p>
      <w:pPr>
        <w:pStyle w:val="Heading2"/>
        <w:spacing w:before="320" w:after="140"/>
      </w:pPr>
      <w:r>
        <w:rPr>
          <w:rFonts w:ascii="Arial" w:cs="Arial" w:eastAsia="Arial" w:hAnsi="Arial"/>
          <w:b/>
          <w:bCs/>
          <w:i w:val="false"/>
          <w:iCs w:val="false"/>
          <w:color w:val="333333"/>
          <w:sz w:val="28"/>
          <w:szCs w:val="28"/>
        </w:rPr>
        <w:t xml:space="preserve">8.2  Mekong River Commission</w:t>
      </w:r>
    </w:p>
    <w:p>
      <w:pPr>
        <w:spacing w:before="0" w:after="160" w:line="276"/>
        <w:jc w:val="both"/>
      </w:pPr>
      <w:r>
        <w:rPr>
          <w:rFonts w:ascii="Georgia" w:cs="Georgia" w:eastAsia="Georgia" w:hAnsi="Georgia"/>
          <w:b w:val="false"/>
          <w:bCs w:val="false"/>
          <w:i w:val="false"/>
          <w:iCs w:val="false"/>
          <w:color w:val="000000"/>
          <w:sz w:val="24"/>
          <w:szCs w:val="24"/>
        </w:rPr>
        <w:t xml:space="preserve">The MRC's 1995 Mekong Agreement defines the Acceptable Minimum Monthly Flow at Pakse station, the Reverse Flow Condition, and the Dry Season Flow requirement. These are expressed as minimum flow thresholds, but they are equivalent to a proportionality constraint on water allocation across member states.</w:t>
      </w:r>
    </w:p>
    <w:p>
      <w:pPr>
        <w:spacing w:before="0" w:after="160" w:line="276"/>
        <w:jc w:val="both"/>
      </w:pPr>
      <w:r>
        <w:rPr>
          <w:rFonts w:ascii="Georgia" w:cs="Georgia" w:eastAsia="Georgia" w:hAnsi="Georgia"/>
          <w:b w:val="false"/>
          <w:bCs w:val="false"/>
          <w:i w:val="false"/>
          <w:iCs w:val="false"/>
          <w:color w:val="000000"/>
          <w:sz w:val="24"/>
          <w:szCs w:val="24"/>
        </w:rPr>
        <w:t xml:space="preserve">Let mᵢ(t) be the water use of riparian country i in month t. The MRC constraint requires: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∑ᵢ mᵢ(t) ≤ Q_min(t)    and    mᵢ(t) / ∑ⱼ mⱼ(t) ≤ α_i</w:t>
      </w:r>
    </w:p>
    <w:p>
      <w:pPr>
        <w:spacing w:before="0" w:after="160" w:line="276"/>
        <w:jc w:val="both"/>
      </w:pPr>
      <w:r>
        <w:rPr>
          <w:rFonts w:ascii="Georgia" w:cs="Georgia" w:eastAsia="Georgia" w:hAnsi="Georgia"/>
          <w:b w:val="false"/>
          <w:bCs w:val="false"/>
          <w:i w:val="false"/>
          <w:iCs w:val="false"/>
          <w:color w:val="000000"/>
          <w:sz w:val="24"/>
          <w:szCs w:val="24"/>
        </w:rPr>
        <w:t xml:space="preserve">where α_i is country i's allocated share fraction. This is the HUF portfolio constraint with a flow-normalized budget M = Q_min(t) and declared shares αᵢ. The MRC monitoring requirement — biannual reporting of actual flows — is equivalent to HUF's cross-cycle portfolio observation.</w:t>
      </w:r>
    </w:p>
    <w:p>
      <w:pPr>
        <w:pStyle w:val="Heading2"/>
        <w:spacing w:before="320" w:after="140"/>
      </w:pPr>
      <w:r>
        <w:rPr>
          <w:rFonts w:ascii="Arial" w:cs="Arial" w:eastAsia="Arial" w:hAnsi="Arial"/>
          <w:b/>
          <w:bCs/>
          <w:i w:val="false"/>
          <w:iCs w:val="false"/>
          <w:color w:val="333333"/>
          <w:sz w:val="28"/>
          <w:szCs w:val="28"/>
        </w:rPr>
        <w:t xml:space="preserve">8.3  Nile Basin Initiative</w:t>
      </w:r>
    </w:p>
    <w:p>
      <w:pPr>
        <w:spacing w:before="0" w:after="160" w:line="276"/>
        <w:jc w:val="both"/>
      </w:pPr>
      <w:r>
        <w:rPr>
          <w:rFonts w:ascii="Georgia" w:cs="Georgia" w:eastAsia="Georgia" w:hAnsi="Georgia"/>
          <w:b w:val="false"/>
          <w:bCs w:val="false"/>
          <w:i w:val="false"/>
          <w:iCs w:val="false"/>
          <w:color w:val="000000"/>
          <w:sz w:val="24"/>
          <w:szCs w:val="24"/>
        </w:rPr>
        <w:t xml:space="preserve">The NBI's Cooperative Framework Agreement (CFA) requires equitable and reasonable utilization across ten basin states. The equitability principle is expressed as a proportionality requirement on long-term average annual flow allocation. Applying the HUF framework:</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ρᵢ_NBI = Q_allocated,i / Q_total    subject to  ∑ᵢ ρᵢ_NBI = 1</w:t>
      </w:r>
    </w:p>
    <w:p>
      <w:pPr>
        <w:spacing w:before="0" w:after="160" w:line="276"/>
        <w:jc w:val="both"/>
      </w:pPr>
      <w:r>
        <w:rPr>
          <w:rFonts w:ascii="Georgia" w:cs="Georgia" w:eastAsia="Georgia" w:hAnsi="Georgia"/>
          <w:b w:val="false"/>
          <w:bCs w:val="false"/>
          <w:i w:val="false"/>
          <w:iCs w:val="false"/>
          <w:color w:val="000000"/>
          <w:sz w:val="24"/>
          <w:szCs w:val="24"/>
        </w:rPr>
        <w:t xml:space="preserve">The NBI's notification and consultation requirements — any project affecting flow must be notified to all other states — is equivalent to the HUF requirement that intentional allocation changes be recorded in the trace report. The common property is the requirement that no change be silent.</w:t>
      </w:r>
    </w:p>
    <w:p>
      <w:pPr>
        <w:pStyle w:val="Heading2"/>
        <w:spacing w:before="320" w:after="140"/>
      </w:pPr>
      <w:r>
        <w:rPr>
          <w:rFonts w:ascii="Arial" w:cs="Arial" w:eastAsia="Arial" w:hAnsi="Arial"/>
          <w:b/>
          <w:bCs/>
          <w:i w:val="false"/>
          <w:iCs w:val="false"/>
          <w:color w:val="333333"/>
          <w:sz w:val="28"/>
          <w:szCs w:val="28"/>
        </w:rPr>
        <w:t xml:space="preserve">8.4  EU Water Framework Directive</w:t>
      </w:r>
    </w:p>
    <w:p>
      <w:pPr>
        <w:spacing w:before="0" w:after="160" w:line="276"/>
        <w:jc w:val="both"/>
      </w:pPr>
      <w:r>
        <w:rPr>
          <w:rFonts w:ascii="Georgia" w:cs="Georgia" w:eastAsia="Georgia" w:hAnsi="Georgia"/>
          <w:b w:val="false"/>
          <w:bCs w:val="false"/>
          <w:i w:val="false"/>
          <w:iCs w:val="false"/>
          <w:color w:val="000000"/>
          <w:sz w:val="24"/>
          <w:szCs w:val="24"/>
        </w:rPr>
        <w:t xml:space="preserve">The WFD requires that all water bodies achieve Good Ecological Status (GES) by 2027. The portfolio application treats each water body as an element and the GES requirement as a minimum share threshold. For a river basin with n water bodies: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ρᵢ_WFD ≥ ρ_min    ∀i,    ∑ᵢ ρᵢ_WFD = 1</w:t>
      </w:r>
    </w:p>
    <w:p>
      <w:pPr>
        <w:spacing w:before="0" w:after="160" w:line="276"/>
        <w:jc w:val="both"/>
      </w:pPr>
      <w:r>
        <w:rPr>
          <w:rFonts w:ascii="Georgia" w:cs="Georgia" w:eastAsia="Georgia" w:hAnsi="Georgia"/>
          <w:b w:val="false"/>
          <w:bCs w:val="false"/>
          <w:i w:val="false"/>
          <w:iCs w:val="false"/>
          <w:color w:val="000000"/>
          <w:sz w:val="24"/>
          <w:szCs w:val="24"/>
        </w:rPr>
        <w:t xml:space="preserve">The WFD's six-year River Basin Management Plan cycle is the reporting period T. The WFD's requirement to report on the status of all water bodies at each cycle is the portfolio share table. The WFD's requirement to explain derogations — why any water body is below GES — is the coverage record.</w:t>
      </w:r>
    </w:p>
    <w:p>
      <w:pPr>
        <w:spacing w:before="200" w:after="60" w:line="276"/>
        <w:jc w:val="both"/>
      </w:pPr>
      <w:r>
        <w:rPr>
          <w:rFonts w:ascii="Arial" w:cs="Arial" w:eastAsia="Arial" w:hAnsi="Arial"/>
          <w:b/>
          <w:bCs/>
          <w:i w:val="false"/>
          <w:iCs w:val="false"/>
          <w:color w:val="000000"/>
          <w:sz w:val="24"/>
          <w:szCs w:val="24"/>
        </w:rPr>
        <w:t xml:space="preserve">Theorem 8.1  </w:t>
      </w:r>
      <w:r>
        <w:rPr>
          <w:rFonts w:ascii="Georgia" w:cs="Georgia" w:eastAsia="Georgia" w:hAnsi="Georgia"/>
          <w:b w:val="false"/>
          <w:bCs w:val="false"/>
          <w:i/>
          <w:iCs/>
          <w:color w:val="000000"/>
          <w:sz w:val="24"/>
          <w:szCs w:val="24"/>
        </w:rPr>
        <w:t xml:space="preserve">(Transboundary unity constraint universality).</w:t>
      </w:r>
    </w:p>
    <w:p>
      <w:pPr>
        <w:spacing w:before="0" w:after="60" w:line="276"/>
        <w:ind w:left="720" w:right="720"/>
        <w:jc w:val="both"/>
      </w:pPr>
      <w:r>
        <w:rPr>
          <w:rFonts w:ascii="Georgia" w:cs="Georgia" w:eastAsia="Georgia" w:hAnsi="Georgia"/>
          <w:b w:val="false"/>
          <w:bCs w:val="false"/>
          <w:i/>
          <w:iCs/>
          <w:color w:val="000000"/>
          <w:sz w:val="24"/>
          <w:szCs w:val="24"/>
        </w:rPr>
        <w:t xml:space="preserve">The MRC, NBI, and EU WFD each embody the HUF unity constraint in domain-specific form. The monitoring, reporting, and notification requirements in each framework are each equivalent to a subset of the four HUF artifacts. The HUF framework provides a common mathematical language for comparing and aligning these frameworks.</w:t>
      </w:r>
    </w:p>
    <w:p>
      <w:pPr>
        <w:spacing w:before="0" w:after="160" w:line="276"/>
        <w:jc w:val="both"/>
      </w:pPr>
      <w:r>
        <w:rPr>
          <w:rFonts w:ascii="Georgia" w:cs="Georgia" w:eastAsia="Georgia" w:hAnsi="Georgia"/>
          <w:b w:val="false"/>
          <w:bCs w:val="false"/>
          <w:i w:val="false"/>
          <w:iCs w:val="false"/>
          <w:color w:val="000000"/>
          <w:sz w:val="24"/>
          <w:szCs w:val="24"/>
        </w:rPr>
        <w:t xml:space="preserve">This theorem is stated without full proof pending detailed legal analysis of the treaty texts. The proof structure would proceed by: (1) expressing each framework's allocation requirements in ratio form, (2) demonstrating that the ratio form satisfies ∑ᵢ ρᵢ = 1, and (3) showing that each framework's reporting requirements generate at least the portfolio share table and one of the remaining three artifacts.</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9.  Convergence to the Self-Governing State</w:t>
      </w:r>
    </w:p>
    <w:p>
      <w:pPr>
        <w:pStyle w:val="Heading2"/>
        <w:spacing w:before="320" w:after="140"/>
      </w:pPr>
      <w:r>
        <w:rPr>
          <w:rFonts w:ascii="Arial" w:cs="Arial" w:eastAsia="Arial" w:hAnsi="Arial"/>
          <w:b/>
          <w:bCs/>
          <w:i w:val="false"/>
          <w:iCs w:val="false"/>
          <w:color w:val="333333"/>
          <w:sz w:val="28"/>
          <w:szCs w:val="28"/>
        </w:rPr>
        <w:t xml:space="preserve">9.1  The feedback dynamical system</w:t>
      </w:r>
    </w:p>
    <w:p>
      <w:pPr>
        <w:spacing w:before="0" w:after="160" w:line="276"/>
        <w:jc w:val="both"/>
      </w:pPr>
      <w:r>
        <w:rPr>
          <w:rFonts w:ascii="Georgia" w:cs="Georgia" w:eastAsia="Georgia" w:hAnsi="Georgia"/>
          <w:b w:val="false"/>
          <w:bCs w:val="false"/>
          <w:i w:val="false"/>
          <w:iCs w:val="false"/>
          <w:color w:val="000000"/>
          <w:sz w:val="24"/>
          <w:szCs w:val="24"/>
        </w:rPr>
        <w:t xml:space="preserve">Define the governance state at time t as the tuple G(t) = (ρ(t), D(t), W(t)) where ρ(t) is the portfolio share vector, D(t) is the set of declared priorities, and W(t) is the operator weight vector. The governance system evolves as:</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ρ(t+1) = ρ(t) + Δᴵ(t+1) + Δˢ(t+1)</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D(t+1) = D(t) + δD(t+1)</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W(t+1) = W(t) + δW(t+1)</w:t>
      </w:r>
    </w:p>
    <w:p>
      <w:pPr>
        <w:spacing w:before="0" w:after="160" w:line="276"/>
        <w:jc w:val="both"/>
      </w:pPr>
      <w:r>
        <w:rPr>
          <w:rFonts w:ascii="Georgia" w:cs="Georgia" w:eastAsia="Georgia" w:hAnsi="Georgia"/>
          <w:b w:val="false"/>
          <w:bCs w:val="false"/>
          <w:i w:val="false"/>
          <w:iCs w:val="false"/>
          <w:color w:val="000000"/>
          <w:sz w:val="24"/>
          <w:szCs w:val="24"/>
        </w:rPr>
        <w:t xml:space="preserve">where Δᴵ(t+1) is intentional drift (traceable to δD), Δˢ(t+1) is silent drift (not traceable to δD), and δW(t+1) is the operator's weight adjustment in response to the portfolio change log at cycle t.</w:t>
      </w:r>
    </w:p>
    <w:p>
      <w:pPr>
        <w:pStyle w:val="Heading2"/>
        <w:spacing w:before="320" w:after="140"/>
      </w:pPr>
      <w:r>
        <w:rPr>
          <w:rFonts w:ascii="Arial" w:cs="Arial" w:eastAsia="Arial" w:hAnsi="Arial"/>
          <w:b/>
          <w:bCs/>
          <w:i w:val="false"/>
          <w:iCs w:val="false"/>
          <w:color w:val="333333"/>
          <w:sz w:val="28"/>
          <w:szCs w:val="28"/>
        </w:rPr>
        <w:t xml:space="preserve">9.2  The closed feedback condition</w:t>
      </w:r>
    </w:p>
    <w:p>
      <w:pPr>
        <w:spacing w:before="0" w:after="160" w:line="276"/>
        <w:jc w:val="both"/>
      </w:pPr>
      <w:r>
        <w:rPr>
          <w:rFonts w:ascii="Georgia" w:cs="Georgia" w:eastAsia="Georgia" w:hAnsi="Georgia"/>
          <w:b w:val="false"/>
          <w:bCs w:val="false"/>
          <w:i w:val="false"/>
          <w:iCs w:val="false"/>
          <w:color w:val="000000"/>
          <w:sz w:val="24"/>
          <w:szCs w:val="24"/>
        </w:rPr>
        <w:t xml:space="preserve">The feedback loop is closed when δW(t+1) is a function of Δˢ(t): the operator responds to observed silent drift by adjusting the declared weights. Define the feedback function:</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δW(t+1) = -K · Δˢ(t)</w:t>
      </w:r>
    </w:p>
    <w:p>
      <w:pPr>
        <w:spacing w:before="0" w:after="160" w:line="276"/>
        <w:jc w:val="both"/>
      </w:pPr>
      <w:r>
        <w:rPr>
          <w:rFonts w:ascii="Georgia" w:cs="Georgia" w:eastAsia="Georgia" w:hAnsi="Georgia"/>
          <w:b w:val="false"/>
          <w:bCs w:val="false"/>
          <w:i w:val="false"/>
          <w:iCs w:val="false"/>
          <w:color w:val="000000"/>
          <w:sz w:val="24"/>
          <w:szCs w:val="24"/>
        </w:rPr>
        <w:t xml:space="preserve">where K &gt; 0 is the feedback gain. This is a proportional correction: the operator reduces the weight of elements that are silently growing and increases the weight of elements that are silently shrinking.</w:t>
      </w:r>
    </w:p>
    <w:p>
      <w:pPr>
        <w:spacing w:before="200" w:after="60" w:line="276"/>
        <w:jc w:val="both"/>
      </w:pPr>
      <w:r>
        <w:rPr>
          <w:rFonts w:ascii="Arial" w:cs="Arial" w:eastAsia="Arial" w:hAnsi="Arial"/>
          <w:b/>
          <w:bCs/>
          <w:i w:val="false"/>
          <w:iCs w:val="false"/>
          <w:color w:val="000000"/>
          <w:sz w:val="24"/>
          <w:szCs w:val="24"/>
        </w:rPr>
        <w:t xml:space="preserve">Theorem 9.1 (Proposition 7.4)  </w:t>
      </w:r>
      <w:r>
        <w:rPr>
          <w:rFonts w:ascii="Georgia" w:cs="Georgia" w:eastAsia="Georgia" w:hAnsi="Georgia"/>
          <w:b w:val="false"/>
          <w:bCs w:val="false"/>
          <w:i/>
          <w:iCs/>
          <w:color w:val="000000"/>
          <w:sz w:val="24"/>
          <w:szCs w:val="24"/>
        </w:rPr>
        <w:t xml:space="preserve">(Convergence under closed feedback).</w:t>
      </w:r>
    </w:p>
    <w:p>
      <w:pPr>
        <w:spacing w:before="0" w:after="60" w:line="276"/>
        <w:ind w:left="720" w:right="720"/>
        <w:jc w:val="both"/>
      </w:pPr>
      <w:r>
        <w:rPr>
          <w:rFonts w:ascii="Georgia" w:cs="Georgia" w:eastAsia="Georgia" w:hAnsi="Georgia"/>
          <w:b w:val="false"/>
          <w:bCs w:val="false"/>
          <w:i/>
          <w:iCs/>
          <w:color w:val="000000"/>
          <w:sz w:val="24"/>
          <w:szCs w:val="24"/>
        </w:rPr>
        <w:t xml:space="preserve">Under the closed feedback condition δW(t+1) = -K·Δˢ(t) with gain 0 &lt; K &lt; 2/λ_max(Σ_s), where λ_max(Σ_s) is the maximum eigenvalue of the silent drift covariance matrix, the governance state converges to a fixed point G* = (ρ*, D*, W*) where Δˢ(t) → 0.</w:t>
      </w:r>
    </w:p>
    <w:p>
      <w:pPr>
        <w:spacing w:before="60" w:after="40" w:line="276"/>
        <w:jc w:val="both"/>
      </w:pPr>
      <w:r>
        <w:rPr>
          <w:rFonts w:ascii="Georgia" w:cs="Georgia" w:eastAsia="Georgia" w:hAnsi="Georgia"/>
          <w:b/>
          <w:bCs/>
          <w:i w:val="false"/>
          <w:iCs w:val="false"/>
          <w:color w:val="000000"/>
          <w:sz w:val="24"/>
          <w:szCs w:val="24"/>
        </w:rPr>
        <w:t xml:space="preserve">Proof.</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silent drift dynamics under closed feedback are:</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Δˢ(t+1) = Δˢ(t) - K·Σ_s·Δˢ(t) = (I - K·Σ_s)·Δˢ(t)</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This is a discrete-time linear system with transition matrix A = (I - K·Σ_s).</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system converges if and only if the spectral radius ρ(A) &lt; 1.</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eigenvalues of A are λ_k(A) = 1 - K·λ_k(Σ_s).</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For convergence: |1 - K·λ_k| &lt; 1 ∀k ⟺ 0 &lt; K &lt; 2/λ_k ∀k.</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binding constraint is the largest eigenvalue: K &lt; 2/λ_max(Σ_s).</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Under this condition, Δˢ(t) → 0, which means the portfolio change log shows no silent drift.</w:t>
      </w:r>
    </w:p>
    <w:p>
      <w:pPr>
        <w:spacing w:before="0" w:after="60" w:line="276"/>
        <w:ind w:left="720" w:right="720"/>
        <w:jc w:val="both"/>
      </w:pPr>
      <w:r>
        <w:rPr>
          <w:rFonts w:ascii="Georgia" w:cs="Georgia" w:eastAsia="Georgia" w:hAnsi="Georgia"/>
          <w:b w:val="false"/>
          <w:bCs w:val="false"/>
          <w:i w:val="false"/>
          <w:iCs w:val="false"/>
          <w:color w:val="000000"/>
          <w:sz w:val="24"/>
          <w:szCs w:val="24"/>
        </w:rPr>
        <w:t xml:space="preserve">The governance system has reached the fixed point G* where all observed change is intentional. ✓</w:t>
      </w:r>
    </w:p>
    <w:p>
      <w:pPr>
        <w:spacing w:before="0" w:after="160" w:line="276"/>
        <w:jc w:val="right"/>
      </w:pPr>
      <w:r>
        <w:rPr>
          <w:rFonts w:ascii="Georgia" w:cs="Georgia" w:eastAsia="Georgia" w:hAnsi="Georgia"/>
          <w:b/>
          <w:bCs/>
          <w:i w:val="false"/>
          <w:iCs w:val="false"/>
          <w:color w:val="000000"/>
          <w:sz w:val="24"/>
          <w:szCs w:val="24"/>
        </w:rPr>
        <w:t xml:space="preserve">□</w:t>
      </w:r>
    </w:p>
    <w:p>
      <w:pPr>
        <w:spacing w:before="60" w:after="120" w:line="276"/>
        <w:ind w:left="720" w:right="720"/>
        <w:jc w:val="both"/>
      </w:pPr>
      <w:r>
        <w:rPr>
          <w:rFonts w:ascii="Georgia" w:cs="Georgia" w:eastAsia="Georgia" w:hAnsi="Georgia"/>
          <w:b/>
          <w:bCs/>
          <w:i/>
          <w:iCs/>
          <w:color w:val="000000"/>
          <w:sz w:val="24"/>
          <w:szCs w:val="24"/>
        </w:rPr>
        <w:t xml:space="preserve">Remark.  </w:t>
      </w:r>
      <w:r>
        <w:rPr>
          <w:rFonts w:ascii="Georgia" w:cs="Georgia" w:eastAsia="Georgia" w:hAnsi="Georgia"/>
          <w:b w:val="false"/>
          <w:bCs w:val="false"/>
          <w:i/>
          <w:iCs/>
          <w:color w:val="000000"/>
          <w:sz w:val="24"/>
          <w:szCs w:val="24"/>
        </w:rPr>
        <w:t xml:space="preserve">The condition K &lt; 2/λ_max(Σ_s) has a direct governance interpretation: the feedback gain must be smaller than the inverse of the largest silent drift variance. If the operator over-corrects (K too large), the system oscillates. The optimal gain K* = 1/λ_max(Σ_s) gives the fastest convergence without oscillation.</w:t>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10.  Summary of Formal Results</w:t>
      </w:r>
    </w:p>
    <w:p>
      <w:pPr>
        <w:spacing w:before="0" w:after="160" w:line="276"/>
        <w:jc w:val="both"/>
      </w:pPr>
      <w:r>
        <w:rPr>
          <w:rFonts w:ascii="Georgia" w:cs="Georgia" w:eastAsia="Georgia" w:hAnsi="Georgia"/>
          <w:b w:val="false"/>
          <w:bCs w:val="false"/>
          <w:i w:val="false"/>
          <w:iCs w:val="false"/>
          <w:color w:val="000000"/>
          <w:sz w:val="24"/>
          <w:szCs w:val="24"/>
        </w:rPr>
        <w:t xml:space="preserve">The following table summarizes the formal results established in this paper:</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120" w:after="80" w:line="276"/>
        <w:ind w:left="720" w:right="720"/>
        <w:jc w:val="both"/>
      </w:pPr>
      <w:r>
        <w:rPr>
          <w:rFonts w:ascii="Arial" w:cs="Arial" w:eastAsia="Arial" w:hAnsi="Arial"/>
          <w:b/>
          <w:bCs/>
          <w:i w:val="false"/>
          <w:iCs w:val="false"/>
          <w:color w:val="000000"/>
          <w:sz w:val="24"/>
          <w:szCs w:val="24"/>
        </w:rPr>
        <w:t xml:space="preserve">Theorem 1.1 (Inversion automorphism).  </w:t>
      </w:r>
      <w:r>
        <w:rPr>
          <w:rFonts w:ascii="Georgia" w:cs="Georgia" w:eastAsia="Georgia" w:hAnsi="Georgia"/>
          <w:b w:val="false"/>
          <w:bCs w:val="false"/>
          <w:i w:val="false"/>
          <w:iCs w:val="false"/>
          <w:color w:val="000000"/>
          <w:sz w:val="24"/>
          <w:szCs w:val="24"/>
        </w:rPr>
        <w:t xml:space="preserve">The reciprocal inversion is a bijection on the simplex that preserves the unity constraint and reverses the dominance ordering. Proved.</w:t>
      </w:r>
    </w:p>
    <w:p>
      <w:pPr>
        <w:spacing w:before="120" w:after="80" w:line="276"/>
        <w:ind w:left="720" w:right="720"/>
        <w:jc w:val="both"/>
      </w:pPr>
      <w:r>
        <w:rPr>
          <w:rFonts w:ascii="Arial" w:cs="Arial" w:eastAsia="Arial" w:hAnsi="Arial"/>
          <w:b/>
          <w:bCs/>
          <w:i w:val="false"/>
          <w:iCs w:val="false"/>
          <w:color w:val="000000"/>
          <w:sz w:val="24"/>
          <w:szCs w:val="24"/>
        </w:rPr>
        <w:t xml:space="preserve">Theorem 2.1 (Non-linearity).  </w:t>
      </w:r>
      <w:r>
        <w:rPr>
          <w:rFonts w:ascii="Georgia" w:cs="Georgia" w:eastAsia="Georgia" w:hAnsi="Georgia"/>
          <w:b w:val="false"/>
          <w:bCs w:val="false"/>
          <w:i w:val="false"/>
          <w:iCs w:val="false"/>
          <w:color w:val="000000"/>
          <w:sz w:val="24"/>
          <w:szCs w:val="24"/>
        </w:rPr>
        <w:t xml:space="preserve">The portfolio map and its inversion are non-linear by the normalization denominator. Proved.</w:t>
      </w:r>
    </w:p>
    <w:p>
      <w:pPr>
        <w:spacing w:before="120" w:after="80" w:line="276"/>
        <w:ind w:left="720" w:right="720"/>
        <w:jc w:val="both"/>
      </w:pPr>
      <w:r>
        <w:rPr>
          <w:rFonts w:ascii="Arial" w:cs="Arial" w:eastAsia="Arial" w:hAnsi="Arial"/>
          <w:b/>
          <w:bCs/>
          <w:i w:val="false"/>
          <w:iCs w:val="false"/>
          <w:color w:val="000000"/>
          <w:sz w:val="24"/>
          <w:szCs w:val="24"/>
        </w:rPr>
        <w:t xml:space="preserve">Theorem 2.2 (Noise elimination).  </w:t>
      </w:r>
      <w:r>
        <w:rPr>
          <w:rFonts w:ascii="Georgia" w:cs="Georgia" w:eastAsia="Georgia" w:hAnsi="Georgia"/>
          <w:b w:val="false"/>
          <w:bCs w:val="false"/>
          <w:i w:val="false"/>
          <w:iCs w:val="false"/>
          <w:color w:val="000000"/>
          <w:sz w:val="24"/>
          <w:szCs w:val="24"/>
        </w:rPr>
        <w:t xml:space="preserve">The average of base and inverted portfolio observations reduces symmetric noise. Proved for small noise.</w:t>
      </w:r>
    </w:p>
    <w:p>
      <w:pPr>
        <w:spacing w:before="120" w:after="80" w:line="276"/>
        <w:ind w:left="720" w:right="720"/>
        <w:jc w:val="both"/>
      </w:pPr>
      <w:r>
        <w:rPr>
          <w:rFonts w:ascii="Arial" w:cs="Arial" w:eastAsia="Arial" w:hAnsi="Arial"/>
          <w:b/>
          <w:bCs/>
          <w:i w:val="false"/>
          <w:iCs w:val="false"/>
          <w:color w:val="000000"/>
          <w:sz w:val="24"/>
          <w:szCs w:val="24"/>
        </w:rPr>
        <w:t xml:space="preserve">Theorem 3.1 (Domain invariance).  </w:t>
      </w:r>
      <w:r>
        <w:rPr>
          <w:rFonts w:ascii="Georgia" w:cs="Georgia" w:eastAsia="Georgia" w:hAnsi="Georgia"/>
          <w:b w:val="false"/>
          <w:bCs w:val="false"/>
          <w:i w:val="false"/>
          <w:iCs w:val="false"/>
          <w:color w:val="000000"/>
          <w:sz w:val="24"/>
          <w:szCs w:val="24"/>
        </w:rPr>
        <w:t xml:space="preserve">The portfolio map is invariant under unit scaling and detects drift in both directions simultaneously. Proved.</w:t>
      </w:r>
    </w:p>
    <w:p>
      <w:pPr>
        <w:spacing w:before="120" w:after="80" w:line="276"/>
        <w:ind w:left="720" w:right="720"/>
        <w:jc w:val="both"/>
      </w:pPr>
      <w:r>
        <w:rPr>
          <w:rFonts w:ascii="Arial" w:cs="Arial" w:eastAsia="Arial" w:hAnsi="Arial"/>
          <w:b/>
          <w:bCs/>
          <w:i w:val="false"/>
          <w:iCs w:val="false"/>
          <w:color w:val="000000"/>
          <w:sz w:val="24"/>
          <w:szCs w:val="24"/>
        </w:rPr>
        <w:t xml:space="preserve">Theorem 5.1 (Entropy bounds).  </w:t>
      </w:r>
      <w:r>
        <w:rPr>
          <w:rFonts w:ascii="Georgia" w:cs="Georgia" w:eastAsia="Georgia" w:hAnsi="Georgia"/>
          <w:b w:val="false"/>
          <w:bCs w:val="false"/>
          <w:i w:val="false"/>
          <w:iCs w:val="false"/>
          <w:color w:val="000000"/>
          <w:sz w:val="24"/>
          <w:szCs w:val="24"/>
        </w:rPr>
        <w:t xml:space="preserve">Portfolio entropy is bounded by 0 ≤ S ≤ ln n. Proved.</w:t>
      </w:r>
    </w:p>
    <w:p>
      <w:pPr>
        <w:spacing w:before="120" w:after="80" w:line="276"/>
        <w:ind w:left="720" w:right="720"/>
        <w:jc w:val="both"/>
      </w:pPr>
      <w:r>
        <w:rPr>
          <w:rFonts w:ascii="Arial" w:cs="Arial" w:eastAsia="Arial" w:hAnsi="Arial"/>
          <w:b/>
          <w:bCs/>
          <w:i w:val="false"/>
          <w:iCs w:val="false"/>
          <w:color w:val="000000"/>
          <w:sz w:val="24"/>
          <w:szCs w:val="24"/>
        </w:rPr>
        <w:t xml:space="preserve">Theorem 6.1 (Q-sensitive observation).  </w:t>
      </w:r>
      <w:r>
        <w:rPr>
          <w:rFonts w:ascii="Georgia" w:cs="Georgia" w:eastAsia="Georgia" w:hAnsi="Georgia"/>
          <w:b w:val="false"/>
          <w:bCs w:val="false"/>
          <w:i w:val="false"/>
          <w:iCs w:val="false"/>
          <w:color w:val="000000"/>
          <w:sz w:val="24"/>
          <w:szCs w:val="24"/>
        </w:rPr>
        <w:t xml:space="preserve">Single-cycle observation systematically underestimates high-Q element contribution by at least Q_min/Q_max. Proved.</w:t>
      </w:r>
    </w:p>
    <w:p>
      <w:pPr>
        <w:spacing w:before="120" w:after="80" w:line="276"/>
        <w:ind w:left="720" w:right="720"/>
        <w:jc w:val="both"/>
      </w:pPr>
      <w:r>
        <w:rPr>
          <w:rFonts w:ascii="Arial" w:cs="Arial" w:eastAsia="Arial" w:hAnsi="Arial"/>
          <w:b/>
          <w:bCs/>
          <w:i w:val="false"/>
          <w:iCs w:val="false"/>
          <w:color w:val="000000"/>
          <w:sz w:val="24"/>
          <w:szCs w:val="24"/>
        </w:rPr>
        <w:t xml:space="preserve">Corollary 6.2 (Habitat irreversibility).  </w:t>
      </w:r>
      <w:r>
        <w:rPr>
          <w:rFonts w:ascii="Georgia" w:cs="Georgia" w:eastAsia="Georgia" w:hAnsi="Georgia"/>
          <w:b w:val="false"/>
          <w:bCs w:val="false"/>
          <w:i w:val="false"/>
          <w:iCs w:val="false"/>
          <w:color w:val="000000"/>
          <w:sz w:val="24"/>
          <w:szCs w:val="24"/>
        </w:rPr>
        <w:t xml:space="preserve">Removal of a high-Q element is undetectable as an error until T_k/2, which may exceed governance horizons. Stated.</w:t>
      </w:r>
    </w:p>
    <w:p>
      <w:pPr>
        <w:spacing w:before="120" w:after="80" w:line="276"/>
        <w:ind w:left="720" w:right="720"/>
        <w:jc w:val="both"/>
      </w:pPr>
      <w:r>
        <w:rPr>
          <w:rFonts w:ascii="Arial" w:cs="Arial" w:eastAsia="Arial" w:hAnsi="Arial"/>
          <w:b/>
          <w:bCs/>
          <w:i w:val="false"/>
          <w:iCs w:val="false"/>
          <w:color w:val="000000"/>
          <w:sz w:val="24"/>
          <w:szCs w:val="24"/>
        </w:rPr>
        <w:t xml:space="preserve">Theorem 7.1 (Ostrom-HUF compatibility).  </w:t>
      </w:r>
      <w:r>
        <w:rPr>
          <w:rFonts w:ascii="Georgia" w:cs="Georgia" w:eastAsia="Georgia" w:hAnsi="Georgia"/>
          <w:b w:val="false"/>
          <w:bCs w:val="false"/>
          <w:i w:val="false"/>
          <w:iCs w:val="false"/>
          <w:color w:val="000000"/>
          <w:sz w:val="24"/>
          <w:szCs w:val="24"/>
        </w:rPr>
        <w:t xml:space="preserve">The four HUF artifacts satisfy five Ostrom design principles by construction. Proved.</w:t>
      </w:r>
    </w:p>
    <w:p>
      <w:pPr>
        <w:spacing w:before="120" w:after="80" w:line="276"/>
        <w:ind w:left="720" w:right="720"/>
        <w:jc w:val="both"/>
      </w:pPr>
      <w:r>
        <w:rPr>
          <w:rFonts w:ascii="Arial" w:cs="Arial" w:eastAsia="Arial" w:hAnsi="Arial"/>
          <w:b/>
          <w:bCs/>
          <w:i w:val="false"/>
          <w:iCs w:val="false"/>
          <w:color w:val="000000"/>
          <w:sz w:val="24"/>
          <w:szCs w:val="24"/>
        </w:rPr>
        <w:t xml:space="preserve">Theorem 8.1 (Transboundary universality).  </w:t>
      </w:r>
      <w:r>
        <w:rPr>
          <w:rFonts w:ascii="Georgia" w:cs="Georgia" w:eastAsia="Georgia" w:hAnsi="Georgia"/>
          <w:b w:val="false"/>
          <w:bCs w:val="false"/>
          <w:i w:val="false"/>
          <w:iCs w:val="false"/>
          <w:color w:val="000000"/>
          <w:sz w:val="24"/>
          <w:szCs w:val="24"/>
        </w:rPr>
        <w:t xml:space="preserve">MRC, NBI, and EU WFD each embody the HUF unity constraint. Stated — full proof pending legal analysis.</w:t>
      </w:r>
    </w:p>
    <w:p>
      <w:pPr>
        <w:spacing w:before="120" w:after="80" w:line="276"/>
        <w:ind w:left="720" w:right="720"/>
        <w:jc w:val="both"/>
      </w:pPr>
      <w:r>
        <w:rPr>
          <w:rFonts w:ascii="Arial" w:cs="Arial" w:eastAsia="Arial" w:hAnsi="Arial"/>
          <w:b/>
          <w:bCs/>
          <w:i w:val="false"/>
          <w:iCs w:val="false"/>
          <w:color w:val="000000"/>
          <w:sz w:val="24"/>
          <w:szCs w:val="24"/>
        </w:rPr>
        <w:t xml:space="preserve">Theorem 9.1 (Convergence).  </w:t>
      </w:r>
      <w:r>
        <w:rPr>
          <w:rFonts w:ascii="Georgia" w:cs="Georgia" w:eastAsia="Georgia" w:hAnsi="Georgia"/>
          <w:b w:val="false"/>
          <w:bCs w:val="false"/>
          <w:i w:val="false"/>
          <w:iCs w:val="false"/>
          <w:color w:val="000000"/>
          <w:sz w:val="24"/>
          <w:szCs w:val="24"/>
        </w:rPr>
        <w:t xml:space="preserve">Closed feedback with gain K &lt; 2/λ_max converges to zero silent drift. Proved.</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References</w:t>
      </w:r>
    </w:p>
    <w:p>
      <w:pPr>
        <w:spacing w:before="0" w:after="160" w:line="276"/>
        <w:jc w:val="both"/>
      </w:pPr>
      <w:r>
        <w:rPr>
          <w:rFonts w:ascii="Georgia" w:cs="Georgia" w:eastAsia="Georgia" w:hAnsi="Georgia"/>
          <w:b w:val="false"/>
          <w:bCs w:val="false"/>
          <w:i w:val="false"/>
          <w:iCs w:val="false"/>
          <w:color w:val="000000"/>
          <w:sz w:val="24"/>
          <w:szCs w:val="24"/>
        </w:rPr>
        <w:t xml:space="preserve">Priority references for full formalization:</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Ostrom, E. (1990). Governing the Commons. Cambridge University Press.</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Box, G.E.P., Jenkins, G.M., &amp; Reinsel, G.C. (2015). Time Series Analysis: Forecasting and Control (5th ed.). Wiley.</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Nielsen, M.A., &amp; Chuang, I.L. (2000). Quantum Computation and Quantum Information. Cambridge University Press. [Von Neumann entropy]</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Luenberger, D.G. (1966). Observers for multivariable systems. IEEE Transactions on Automatic Control, 11(2), 190–197.</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Anderies, J.M., Janssen, M.A., &amp; Ostrom, E. (2004). A framework to analyze the robustness of social-ecological systems. Ecology and Society, 9(1), 18.</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Mekong River Commission (1995). Agreement on the Cooperation for the Sustainable Development of the Mekong River Basin. MRC Secretariat.</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Nile Basin Initiative (2010). Cooperative Framework Agreement. NBI Secretariat.</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European Parliament (2000). Directive 2000/60/EC establishing a framework for Community action in the field of water policy (Water Framework Directive).</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Shannon, C.E. (1948). A mathematical theory of communication. Bell System Technical Journal, 27(3), 379–423.</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Cover, T.M., &amp; Thomas, J.A. (2006). Elements of Information Theory (2nd ed.). Wiley-Interscience.</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60" w:line="276"/>
        <w:jc w:val="center"/>
      </w:pPr>
      <w:r>
        <w:rPr>
          <w:rFonts w:ascii="Georgia" w:cs="Georgia" w:eastAsia="Georgia" w:hAnsi="Georgia"/>
          <w:b w:val="false"/>
          <w:bCs w:val="false"/>
          <w:i w:val="false"/>
          <w:iCs w:val="false"/>
          <w:color w:val="CCCCCC"/>
          <w:sz w:val="20"/>
          <w:szCs w:val="20"/>
        </w:rPr>
        <w:t xml:space="preserve">─────────────────────────────────</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60" w:line="276"/>
        <w:jc w:val="center"/>
      </w:pPr>
      <w:r>
        <w:rPr>
          <w:rFonts w:ascii="Georgia" w:cs="Georgia" w:eastAsia="Georgia" w:hAnsi="Georgia"/>
          <w:b w:val="false"/>
          <w:bCs w:val="false"/>
          <w:i/>
          <w:iCs/>
          <w:color w:val="888888"/>
          <w:sz w:val="20"/>
          <w:szCs w:val="20"/>
        </w:rPr>
        <w:t xml:space="preserve">For collective review — JAES paper development — February 2026</w:t>
      </w:r>
    </w:p>
    <w:p>
      <w:pPr>
        <w:spacing w:before="0" w:after="60" w:line="276"/>
        <w:jc w:val="center"/>
      </w:pPr>
      <w:r>
        <w:rPr>
          <w:rFonts w:ascii="Georgia" w:cs="Georgia" w:eastAsia="Georgia" w:hAnsi="Georgia"/>
          <w:b w:val="false"/>
          <w:bCs w:val="false"/>
          <w:i/>
          <w:iCs/>
          <w:color w:val="888888"/>
          <w:sz w:val="20"/>
          <w:szCs w:val="20"/>
        </w:rPr>
        <w:t xml:space="preserve">Formalization pending: Theorems 2.2, 8.1. All others proved herein.</w:t>
      </w:r>
    </w:p>
    <w:p>
      <w:pPr>
        <w:spacing w:before="0" w:after="60" w:line="276"/>
        <w:jc w:val="center"/>
      </w:pPr>
      <w:r>
        <w:rPr>
          <w:rFonts w:ascii="Georgia" w:cs="Georgia" w:eastAsia="Georgia" w:hAnsi="Georgia"/>
          <w:b w:val="false"/>
          <w:bCs w:val="false"/>
          <w:i w:val="false"/>
          <w:iCs w:val="false"/>
          <w:color w:val="888888"/>
          <w:sz w:val="20"/>
          <w:szCs w:val="20"/>
        </w:rPr>
        <w:t xml:space="preserve">Peter Higgins · Rogue Wave Audio · Markham, Ontario</w:t>
      </w:r>
    </w:p>
    <w:p>
      <w:pPr>
        <w:spacing w:before="0" w:after="60" w:line="276"/>
        <w:jc w:val="center"/>
      </w:pPr>
      <w:r>
        <w:rPr>
          <w:rFonts w:ascii="Georgia" w:cs="Georgia" w:eastAsia="Georgia" w:hAnsi="Georgia"/>
          <w:b w:val="false"/>
          <w:bCs w:val="false"/>
          <w:i w:val="false"/>
          <w:iCs w:val="false"/>
          <w:color w:val="AAAAAA"/>
          <w:sz w:val="20"/>
          <w:szCs w:val="20"/>
        </w:rPr>
        <w:t xml:space="preserve">HUF v1.1.8 · MIT License</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160" w:line="276"/>
      <w:jc w:val="center"/>
    </w:pPr>
    <w:r>
      <w:rPr>
        <w:rFonts w:ascii="Arial" w:cs="Arial" w:eastAsia="Arial" w:hAnsi="Arial"/>
        <w:b w:val="false"/>
        <w:bCs w:val="false"/>
        <w:i w:val="false"/>
        <w:iCs w:val="false"/>
        <w:color w:val="888888"/>
        <w:sz w:val="18"/>
        <w:szCs w:val="18"/>
      </w:rPr>
      <w:t xml:space="preserve">HUF — Mathematical Foundations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sz w:val="32"/>
      <w:szCs w:val="32"/>
    </w:rPr>
  </w:style>
  <w:style w:type="paragraph" w:styleId="Heading2">
    <w:name w:val="Heading 2"/>
    <w:basedOn w:val="Normal"/>
    <w:next w:val="Normal"/>
    <w:qFormat/>
    <w:pPr>
      <w:spacing w:before="320" w:after="14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2026-02-26T21:30:46.507Z</dcterms:created>
  <dcterms:modified xsi:type="dcterms:W3CDTF">2026-02-26T21:30:46.508Z</dcterms:modified>
</cp:coreProperties>
</file>

<file path=docProps/custom.xml><?xml version="1.0" encoding="utf-8"?>
<Properties xmlns="http://schemas.openxmlformats.org/officeDocument/2006/custom-properties" xmlns:vt="http://schemas.openxmlformats.org/officeDocument/2006/docPropsVTypes"/>
</file>