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40" w:line="276"/>
        <w:jc w:val="center"/>
      </w:pPr>
      <w:r>
        <w:rPr>
          <w:rFonts w:ascii="Arial" w:cs="Arial" w:eastAsia="Arial" w:hAnsi="Arial"/>
          <w:b w:val="false"/>
          <w:bCs w:val="false"/>
          <w:i/>
          <w:iCs/>
          <w:color w:val="666666"/>
          <w:sz w:val="20"/>
          <w:szCs w:val="20"/>
        </w:rPr>
        <w:t xml:space="preserve">A Briefing for Internal Discussion</w:t>
      </w:r>
    </w:p>
    <w:p>
      <w:pPr>
        <w:spacing w:before="0" w:after="80" w:line="276"/>
        <w:jc w:val="center"/>
      </w:pPr>
      <w:r>
        <w:rPr>
          <w:rFonts w:ascii="Arial" w:cs="Arial" w:eastAsia="Arial" w:hAnsi="Arial"/>
          <w:b/>
          <w:bCs/>
          <w:i w:val="false"/>
          <w:iCs w:val="false"/>
          <w:color w:val="1A3A2A"/>
          <w:sz w:val="32"/>
          <w:szCs w:val="32"/>
        </w:rPr>
        <w:t xml:space="preserve">Introducing the Higgins Unity Framework</w:t>
      </w:r>
    </w:p>
    <w:p>
      <w:pPr>
        <w:spacing w:before="0" w:after="20" w:line="276"/>
        <w:jc w:val="center"/>
      </w:pPr>
      <w:r>
        <w:rPr>
          <w:rFonts w:ascii="Arial" w:cs="Arial" w:eastAsia="Arial" w:hAnsi="Arial"/>
          <w:b w:val="false"/>
          <w:bCs w:val="false"/>
          <w:i/>
          <w:iCs/>
          <w:color w:val="2A5A3A"/>
          <w:sz w:val="28"/>
          <w:szCs w:val="28"/>
        </w:rPr>
        <w:t xml:space="preserve">A decision-support layer for portfolio coherence</w:t>
      </w:r>
    </w:p>
    <w:p>
      <w:pPr>
        <w:spacing w:before="0" w:after="320" w:line="276"/>
        <w:jc w:val="center"/>
      </w:pPr>
      <w:r>
        <w:rPr>
          <w:rFonts w:ascii="Arial" w:cs="Arial" w:eastAsia="Arial" w:hAnsi="Arial"/>
          <w:b w:val="false"/>
          <w:bCs w:val="false"/>
          <w:i/>
          <w:iCs/>
          <w:color w:val="666666"/>
          <w:sz w:val="24"/>
          <w:szCs w:val="24"/>
        </w:rPr>
        <w:t xml:space="preserve">What it shows · What it adds to existing tools · What we are asking you to consider</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Every reporting cycle, a National Report may present acceptable site-level results while underlying patterns of monitoring effort or resource allocation shift toward a small number of high-visibility sites. The Higgins Unity Framework (HUF) provides a way to make such cross-cycle changes visible in a consistent, traceable format.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The drift that does not appear in any single report</w:t>
      </w:r>
    </w:p>
    <w:p>
      <w:pPr>
        <w:spacing w:before="0" w:after="160" w:line="276"/>
        <w:jc w:val="both"/>
      </w:pPr>
      <w:r>
        <w:rPr>
          <w:rFonts w:ascii="Georgia" w:cs="Georgia" w:eastAsia="Georgia" w:hAnsi="Georgia"/>
          <w:b w:val="false"/>
          <w:bCs w:val="false"/>
          <w:i w:val="false"/>
          <w:iCs w:val="false"/>
          <w:color w:val="000000"/>
          <w:sz w:val="24"/>
          <w:szCs w:val="24"/>
        </w:rPr>
        <w:t xml:space="preserve">Contracting Parties submit National Reports every three years. Site managers complete RIS forms and METT scorecards. These instruments provide information on site-level management. The challenge arises when changes occur not at the site level, but in the distribution of attention across a portfolio.</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Many consequential shifts are gradual: increased focus on transboundary or high-profile wetlands, reduced monitoring in lower-visibility sites with high ecological value, or incremental reallocation of resources without a corresponding policy decision. Each reporting cycle may appear consistent on its own. The pattern becomes visible only when viewed across cycles.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Ramsar guidance asks Parties to report adverse change in ecological character and to use traceable indicators that support governance accountability.</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The issue is not sudden decline. It is slow reweighting that remains unreported because no mechanism currently tracks it.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What this framework adds to tools you already use</w:t>
      </w:r>
    </w:p>
    <w:p>
      <w:pPr>
        <w:spacing w:before="0" w:after="160" w:line="276"/>
        <w:jc w:val="both"/>
      </w:pPr>
      <w:r>
        <w:rPr>
          <w:rFonts w:ascii="Georgia" w:cs="Georgia" w:eastAsia="Georgia" w:hAnsi="Georgia"/>
          <w:b w:val="false"/>
          <w:bCs w:val="false"/>
          <w:i w:val="false"/>
          <w:iCs w:val="false"/>
          <w:color w:val="000000"/>
          <w:sz w:val="24"/>
          <w:szCs w:val="24"/>
        </w:rPr>
        <w:t xml:space="preserve">The Higgins Unity Framework is a traceability layer. It does not replace METT, RAPPAM, or the Site Assessment Tool (SAT). It uses outputs already produced — site scores, biodiversity data, area, endemism rates, ecosystem service values — and organises them into a shared portfolio view in which each site's proportional share is explicit and comparable across cycles.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HUF does not determine which ecological metrics are most important. Those decisions remain with national scientific teams. The framework records the weightings those teams apply and preserves them across reporting cycles. When portfolio shares shift, the shift is visible and attributable. Administrative pressures are not altered; their effects become legible.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In practical terms, the framework distinguishes between intentional reweighting — a documented policy or management decision — and silent reweighting — a shift occurring without a recorded decision. Whether a portfolio is concentrating or fragmenting, the framework detects both directions of change and records the decision context, converting ambiguity into clear, actionable transparency.</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METT does exactly what it was designed to do. So does this framework — for a different question.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METT, RAPPAM, and SAT assess management quality at a point in time. They do so effectively. The gap HUF addresses is different: whether the distribution of attention across a portfolio remains proportional over time. This is outside the scope of existing tools.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framework's outputs are designed to attach to documents Parties already produce: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Portfolio share table → allocation view suitable for National Report annexes</w:t>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Trace report → line-item explanation of why shares sit where they do</w:t>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Portfolio change log → evidence distinguishing deliberate policy shifts from unexplained movement</w:t>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Coverage record → documentation of what received reduced focus and the criteria involved</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These are standard CSV outputs. They attach to existing reporting structures. They do not require site managers to change how they work.</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A Party able to demonstrate proportional allocation — or to document that any departure reflected a deliberate choice — is better positioned to demonstrate consistent governance across cycles. For transboundary sites such as the Neretva Delta — shared between Croatia and Bosnia-Herzegovina and noted for very high fish endemism (figures from public RSIS data; verification required) — cross-cycle traceability aligns with Regional Initiative cooperation obligations under MedWet.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What a pilot could look like</w:t>
      </w:r>
    </w:p>
    <w:p>
      <w:pPr>
        <w:spacing w:before="0" w:after="160" w:line="276"/>
        <w:jc w:val="both"/>
      </w:pPr>
      <w:r>
        <w:rPr>
          <w:rFonts w:ascii="Georgia" w:cs="Georgia" w:eastAsia="Georgia" w:hAnsi="Georgia"/>
          <w:b w:val="false"/>
          <w:bCs w:val="false"/>
          <w:i w:val="false"/>
          <w:iCs w:val="false"/>
          <w:color w:val="000000"/>
          <w:sz w:val="24"/>
          <w:szCs w:val="24"/>
        </w:rPr>
        <w:t xml:space="preserve">A potential pilot could focus on Croatia's five Ramsar sites: Kopački Rit, Lonjsko Polje and Mokro Polje, Crna Mlaka, Lower Neretva Valley, and Vransko Lake Nature Park and Crkvine Wetland — totalling 93,590 hectares (RSIS Annotated Summary, Croatia, 2024).</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underlying data already exists. The gap is the absence of a mechanism to trace whether administrative gravity produces unreported reweighting across the portfolio.</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A pilot could be structured over approximately 18 months: establish a steering group with the Croatian Ministry and local partners; collect and verify baseline data from public RSIS exports; run the framework on site metrics and produce baseline artifacts; and prepare a final report for internal review and potential further use. Funding pathways can be discussed separately. All code is open-source. Outputs are standard CSV files.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A demonstration using Croatia's public RSIS data can be produced prior to any pilot decision. The framework accommodates asynchronous data; synchronised reporting windows are not required. The demonstration will show how declared changes in scientific priorities are recorded as intentional decisions. A substantial drop in a site's share is not necessarily a systemic failure — it can be a mathematically sound reflection of the scientific team's declared priorities. The demonstration will make that distinction explicit by producing the portfolio share table, trace report, portfolio change log, and coverage record for review.</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The pilot does not ask for endorsement of results. It asks for the opportunity to generate them. If the framework performs as intended, the artifacts will show it. If not, the artifacts will show that as well.</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What we are asking</w:t>
      </w:r>
    </w:p>
    <w:p>
      <w:pPr>
        <w:spacing w:before="0" w:after="160" w:line="276"/>
        <w:jc w:val="both"/>
      </w:pPr>
      <w:r>
        <w:rPr>
          <w:rFonts w:ascii="Georgia" w:cs="Georgia" w:eastAsia="Georgia" w:hAnsi="Georgia"/>
          <w:b w:val="false"/>
          <w:bCs w:val="false"/>
          <w:i w:val="false"/>
          <w:iCs w:val="false"/>
          <w:color w:val="000000"/>
          <w:sz w:val="24"/>
          <w:szCs w:val="24"/>
        </w:rPr>
        <w:t xml:space="preserve">No resources or commitments are being requested. The question for internal discussion is: does the gap this framework addresses — cross-cycle allocation traceability across a site portfolio — correspond to any current Secretariat or Regional Initiative work?</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If so, an optional short demonstration using Croatia's public RSIS data can be provided. No preparation is required. The resulting portfolio share table and trace report can be reviewed at your convenience.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One clarification: the framework does not treat all reweighting as a concern. If increased monitoring at the Neretva Delta reflects a policy priority or transboundary obligation, the portfolio change log records it as a deliberate decision. What appears as unexplained movement is reweighting without a corresponding decision. The framework is designed to make that distinction visible.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If the answer is no, that assessment is useful. If yes, the question becomes how this might relate to ongoing work on Strategic Plan Target 15 or National Report comparability across cycles. Either outcome is useful.</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bottom w:val="single" w:color="CCCCCC" w:sz="2"/>
        </w:pBdr>
        <w:spacing w:before="240" w:after="240" w:line="276"/>
        <w:jc w:val="both"/>
      </w:pPr>
      <w:r>
        <w:rPr>
          <w:rFonts w:ascii="Georgia" w:cs="Georgia" w:eastAsia="Georgia" w:hAnsi="Georgia"/>
          <w:b w:val="false"/>
          <w:bCs w:val="false"/>
          <w:i w:val="false"/>
          <w:iCs w:val="false"/>
          <w:color w:val="000000"/>
          <w:sz w:val="4"/>
          <w:szCs w:val="4"/>
        </w:rPr>
        <w:t xml:space="preserve"/>
      </w:r>
    </w:p>
    <w:p>
      <w:pPr>
        <w:spacing w:before="60" w:after="60" w:line="276"/>
        <w:ind w:left="360" w:right="360"/>
        <w:jc w:val="both"/>
      </w:pPr>
      <w:r>
        <w:rPr>
          <w:rFonts w:ascii="Arial" w:cs="Arial" w:eastAsia="Arial" w:hAnsi="Arial"/>
          <w:b/>
          <w:bCs/>
          <w:i w:val="false"/>
          <w:iCs w:val="false"/>
          <w:color w:val="555555"/>
          <w:sz w:val="20"/>
          <w:szCs w:val="20"/>
        </w:rPr>
        <w:t xml:space="preserve">Data provenance:  </w:t>
      </w:r>
      <w:r>
        <w:rPr>
          <w:rFonts w:ascii="Georgia" w:cs="Georgia" w:eastAsia="Georgia" w:hAnsi="Georgia"/>
          <w:b w:val="false"/>
          <w:bCs w:val="false"/>
          <w:i/>
          <w:iCs/>
          <w:color w:val="555555"/>
          <w:sz w:val="20"/>
          <w:szCs w:val="20"/>
        </w:rPr>
        <w:t xml:space="preserve">Where RSIS or other public exports are cited, the specific export filename and retrieval date are recorded in the pilot baseline package.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Technical resources</w:t>
      </w:r>
    </w:p>
    <w:p>
      <w:pPr>
        <w:spacing w:before="40" w:after="40" w:line="276"/>
        <w:jc w:val="both"/>
      </w:pPr>
      <w:r>
        <w:rPr>
          <w:rFonts w:ascii="Arial" w:cs="Arial" w:eastAsia="Arial" w:hAnsi="Arial"/>
          <w:b/>
          <w:bCs/>
          <w:i w:val="false"/>
          <w:iCs w:val="false"/>
          <w:color w:val="000000"/>
          <w:sz w:val="20"/>
          <w:szCs w:val="20"/>
        </w:rPr>
        <w:t xml:space="preserve">Repository and open-source code: </w:t>
      </w:r>
      <w:hyperlink w:history="1" r:id="rIdadgmp4qumsgli4884glxf">
        <w:r>
          <w:rPr>
            <w:rFonts w:ascii="Arial" w:cs="Arial" w:eastAsia="Arial" w:hAnsi="Arial"/>
            <w:b w:val="false"/>
            <w:bCs w:val="false"/>
            <w:i w:val="false"/>
            <w:iCs w:val="false"/>
            <w:color w:val="1155CC"/>
            <w:sz w:val="20"/>
            <w:szCs w:val="20"/>
          </w:rPr>
          <w:t xml:space="preserve">https://github.com/PeterHiggins19/huf_core</w:t>
        </w:r>
      </w:hyperlink>
    </w:p>
    <w:p>
      <w:pPr>
        <w:spacing w:before="40" w:after="40" w:line="276"/>
        <w:jc w:val="both"/>
      </w:pPr>
      <w:r>
        <w:rPr>
          <w:rFonts w:ascii="Arial" w:cs="Arial" w:eastAsia="Arial" w:hAnsi="Arial"/>
          <w:b/>
          <w:bCs/>
          <w:i w:val="false"/>
          <w:iCs w:val="false"/>
          <w:color w:val="000000"/>
          <w:sz w:val="20"/>
          <w:szCs w:val="20"/>
        </w:rPr>
        <w:t xml:space="preserve">Documentation and field guide: </w:t>
      </w:r>
      <w:hyperlink w:history="1" r:id="rIdkxifagwflxriqgpvkanqa">
        <w:r>
          <w:rPr>
            <w:rFonts w:ascii="Arial" w:cs="Arial" w:eastAsia="Arial" w:hAnsi="Arial"/>
            <w:b w:val="false"/>
            <w:bCs w:val="false"/>
            <w:i w:val="false"/>
            <w:iCs w:val="false"/>
            <w:color w:val="1155CC"/>
            <w:sz w:val="20"/>
            <w:szCs w:val="20"/>
          </w:rPr>
          <w:t xml:space="preserve">https://peterhiggins19.github.io/huf_core</w:t>
        </w:r>
      </w:hyperlink>
    </w:p>
    <w:p>
      <w:pPr>
        <w:spacing w:before="40" w:after="40" w:line="276"/>
        <w:jc w:val="both"/>
      </w:pPr>
      <w:r>
        <w:rPr>
          <w:rFonts w:ascii="Arial" w:cs="Arial" w:eastAsia="Arial" w:hAnsi="Arial"/>
          <w:b/>
          <w:bCs/>
          <w:i w:val="false"/>
          <w:iCs w:val="false"/>
          <w:color w:val="000000"/>
          <w:sz w:val="20"/>
          <w:szCs w:val="20"/>
        </w:rPr>
        <w:t xml:space="preserve">Wiki and collective review record: </w:t>
      </w:r>
      <w:hyperlink w:history="1" r:id="rIdq9mgbfwpzglbxvzcvdxx0">
        <w:r>
          <w:rPr>
            <w:rFonts w:ascii="Arial" w:cs="Arial" w:eastAsia="Arial" w:hAnsi="Arial"/>
            <w:b w:val="false"/>
            <w:bCs w:val="false"/>
            <w:i w:val="false"/>
            <w:iCs w:val="false"/>
            <w:color w:val="1155CC"/>
            <w:sz w:val="20"/>
            <w:szCs w:val="20"/>
          </w:rPr>
          <w:t xml:space="preserve">https://github.com/PeterHiggins19/huf_core/wiki</w:t>
        </w:r>
      </w:hyperlink>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bottom w:val="single" w:color="CCCCCC" w:sz="2"/>
        </w:pBdr>
        <w:spacing w:before="240" w:after="240" w:line="276"/>
        <w:jc w:val="both"/>
      </w:pPr>
      <w:r>
        <w:rPr>
          <w:rFonts w:ascii="Georgia" w:cs="Georgia" w:eastAsia="Georgia" w:hAnsi="Georgia"/>
          <w:b w:val="false"/>
          <w:bCs w:val="false"/>
          <w:i w:val="false"/>
          <w:iCs w:val="false"/>
          <w:color w:val="000000"/>
          <w:sz w:val="4"/>
          <w:szCs w:val="4"/>
        </w:rPr>
        <w:t xml:space="preserve"/>
      </w:r>
    </w:p>
    <w:p>
      <w:pPr>
        <w:spacing w:before="60" w:after="60" w:line="276"/>
        <w:ind w:left="360" w:right="360"/>
        <w:jc w:val="both"/>
      </w:pPr>
      <w:r>
        <w:rPr>
          <w:rFonts w:ascii="Arial" w:cs="Arial" w:eastAsia="Arial" w:hAnsi="Arial"/>
          <w:b/>
          <w:bCs/>
          <w:i w:val="false"/>
          <w:iCs w:val="false"/>
          <w:color w:val="555555"/>
          <w:sz w:val="20"/>
          <w:szCs w:val="20"/>
        </w:rPr>
        <w:t xml:space="preserve">Ethics:  </w:t>
      </w:r>
      <w:r>
        <w:rPr>
          <w:rFonts w:ascii="Georgia" w:cs="Georgia" w:eastAsia="Georgia" w:hAnsi="Georgia"/>
          <w:b w:val="false"/>
          <w:bCs w:val="false"/>
          <w:i/>
          <w:iCs/>
          <w:color w:val="555555"/>
          <w:sz w:val="20"/>
          <w:szCs w:val="20"/>
        </w:rPr>
        <w:t xml:space="preserve">Prepared with AI-assisted drafting, reviewed and curated by the operator. Claims are stated conservatively and should be treated as hypotheses pending pilot validation.</w:t>
      </w:r>
    </w:p>
    <w:p>
      <w:pPr>
        <w:spacing w:before="0" w:after="120" w:line="276"/>
        <w:jc w:val="both"/>
      </w:pPr>
      <w:r>
        <w:rPr>
          <w:rFonts w:ascii="Georgia" w:cs="Georgia" w:eastAsia="Georgia" w:hAnsi="Georgia"/>
          <w:b w:val="false"/>
          <w:bCs w:val="false"/>
          <w:i w:val="false"/>
          <w:iCs w:val="false"/>
          <w:color w:val="000000"/>
          <w:sz w:val="24"/>
          <w:szCs w:val="24"/>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Peter Higgins · Rogue Wave Audio · Markham, Ontario · roguewaveaudio.com  ·  HUF v1.2.0 · MIT License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60" w:line="276"/>
      <w:jc w:val="both"/>
    </w:pPr>
    <w:r>
      <w:rPr>
        <w:rFonts w:ascii="Arial" w:cs="Arial" w:eastAsia="Arial" w:hAnsi="Arial"/>
        <w:b w:val="false"/>
        <w:bCs w:val="false"/>
        <w:i w:val="false"/>
        <w:iCs w:val="false"/>
        <w:color w:val="888888"/>
        <w:sz w:val="18"/>
        <w:szCs w:val="18"/>
      </w:rPr>
      <w:t xml:space="preserve">HIGGINS UNITY FRAMEWORK  ·  RAMSAR CONTACT PRIMER  ·  v12</w:t>
    </w:r>
    <w:r>
      <w:rPr>
        <w:rFonts w:ascii="Arial" w:cs="Arial" w:eastAsia="Arial" w:hAnsi="Arial"/>
        <w:b/>
        <w:bCs/>
        <w:i w:val="false"/>
        <w:iCs w:val="false"/>
        <w:color w:val="AA4400"/>
        <w:sz w:val="18"/>
        <w:szCs w:val="18"/>
      </w:rPr>
      <w:t xml:space="preserve">  |  INTERNAL DISCUSSION DOCUMENT — NOT FOR EXTERNAL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adgmp4qumsgli4884glxf" Type="http://schemas.openxmlformats.org/officeDocument/2006/relationships/hyperlink" Target="https://github.com/PeterHiggins19/huf_core" TargetMode="External"/><Relationship Id="rIdkxifagwflxriqgpvkanqa" Type="http://schemas.openxmlformats.org/officeDocument/2006/relationships/hyperlink" Target="https://peterhiggins19.github.io/huf_core" TargetMode="External"/><Relationship Id="rIdq9mgbfwpzglbxvzcvdxx0" Type="http://schemas.openxmlformats.org/officeDocument/2006/relationships/hyperlink" Target="https://github.com/PeterHiggins19/huf_core/wiki"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2026-02-27T02:37:04.363Z</dcterms:created>
  <dcterms:modified xsi:type="dcterms:W3CDTF">2026-02-27T02:37:04.364Z</dcterms:modified>
</cp:coreProperties>
</file>

<file path=docProps/custom.xml><?xml version="1.0" encoding="utf-8"?>
<Properties xmlns="http://schemas.openxmlformats.org/officeDocument/2006/custom-properties" xmlns:vt="http://schemas.openxmlformats.org/officeDocument/2006/docPropsVTypes"/>
</file>