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>CODES: CASE, APPENDIX | ART: CM, AS, TR, EB | EVID:E1 | POSTURE:OP | WEIGHTS: OP=0.80 TOOL=0.20 PEER=0.00 | CAP: OP_MIN=0.51 TOOL_MAX=0.49 | CANON:notes/current_documents/staged/HUF.DRAFT.CASE.NOTE.APPENDIX_D1_INSERTS_V3/appendix_d1_inserts_v3.docx</w:t>
      </w:r>
    </w:p>
    <w:p>
      <w:r>
        <w:t>HUF-DOC: HUF.DRAFT.CASE.NOTE.APPENDIX_D1_INSERTS_V3 | HUF:1.1.8 | DOC:v3 | STATUS:draft | LANE:draft | RO:Peter Higgins</w:t>
      </w:r>
    </w:p>
    <w:p/>
    <w:p>
      <w:pPr>
        <w:spacing w:before="0" w:after="80" w:line="276"/>
        <w:jc w:val="both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32"/>
          <w:szCs w:val="32"/>
        </w:rPr>
        <w:t xml:space="preserve">Appendix D.1 — Case Study Exhibit A</w:t>
      </w:r>
    </w:p>
    <w:p>
      <w:pPr>
        <w:spacing w:before="0" w:after="200" w:line="276"/>
        <w:jc w:val="both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0"/>
          <w:szCs w:val="20"/>
        </w:rPr>
        <w:t xml:space="preserve">Ready-to-paste insert blocks — Copilot integration v2, February 2026</w:t>
      </w:r>
    </w:p>
    <w:p>
      <w:pPr>
        <w:spacing w:before="0" w:after="16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Each block below is keyed to a context marker. Insert it at the indicated location in Appendix D.1. Context markers are shown in green; insert text is shown in the bordered block. Do not modify the bordered text unless updating provenance placeholders ([insert filename], [YYYY-MM-DD]).</w:t>
      </w:r>
    </w:p>
    <w:p>
      <w:pPr>
        <w:spacing w:before="0" w:after="10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pStyle w:val="Heading2"/>
        <w:spacing w:before="320" w:after="140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8"/>
          <w:szCs w:val="28"/>
        </w:rPr>
        <w:t xml:space="preserve">Context A — After the reciprocal table in Test T5</w:t>
      </w:r>
    </w:p>
    <w:p>
      <w:pPr>
        <w:spacing w:before="0" w:after="16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Location: immediately after the table listing leverage values in Test T5. This note explains the leverage computation and sets qualitative expectations for high-leverage values.</w:t>
      </w:r>
    </w:p>
    <w:p>
      <w:pPr>
        <w:spacing w:before="0" w:after="10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pBdr>
          <w:left w:val="single" w:color="006633" w:sz="8" w:space="10"/>
        </w:pBdr>
        <w:spacing w:before="160" w:after="80" w:line="276"/>
        <w:ind w:left="360" w:right="360"/>
        <w:jc w:val="both"/>
      </w:pPr>
      <w:r>
        <w:rPr>
          <w:rFonts w:ascii="Arial" w:cs="Arial" w:eastAsia="Arial" w:hAnsi="Arial"/>
          <w:b/>
          <w:bCs/>
          <w:i w:val="false"/>
          <w:iCs w:val="false"/>
          <w:color w:val="006633"/>
          <w:sz w:val="24"/>
          <w:szCs w:val="24"/>
        </w:rPr>
        <w:t xml:space="preserve">Insert after reciprocal table in T5:  </w:t>
      </w:r>
      <w:r>
        <w:rPr>
          <w:rFonts w:ascii="Georgia" w:cs="Georgia" w:eastAsia="Georgia" w:hAnsi="Georgia"/>
          <w:b w:val="false"/>
          <w:bCs w:val="false"/>
          <w:i/>
          <w:iCs/>
          <w:color w:val="006633"/>
          <w:sz w:val="24"/>
          <w:szCs w:val="24"/>
        </w:rPr>
        <w:t xml:space="preserve"/>
      </w:r>
    </w:p>
    <w:p>
      <w:pPr>
        <w:pBdr>
          <w:top w:val="single" w:color="AAAAAA" w:sz="4" w:space="6"/>
          <w:bottom w:val="single" w:color="AAAAAA" w:sz="4" w:space="6"/>
          <w:left w:val="single" w:color="AAAAAA" w:sz="4" w:space="8"/>
          <w:right w:val="single" w:color="AAAAAA" w:sz="4" w:space="8"/>
        </w:pBdr>
        <w:spacing w:before="80" w:after="80" w:line="276"/>
        <w:ind w:left="720" w:right="720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Note: leverage is computed as leverage = 1/ρ. Leverage is unitless and indicates sensitivity to removal or under-resourcing; values above 100 should be treated as high-leverage flags rather than precise multiplicative effects. Interpret extreme reciprocals qualitatively as indicators of phase-dependent, high-Q elements that warrant targeted investigation.</w:t>
      </w:r>
    </w:p>
    <w:p>
      <w:pPr>
        <w:spacing w:before="0" w:after="10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spacing w:before="0" w:after="16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Methodological note (also suitable for first leverage mention in primer mapping):</w:t>
      </w:r>
    </w:p>
    <w:p>
      <w:pPr>
        <w:pBdr>
          <w:top w:val="single" w:color="AAAAAA" w:sz="4" w:space="6"/>
          <w:bottom w:val="single" w:color="AAAAAA" w:sz="4" w:space="6"/>
          <w:left w:val="single" w:color="AAAAAA" w:sz="4" w:space="8"/>
          <w:right w:val="single" w:color="AAAAAA" w:sz="4" w:space="8"/>
        </w:pBdr>
        <w:spacing w:before="80" w:after="80" w:line="276"/>
        <w:ind w:left="720" w:right="720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Methodological note: leverage is a sensitivity indicator computed as leverage = 1/ρ. It is unitless and highlights elements whose small proportional share masks high governance sensitivity. Values above 100 are qualitative high-leverage flags; treat them as prompts for targeted investigation rather than precise multiplicative claims.</w:t>
      </w:r>
    </w:p>
    <w:p>
      <w:pPr>
        <w:spacing w:before="0" w:after="10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pStyle w:val="Heading2"/>
        <w:spacing w:before="320" w:after="140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8"/>
          <w:szCs w:val="28"/>
        </w:rPr>
        <w:t xml:space="preserve">Context B — Mean Drift Gap definition in Test T8</w:t>
      </w:r>
    </w:p>
    <w:p>
      <w:pPr>
        <w:spacing w:before="0" w:after="16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Location: where 'Mean Drift Gap' and '5pp threshold' first appear in Section T8 / Ground State Assessment. Append the parenthetical definition immediately after the first occurrence of either term.</w:t>
      </w:r>
    </w:p>
    <w:p>
      <w:pPr>
        <w:spacing w:before="0" w:after="10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pBdr>
          <w:left w:val="single" w:color="006633" w:sz="8" w:space="10"/>
        </w:pBdr>
        <w:spacing w:before="160" w:after="80" w:line="276"/>
        <w:ind w:left="360" w:right="360"/>
        <w:jc w:val="both"/>
      </w:pPr>
      <w:r>
        <w:rPr>
          <w:rFonts w:ascii="Arial" w:cs="Arial" w:eastAsia="Arial" w:hAnsi="Arial"/>
          <w:b/>
          <w:bCs/>
          <w:i w:val="false"/>
          <w:iCs w:val="false"/>
          <w:color w:val="006633"/>
          <w:sz w:val="24"/>
          <w:szCs w:val="24"/>
        </w:rPr>
        <w:t xml:space="preserve">Insert parenthetical after first mention of Mean Drift Gap / 5pp in T8:  </w:t>
      </w:r>
      <w:r>
        <w:rPr>
          <w:rFonts w:ascii="Georgia" w:cs="Georgia" w:eastAsia="Georgia" w:hAnsi="Georgia"/>
          <w:b w:val="false"/>
          <w:bCs w:val="false"/>
          <w:i/>
          <w:iCs/>
          <w:color w:val="006633"/>
          <w:sz w:val="24"/>
          <w:szCs w:val="24"/>
        </w:rPr>
        <w:t xml:space="preserve"/>
      </w:r>
    </w:p>
    <w:p>
      <w:pPr>
        <w:pBdr>
          <w:top w:val="single" w:color="AAAAAA" w:sz="4" w:space="6"/>
          <w:bottom w:val="single" w:color="AAAAAA" w:sz="4" w:space="6"/>
          <w:left w:val="single" w:color="AAAAAA" w:sz="4" w:space="8"/>
          <w:right w:val="single" w:color="AAAAAA" w:sz="4" w:space="8"/>
        </w:pBdr>
        <w:spacing w:before="80" w:after="80" w:line="276"/>
        <w:ind w:left="720" w:right="720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(Mean drift gap: average absolute percentage-point difference between declared and observed shares; 5pp is the operational threshold used in HUF diagnostics for ground-state classification.)</w:t>
      </w:r>
    </w:p>
    <w:p>
      <w:pPr>
        <w:spacing w:before="0" w:after="10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pStyle w:val="Heading2"/>
        <w:spacing w:before="320" w:after="140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8"/>
          <w:szCs w:val="28"/>
        </w:rPr>
        <w:t xml:space="preserve">Context C — System B HUF Declaration block (Croatia Ramsar)</w:t>
      </w:r>
    </w:p>
    <w:p>
      <w:pPr>
        <w:spacing w:before="0" w:after="16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Location: at the end of the HUF Declaration block for System B in Appendix D.1. This is the provenance sentence for the Croatia RSIS data. Replace the placeholders with actual values at pilot baseline run.</w:t>
      </w:r>
    </w:p>
    <w:p>
      <w:pPr>
        <w:spacing w:before="0" w:after="10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pBdr>
          <w:left w:val="single" w:color="006633" w:sz="8" w:space="10"/>
        </w:pBdr>
        <w:spacing w:before="160" w:after="80" w:line="276"/>
        <w:ind w:left="360" w:right="360"/>
        <w:jc w:val="both"/>
      </w:pPr>
      <w:r>
        <w:rPr>
          <w:rFonts w:ascii="Arial" w:cs="Arial" w:eastAsia="Arial" w:hAnsi="Arial"/>
          <w:b/>
          <w:bCs/>
          <w:i w:val="false"/>
          <w:iCs w:val="false"/>
          <w:color w:val="006633"/>
          <w:sz w:val="24"/>
          <w:szCs w:val="24"/>
        </w:rPr>
        <w:t xml:space="preserve">Append to end of System B Declaration block:  </w:t>
      </w:r>
      <w:r>
        <w:rPr>
          <w:rFonts w:ascii="Georgia" w:cs="Georgia" w:eastAsia="Georgia" w:hAnsi="Georgia"/>
          <w:b w:val="false"/>
          <w:bCs w:val="false"/>
          <w:i/>
          <w:iCs/>
          <w:color w:val="006633"/>
          <w:sz w:val="24"/>
          <w:szCs w:val="24"/>
        </w:rPr>
        <w:t xml:space="preserve"/>
      </w:r>
    </w:p>
    <w:p>
      <w:pPr>
        <w:pBdr>
          <w:top w:val="single" w:color="AAAAAA" w:sz="4" w:space="6"/>
          <w:bottom w:val="single" w:color="AAAAAA" w:sz="4" w:space="6"/>
          <w:left w:val="single" w:color="AAAAAA" w:sz="4" w:space="8"/>
          <w:right w:val="single" w:color="AAAAAA" w:sz="4" w:space="8"/>
        </w:pBdr>
        <w:spacing w:before="80" w:after="80" w:line="276"/>
        <w:ind w:left="720" w:right="720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Provenance: RSIS export (Croatia) — [insert filename], retrieved [YYYY-MM-DD]; area and endemism fields used as provided. Declared weights pending operator confirmation.</w:t>
      </w:r>
    </w:p>
    <w:p>
      <w:pPr>
        <w:spacing w:before="0" w:after="60" w:line="276"/>
        <w:ind w:left="720" w:right="720"/>
        <w:jc w:val="both"/>
      </w:pPr>
      <w:r>
        <w:rPr>
          <w:rFonts w:ascii="Arial" w:cs="Arial" w:eastAsia="Arial" w:hAnsi="Arial"/>
          <w:b/>
          <w:bCs/>
          <w:i w:val="false"/>
          <w:iCs w:val="false"/>
          <w:color w:val="888888"/>
          <w:sz w:val="20"/>
          <w:szCs w:val="20"/>
        </w:rPr>
        <w:t xml:space="preserve">NOTE  </w:t>
      </w:r>
      <w:r>
        <w:rPr>
          <w:rFonts w:ascii="Georgia" w:cs="Georgia" w:eastAsia="Georgia" w:hAnsi="Georgia"/>
          <w:b w:val="false"/>
          <w:bCs w:val="false"/>
          <w:i/>
          <w:iCs/>
          <w:color w:val="888888"/>
          <w:sz w:val="20"/>
          <w:szCs w:val="20"/>
        </w:rPr>
        <w:t xml:space="preserve">Replace [insert filename] with the actual RSIS export filename (e.g., rsis_croatia_20260301.csv) and [YYYY-MM-DD] with the actual retrieval date at pilot baseline run.</w:t>
      </w:r>
    </w:p>
    <w:p>
      <w:pPr>
        <w:spacing w:before="0" w:after="10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pStyle w:val="Heading2"/>
        <w:spacing w:before="320" w:after="140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8"/>
          <w:szCs w:val="28"/>
        </w:rPr>
        <w:t xml:space="preserve">Context D — Appendix D.1 footer (provenance footer)</w:t>
      </w:r>
    </w:p>
    <w:p>
      <w:pPr>
        <w:spacing w:before="0" w:after="16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Location: at the end of Appendix D.1, before the footer block. Same provenance statement used in the primer.</w:t>
      </w:r>
    </w:p>
    <w:p>
      <w:pPr>
        <w:spacing w:before="0" w:after="10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pBdr>
          <w:left w:val="single" w:color="006633" w:sz="8" w:space="10"/>
        </w:pBdr>
        <w:spacing w:before="160" w:after="80" w:line="276"/>
        <w:ind w:left="360" w:right="360"/>
        <w:jc w:val="both"/>
      </w:pPr>
      <w:r>
        <w:rPr>
          <w:rFonts w:ascii="Arial" w:cs="Arial" w:eastAsia="Arial" w:hAnsi="Arial"/>
          <w:b/>
          <w:bCs/>
          <w:i w:val="false"/>
          <w:iCs w:val="false"/>
          <w:color w:val="006633"/>
          <w:sz w:val="24"/>
          <w:szCs w:val="24"/>
        </w:rPr>
        <w:t xml:space="preserve">Insert at end of Appendix D.1 before footer:  </w:t>
      </w:r>
      <w:r>
        <w:rPr>
          <w:rFonts w:ascii="Georgia" w:cs="Georgia" w:eastAsia="Georgia" w:hAnsi="Georgia"/>
          <w:b w:val="false"/>
          <w:bCs w:val="false"/>
          <w:i/>
          <w:iCs/>
          <w:color w:val="006633"/>
          <w:sz w:val="24"/>
          <w:szCs w:val="24"/>
        </w:rPr>
        <w:t xml:space="preserve"/>
      </w:r>
    </w:p>
    <w:p>
      <w:pPr>
        <w:pBdr>
          <w:top w:val="single" w:color="AAAAAA" w:sz="4" w:space="6"/>
          <w:bottom w:val="single" w:color="AAAAAA" w:sz="4" w:space="6"/>
          <w:left w:val="single" w:color="AAAAAA" w:sz="4" w:space="8"/>
          <w:right w:val="single" w:color="AAAAAA" w:sz="4" w:space="8"/>
        </w:pBdr>
        <w:spacing w:before="80" w:after="80" w:line="276"/>
        <w:ind w:left="720" w:right="720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Data provenance: where RSIS or other public exports are cited, the specific export filename and retrieval date are recorded in the pilot baseline package.</w:t>
      </w:r>
    </w:p>
    <w:p>
      <w:pPr>
        <w:spacing w:before="0" w:after="10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pStyle w:val="Heading2"/>
        <w:spacing w:before="320" w:after="140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8"/>
          <w:szCs w:val="28"/>
        </w:rPr>
        <w:t xml:space="preserve">Compliance check</w:t>
      </w:r>
    </w:p>
    <w:p>
      <w:pPr>
        <w:spacing w:before="0" w:after="16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After inserting all four blocks, verify:</w:t>
      </w:r>
    </w:p>
    <w:p>
      <w:pPr>
        <w:spacing w:before="0" w:after="60" w:line="276"/>
        <w:ind w:left="360" w:right="360"/>
        <w:jc w:val="both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</w:rPr>
        <w:t xml:space="preserve">☐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Context A: leverage note appears immediately after the reciprocal table in T5</w:t>
      </w:r>
    </w:p>
    <w:p>
      <w:pPr>
        <w:spacing w:before="0" w:after="60" w:line="276"/>
        <w:ind w:left="360" w:right="360"/>
        <w:jc w:val="both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</w:rPr>
        <w:t xml:space="preserve">☐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Context B: mean drift gap parenthetical appears at first mention in T8</w:t>
      </w:r>
    </w:p>
    <w:p>
      <w:pPr>
        <w:spacing w:before="0" w:after="60" w:line="276"/>
        <w:ind w:left="360" w:right="360"/>
        <w:jc w:val="both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</w:rPr>
        <w:t xml:space="preserve">☐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Context C: provenance sentence is at the end of the System B declaration block</w:t>
      </w:r>
    </w:p>
    <w:p>
      <w:pPr>
        <w:spacing w:before="0" w:after="60" w:line="276"/>
        <w:ind w:left="360" w:right="360"/>
        <w:jc w:val="both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</w:rPr>
        <w:t xml:space="preserve">☐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Context D: provenance footer appears before the footer block</w:t>
      </w:r>
    </w:p>
    <w:p>
      <w:pPr>
        <w:spacing w:before="0" w:after="60" w:line="276"/>
        <w:ind w:left="360" w:right="360"/>
        <w:jc w:val="both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</w:rPr>
        <w:t xml:space="preserve">☐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All provenance placeholders filled with actual values at pilot baseline run</w:t>
      </w:r>
    </w:p>
    <w:p>
      <w:pPr>
        <w:spacing w:before="0" w:after="10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pStyle w:val="Heading2"/>
        <w:spacing w:before="320" w:after="140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8"/>
          <w:szCs w:val="28"/>
        </w:rPr>
        <w:t xml:space="preserve">Version record</w:t>
      </w:r>
    </w:p>
    <w:p>
      <w:pPr>
        <w:spacing w:before="0" w:after="16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These inserts integrate Copilot response (February 2026) into Appendix D.1. Prior version of Appendix D.1 is Exhibit A v2. This integration produces Exhibit A v3.</w:t>
      </w:r>
    </w:p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0" w:after="160" w:line="276"/>
      <w:jc w:val="center"/>
    </w:pPr>
    <w:r>
      <w:rPr>
        <w:rFonts w:ascii="Arial" w:cs="Arial" w:eastAsia="Arial" w:hAnsi="Arial"/>
        <w:b w:val="false"/>
        <w:bCs w:val="false"/>
        <w:i w:val="false"/>
        <w:iCs w:val="false"/>
        <w:color w:val="888888"/>
        <w:sz w:val="18"/>
        <w:szCs w:val="18"/>
      </w:rPr>
      <w:t xml:space="preserve">Appendix D.1 Insert Blocks (Copilot integration v2)  | 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2026-02-27T02:39:13.139Z</dcterms:created>
  <dcterms:modified xsi:type="dcterms:W3CDTF">2026-02-27T02:39:13.140Z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