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CODES: RMS, PACKAGE | ART: CM, AS, TR, EB | EVID:E1 | POSTURE:OP | WEIGHTS: OP=0.80 TOOL=0.20 PEER=0.00 | CAP: OP_MIN=0.51 TOOL_MAX=0.49 | CANON:notes/current_documents/staged/HUF.DRAFT.PARTNER.PACKAGE.HUF_RAMSAR_CROATIA_PACKAGE_FEB2026/HUF_Ramsar_Croatia_Package_Feb2026.docx</w:t>
      </w:r>
    </w:p>
    <w:p>
      <w:r>
        <w:t>HUF-DOC: HUF.DRAFT.PARTNER.PACKAGE.HUF_RAMSAR_CROATIA_PACKAGE_FEB2026 | HUF:1.1.8 | DOC:v0.0.0 | STATUS:draft | LANE:draft | RO:Peter Higgins</w:t>
      </w:r>
    </w:p>
    <w:p/>
    <w:p>
      <w:pPr>
        <w:spacing w:before="0" w:after="480" w:line="284"/>
        <w:jc w:val="left"/>
      </w:pPr>
      <w:r>
        <w:rPr>
          <w:rFonts w:ascii="Calibri" w:cs="Calibri" w:eastAsia="Calibri" w:hAnsi="Calibri"/>
          <w:b w:val="false"/>
          <w:bCs w:val="false"/>
          <w:i w:val="false"/>
          <w:iCs w:val="false"/>
          <w:caps w:val="false"/>
          <w:color w:val="1A1A1A"/>
          <w:sz w:val="22"/>
          <w:szCs w:val="22"/>
        </w:rPr>
        <w:t xml:space="preserve"/>
      </w:r>
    </w:p>
    <w:p>
      <w:pPr>
        <w:spacing w:before="0" w:after="12"/>
        <w:jc w:val="center"/>
      </w:pPr>
      <w:r>
        <w:rPr>
          <w:rFonts w:ascii="Calibri" w:cs="Calibri" w:eastAsia="Calibri" w:hAnsi="Calibri"/>
          <w:caps/>
          <w:color w:val="7A8A99"/>
          <w:sz w:val="20"/>
          <w:szCs w:val="20"/>
        </w:rPr>
        <w:t xml:space="preserve">RAMSAR CROATIA PILOT</w:t>
      </w:r>
    </w:p>
    <w:p>
      <w:pPr>
        <w:pBdr>
          <w:bottom w:val="single" w:color="1A1A2E" w:sz="8" w:space="14"/>
        </w:pBdr>
        <w:spacing w:before="0" w:after="16"/>
        <w:jc w:val="center"/>
      </w:pPr>
      <w:r>
        <w:rPr>
          <w:rFonts w:ascii="Calibri" w:cs="Calibri" w:eastAsia="Calibri" w:hAnsi="Calibri"/>
          <w:b/>
          <w:bCs/>
          <w:color w:val="1A1A2E"/>
          <w:sz w:val="52"/>
          <w:szCs w:val="52"/>
        </w:rPr>
        <w:t xml:space="preserve">COMPLETE HANDOFF PACKAGE</w:t>
      </w:r>
    </w:p>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spacing w:before="0" w:after="16"/>
        <w:jc w:val="center"/>
      </w:pPr>
      <w:r>
        <w:rPr>
          <w:rFonts w:ascii="Calibri" w:cs="Calibri" w:eastAsia="Calibri" w:hAnsi="Calibri"/>
          <w:color w:val="2C3E50"/>
          <w:sz w:val="28"/>
          <w:szCs w:val="28"/>
        </w:rPr>
        <w:t xml:space="preserve">Higgins Unity Framework · HUF v1.2.0</w:t>
      </w:r>
    </w:p>
    <w:p>
      <w:pPr>
        <w:spacing w:before="0" w:after="60"/>
        <w:jc w:val="center"/>
      </w:pPr>
      <w:r>
        <w:rPr>
          <w:rFonts w:ascii="Calibri" w:cs="Calibri" w:eastAsia="Calibri" w:hAnsi="Calibri"/>
          <w:i/>
          <w:iCs/>
          <w:color w:val="4A6080"/>
          <w:sz w:val="24"/>
          <w:szCs w:val="24"/>
        </w:rPr>
        <w:t xml:space="preserve">Ratio State Monitoring applied to the Croatian Ramsar Portfolio</w:t>
      </w:r>
    </w:p>
    <w:p>
      <w:pPr>
        <w:spacing w:before="0" w:after="240" w:line="284"/>
        <w:jc w:val="left"/>
      </w:pPr>
      <w:r>
        <w:rPr>
          <w:rFonts w:ascii="Calibri" w:cs="Calibri" w:eastAsia="Calibri" w:hAnsi="Calibri"/>
          <w:b w:val="false"/>
          <w:bCs w:val="false"/>
          <w:i w:val="false"/>
          <w:iCs w:val="false"/>
          <w:caps w:val="false"/>
          <w:color w:val="1A1A1A"/>
          <w:sz w:val="22"/>
          <w:szCs w:val="22"/>
        </w:rPr>
        <w:t xml:space="preserve"/>
      </w:r>
    </w:p>
    <w:p>
      <w:pPr>
        <w:pBdr>
          <w:top w:val="single" w:color="C8D4E0" w:sz="2" w:space="8"/>
        </w:pBdr>
        <w:spacing w:before="0" w:after="20"/>
        <w:jc w:val="center"/>
      </w:pPr>
      <w:r>
        <w:rPr>
          <w:rFonts w:ascii="Calibri" w:cs="Calibri" w:eastAsia="Calibri" w:hAnsi="Calibri"/>
          <w:color w:val="7A8A99"/>
          <w:sz w:val="22"/>
          <w:szCs w:val="22"/>
        </w:rPr>
        <w:t xml:space="preserve">Five Sites · 93,590 ha · Three Reporting Cycles Simulated</w:t>
      </w:r>
    </w:p>
    <w:p>
      <w:pPr>
        <w:spacing w:before="0" w:after="20"/>
        <w:jc w:val="center"/>
      </w:pPr>
      <w:r>
        <w:rPr>
          <w:rFonts w:ascii="Calibri" w:cs="Calibri" w:eastAsia="Calibri" w:hAnsi="Calibri"/>
          <w:color w:val="2C3E50"/>
          <w:sz w:val="22"/>
          <w:szCs w:val="22"/>
        </w:rPr>
        <w:t xml:space="preserve">Kopački Rit  ·  Lonjsko Polje  ·  Crna Mlaka  ·  Donja Neretva  ·  Vransko jezero</w:t>
      </w:r>
    </w:p>
    <w:p>
      <w:pPr>
        <w:spacing w:before="0" w:after="320" w:line="284"/>
        <w:jc w:val="left"/>
      </w:pPr>
      <w:r>
        <w:rPr>
          <w:rFonts w:ascii="Calibri" w:cs="Calibri" w:eastAsia="Calibri" w:hAnsi="Calibri"/>
          <w:b w:val="false"/>
          <w:bCs w:val="false"/>
          <w:i w:val="false"/>
          <w:iCs w:val="false"/>
          <w:caps w:val="false"/>
          <w:color w:val="1A1A1A"/>
          <w:sz w:val="22"/>
          <w:szCs w:val="22"/>
        </w:rPr>
        <w:t xml:space="preserve"/>
      </w:r>
    </w:p>
    <w:p>
      <w:pPr>
        <w:spacing w:before="0" w:after="16"/>
        <w:jc w:val="center"/>
      </w:pPr>
      <w:r>
        <w:rPr>
          <w:rFonts w:ascii="Calibri" w:cs="Calibri" w:eastAsia="Calibri" w:hAnsi="Calibri"/>
          <w:color w:val="7A8A99"/>
          <w:sz w:val="20"/>
          <w:szCs w:val="20"/>
        </w:rPr>
        <w:t xml:space="preserve">February 2026  ·  Collective Record</w:t>
      </w:r>
    </w:p>
    <w:p>
      <w:pPr>
        <w:spacing w:before="0" w:after="16"/>
        <w:jc w:val="center"/>
      </w:pPr>
      <w:r>
        <w:rPr>
          <w:rFonts w:ascii="Calibri" w:cs="Calibri" w:eastAsia="Calibri" w:hAnsi="Calibri"/>
          <w:color w:val="7A8A99"/>
          <w:sz w:val="20"/>
          <w:szCs w:val="20"/>
        </w:rPr>
        <w:t xml:space="preserve">Peter Higgins  ·  Rogue Wave Audio  ·  Markham, Ontario</w:t>
      </w:r>
    </w:p>
    <w:p>
      <w:pPr>
        <w:spacing w:before="0" w:after="0"/>
        <w:jc w:val="center"/>
      </w:pPr>
      <w:r>
        <w:rPr>
          <w:rFonts w:ascii="Calibri" w:cs="Calibri" w:eastAsia="Calibri" w:hAnsi="Calibri"/>
          <w:color w:val="7A8A99"/>
          <w:sz w:val="18"/>
          <w:szCs w:val="18"/>
        </w:rPr>
        <w:t xml:space="preserve">Claude · Copilot · Gemini · ChatGPT · Grok</w:t>
      </w:r>
    </w:p>
    <w:p>
      <w:r>
        <w:br w:type="page"/>
      </w:r>
    </w:p>
    <w:p>
      <w:pPr>
        <w:pStyle w:val="Heading1"/>
        <w:pBdr>
          <w:bottom w:val="single" w:color="1A1A2E" w:sz="8" w:space="8"/>
        </w:pBdr>
        <w:spacing w:before="360" w:after="100"/>
      </w:pPr>
      <w:r>
        <w:rPr>
          <w:rFonts w:ascii="Calibri" w:cs="Calibri" w:eastAsia="Calibri" w:hAnsi="Calibri"/>
          <w:b/>
          <w:bCs/>
          <w:color w:val="1A1A2E"/>
          <w:sz w:val="32"/>
          <w:szCs w:val="32"/>
        </w:rPr>
        <w:t xml:space="preserve">How to Use This Package</w:t>
      </w:r>
    </w:p>
    <w:p>
      <w:pPr>
        <w:spacing w:before="0" w:after="130" w:line="284"/>
        <w:jc w:val="left"/>
      </w:pPr>
      <w:r>
        <w:rPr>
          <w:rFonts w:ascii="Calibri" w:cs="Calibri" w:eastAsia="Calibri" w:hAnsi="Calibri"/>
          <w:b w:val="false"/>
          <w:bCs w:val="false"/>
          <w:i w:val="false"/>
          <w:iCs w:val="false"/>
          <w:caps w:val="false"/>
          <w:color w:val="1A1A1A"/>
          <w:sz w:val="22"/>
          <w:szCs w:val="22"/>
        </w:rPr>
        <w:t xml:space="preserve">This package is the complete handoff for the Croatia Ramsar pilot. It contains everything a new reader — including a Ramsar Secretariat contact, a Croatian Ministry partner, or a fresh AI collaborator — needs to understand the project, run the demonstration, and take the next steps.</w:t>
      </w:r>
    </w:p>
    <w:p>
      <w:pPr>
        <w:spacing w:before="0" w:after="130" w:line="284"/>
        <w:jc w:val="left"/>
      </w:pPr>
      <w:r>
        <w:rPr>
          <w:rFonts w:ascii="Calibri" w:cs="Calibri" w:eastAsia="Calibri" w:hAnsi="Calibri"/>
          <w:b w:val="false"/>
          <w:bCs w:val="false"/>
          <w:i w:val="false"/>
          <w:iCs w:val="false"/>
          <w:caps w:val="false"/>
          <w:color w:val="1A1A1A"/>
          <w:sz w:val="22"/>
          <w:szCs w:val="22"/>
        </w:rPr>
        <w:t xml:space="preserve">The package is organised in seven sections. Read them in order for the first time. Return to individual sections as needed.</w:t>
      </w:r>
    </w:p>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1440"/>
        <w:gridCol w:w="4680"/>
        <w:gridCol w:w="2640"/>
      </w:tblGrid>
      <w:tr>
        <w:trPr>
          <w:tblHeader/>
        </w:trPr>
        <w:tc>
          <w:tcPr>
            <w:tcW w:type="dxa" w:w="144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Section</w:t>
            </w:r>
          </w:p>
        </w:tc>
        <w:tc>
          <w:tcPr>
            <w:tcW w:type="dxa" w:w="468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Contents</w:t>
            </w:r>
          </w:p>
        </w:tc>
        <w:tc>
          <w:tcPr>
            <w:tcW w:type="dxa" w:w="264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Primary audience</w:t>
            </w:r>
          </w:p>
        </w:tc>
      </w:tr>
      <w:tr>
        <w:tc>
          <w:tcPr>
            <w:tcW w:type="dxa" w:w="14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1. Croatia Site Reference</w:t>
            </w:r>
          </w:p>
        </w:tc>
        <w:tc>
          <w:tcPr>
            <w:tcW w:type="dxa" w:w="468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All five Ramsar sites with RSIS data, computed portfolio shares, leverage values, and governance status</w:t>
            </w:r>
          </w:p>
        </w:tc>
        <w:tc>
          <w:tcPr>
            <w:tcW w:type="dxa" w:w="26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Secretariat / Croatian Ministry / pilot partners</w:t>
            </w:r>
          </w:p>
        </w:tc>
      </w:tr>
      <w:tr>
        <w:tc>
          <w:tcPr>
            <w:tcW w:type="dxa" w:w="14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2. Completed Studies</w:t>
            </w:r>
          </w:p>
        </w:tc>
        <w:tc>
          <w:tcPr>
            <w:tcW w:type="dxa" w:w="468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Every study, demonstration, and analytical result that is complete and citable as of February 2026</w:t>
            </w:r>
          </w:p>
        </w:tc>
        <w:tc>
          <w:tcPr>
            <w:tcW w:type="dxa" w:w="26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Reviewers / JAES authors / Secretariat</w:t>
            </w:r>
          </w:p>
        </w:tc>
      </w:tr>
      <w:tr>
        <w:tc>
          <w:tcPr>
            <w:tcW w:type="dxa" w:w="14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3. Outlined Work</w:t>
            </w:r>
          </w:p>
        </w:tc>
        <w:tc>
          <w:tcPr>
            <w:tcW w:type="dxa" w:w="468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Studies that need real data or institutional access to complete — outline ready, execution pending</w:t>
            </w:r>
          </w:p>
        </w:tc>
        <w:tc>
          <w:tcPr>
            <w:tcW w:type="dxa" w:w="26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ChatGPT / future collaborators / Phase D</w:t>
            </w:r>
          </w:p>
        </w:tc>
      </w:tr>
      <w:tr>
        <w:tc>
          <w:tcPr>
            <w:tcW w:type="dxa" w:w="14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4. Document Index</w:t>
            </w:r>
          </w:p>
        </w:tc>
        <w:tc>
          <w:tcPr>
            <w:tcW w:type="dxa" w:w="468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Every file in the HUF corpus with format, version, status, and role in the argument chain</w:t>
            </w:r>
          </w:p>
        </w:tc>
        <w:tc>
          <w:tcPr>
            <w:tcW w:type="dxa" w:w="26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All audiences — use as master file registry</w:t>
            </w:r>
          </w:p>
        </w:tc>
      </w:tr>
      <w:tr>
        <w:tc>
          <w:tcPr>
            <w:tcW w:type="dxa" w:w="14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5. Index of Learning</w:t>
            </w:r>
          </w:p>
        </w:tc>
        <w:tc>
          <w:tcPr>
            <w:tcW w:type="dxa" w:w="468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The complete educational path through HUF — from first principles to journal submission</w:t>
            </w:r>
          </w:p>
        </w:tc>
        <w:tc>
          <w:tcPr>
            <w:tcW w:type="dxa" w:w="26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New readers / AI onboarding / student use</w:t>
            </w:r>
          </w:p>
        </w:tc>
      </w:tr>
      <w:tr>
        <w:tc>
          <w:tcPr>
            <w:tcW w:type="dxa" w:w="14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6. ChatGPT Handoff</w:t>
            </w:r>
          </w:p>
        </w:tc>
        <w:tc>
          <w:tcPr>
            <w:tcW w:type="dxa" w:w="468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Specific instructions for continuing this work with ChatGPT, including session-start prompts and scope boundaries</w:t>
            </w:r>
          </w:p>
        </w:tc>
        <w:tc>
          <w:tcPr>
            <w:tcW w:type="dxa" w:w="26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ChatGPT / operator workflow management</w:t>
            </w:r>
          </w:p>
        </w:tc>
      </w:tr>
      <w:tr>
        <w:tc>
          <w:tcPr>
            <w:tcW w:type="dxa" w:w="14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7. Links Registry</w:t>
            </w:r>
          </w:p>
        </w:tc>
        <w:tc>
          <w:tcPr>
            <w:tcW w:type="dxa" w:w="468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All URLs — fill in GitHub, documentation site, and institutional contact fields before sending</w:t>
            </w:r>
          </w:p>
        </w:tc>
        <w:tc>
          <w:tcPr>
            <w:tcW w:type="dxa" w:w="26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Operator — complete before dispatch</w:t>
            </w:r>
          </w:p>
        </w:tc>
      </w:tr>
    </w:tbl>
    <w:p>
      <w:pPr>
        <w:spacing w:before="0" w:after="160" w:line="284"/>
        <w:jc w:val="left"/>
      </w:pPr>
      <w:r>
        <w:rPr>
          <w:rFonts w:ascii="Calibri" w:cs="Calibri" w:eastAsia="Calibri" w:hAnsi="Calibri"/>
          <w:b w:val="false"/>
          <w:bCs w:val="false"/>
          <w:i w:val="false"/>
          <w:iCs w:val="false"/>
          <w:caps w:val="false"/>
          <w:color w:val="1A1A1A"/>
          <w:sz w:val="22"/>
          <w:szCs w:val="22"/>
        </w:rPr>
        <w:t xml:space="preserve"/>
      </w:r>
    </w:p>
    <w:p>
      <w:r>
        <w:br w:type="page"/>
      </w:r>
    </w:p>
    <w:p>
      <w:pPr>
        <w:pStyle w:val="Heading1"/>
        <w:pBdr>
          <w:bottom w:val="single" w:color="1A1A2E" w:sz="8" w:space="8"/>
        </w:pBdr>
        <w:spacing w:before="360" w:after="100"/>
      </w:pPr>
      <w:r>
        <w:rPr>
          <w:rFonts w:ascii="Calibri" w:cs="Calibri" w:eastAsia="Calibri" w:hAnsi="Calibri"/>
          <w:b/>
          <w:bCs/>
          <w:color w:val="1A1A2E"/>
          <w:sz w:val="32"/>
          <w:szCs w:val="32"/>
        </w:rPr>
        <w:t xml:space="preserve">Section 1</w:t>
      </w:r>
      <w:r>
        <w:rPr>
          <w:rFonts w:ascii="Calibri" w:cs="Calibri" w:eastAsia="Calibri" w:hAnsi="Calibri"/>
          <w:color w:val="7A8A99"/>
          <w:sz w:val="20"/>
          <w:szCs w:val="20"/>
        </w:rPr>
        <w:t xml:space="preserve">   Croatia Site Reference</w:t>
      </w:r>
    </w:p>
    <w:p>
      <w:pPr>
        <w:spacing w:before="0" w:after="130" w:line="284"/>
        <w:jc w:val="left"/>
      </w:pPr>
      <w:r>
        <w:rPr>
          <w:rFonts w:ascii="Calibri" w:cs="Calibri" w:eastAsia="Calibri" w:hAnsi="Calibri"/>
          <w:b w:val="false"/>
          <w:bCs w:val="false"/>
          <w:i w:val="false"/>
          <w:iCs w:val="false"/>
          <w:caps w:val="false"/>
          <w:color w:val="1A1A1A"/>
          <w:sz w:val="22"/>
          <w:szCs w:val="22"/>
        </w:rPr>
        <w:t xml:space="preserve">Five Ramsar sites. 93,590 ha total portfolio. Data sourced from public RSIS exports (rsis.ramsar.org). All computed values produced by ramsar_huf_demo_v2.py using mock RSIS baseline. Provenance fields marked [INSERT] pending live export retrieval.</w:t>
      </w:r>
    </w:p>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pStyle w:val="Heading2"/>
        <w:spacing w:before="280" w:after="80"/>
      </w:pPr>
      <w:r>
        <w:rPr>
          <w:rFonts w:ascii="Calibri" w:cs="Calibri" w:eastAsia="Calibri" w:hAnsi="Calibri"/>
          <w:b/>
          <w:bCs/>
          <w:color w:val="0F3460"/>
          <w:sz w:val="26"/>
          <w:szCs w:val="26"/>
        </w:rPr>
        <w:t xml:space="preserve">Site Registry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760"/>
        <w:gridCol w:w="2040"/>
        <w:gridCol w:w="960"/>
        <w:gridCol w:w="1080"/>
        <w:gridCol w:w="1800"/>
      </w:tblGrid>
      <w:tr>
        <w:trPr>
          <w:tblHeader/>
        </w:trPr>
        <w:tc>
          <w:tcPr>
            <w:tcW w:type="dxa" w:w="72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RSIS ID</w:t>
            </w:r>
          </w:p>
        </w:tc>
        <w:tc>
          <w:tcPr>
            <w:tcW w:type="dxa" w:w="276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Site name (English)</w:t>
            </w:r>
          </w:p>
        </w:tc>
        <w:tc>
          <w:tcPr>
            <w:tcW w:type="dxa" w:w="204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Croatian name</w:t>
            </w:r>
          </w:p>
        </w:tc>
        <w:tc>
          <w:tcPr>
            <w:tcW w:type="dxa" w:w="96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Area (ha)</w:t>
            </w:r>
          </w:p>
        </w:tc>
        <w:tc>
          <w:tcPr>
            <w:tcW w:type="dxa" w:w="108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Designation</w:t>
            </w:r>
          </w:p>
        </w:tc>
        <w:tc>
          <w:tcPr>
            <w:tcW w:type="dxa" w:w="180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Endemism count (RSIS)</w:t>
            </w:r>
          </w:p>
        </w:tc>
      </w:tr>
      <w:tr>
        <w:tc>
          <w:tcPr>
            <w:tcW w:type="dxa" w:w="7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583</w:t>
            </w:r>
          </w:p>
        </w:tc>
        <w:tc>
          <w:tcPr>
            <w:tcW w:type="dxa" w:w="27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Kopački Rit Nature Park</w:t>
            </w:r>
          </w:p>
        </w:tc>
        <w:tc>
          <w:tcPr>
            <w:tcW w:type="dxa" w:w="20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PP Kopački Rit</w:t>
            </w:r>
          </w:p>
        </w:tc>
        <w:tc>
          <w:tcPr>
            <w:tcW w:type="dxa" w:w="9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23,894</w:t>
            </w:r>
          </w:p>
        </w:tc>
        <w:tc>
          <w:tcPr>
            <w:tcW w:type="dxa" w:w="108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1993</w:t>
            </w:r>
          </w:p>
        </w:tc>
        <w:tc>
          <w:tcPr>
            <w:tcW w:type="dxa" w:w="18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5</w:t>
            </w:r>
          </w:p>
        </w:tc>
      </w:tr>
      <w:tr>
        <w:tc>
          <w:tcPr>
            <w:tcW w:type="dxa" w:w="7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584</w:t>
            </w:r>
          </w:p>
        </w:tc>
        <w:tc>
          <w:tcPr>
            <w:tcW w:type="dxa" w:w="27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Lonjsko Polje and Mokro Polje Nature Park</w:t>
            </w:r>
          </w:p>
        </w:tc>
        <w:tc>
          <w:tcPr>
            <w:tcW w:type="dxa" w:w="20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PP Lonjsko Polje i Mokro Polje</w:t>
            </w:r>
          </w:p>
        </w:tc>
        <w:tc>
          <w:tcPr>
            <w:tcW w:type="dxa" w:w="9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50,560</w:t>
            </w:r>
          </w:p>
        </w:tc>
        <w:tc>
          <w:tcPr>
            <w:tcW w:type="dxa" w:w="108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1993</w:t>
            </w:r>
          </w:p>
        </w:tc>
        <w:tc>
          <w:tcPr>
            <w:tcW w:type="dxa" w:w="18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3</w:t>
            </w:r>
          </w:p>
        </w:tc>
      </w:tr>
      <w:tr>
        <w:tc>
          <w:tcPr>
            <w:tcW w:type="dxa" w:w="7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582</w:t>
            </w:r>
          </w:p>
        </w:tc>
        <w:tc>
          <w:tcPr>
            <w:tcW w:type="dxa" w:w="27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Crna Mlaka Fish Ponds</w:t>
            </w:r>
          </w:p>
        </w:tc>
        <w:tc>
          <w:tcPr>
            <w:tcW w:type="dxa" w:w="20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Ribnjaci Crna Mlaka</w:t>
            </w:r>
          </w:p>
        </w:tc>
        <w:tc>
          <w:tcPr>
            <w:tcW w:type="dxa" w:w="9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625</w:t>
            </w:r>
          </w:p>
        </w:tc>
        <w:tc>
          <w:tcPr>
            <w:tcW w:type="dxa" w:w="108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1983</w:t>
            </w:r>
          </w:p>
        </w:tc>
        <w:tc>
          <w:tcPr>
            <w:tcW w:type="dxa" w:w="18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1</w:t>
            </w:r>
          </w:p>
        </w:tc>
      </w:tr>
      <w:tr>
        <w:tc>
          <w:tcPr>
            <w:tcW w:type="dxa" w:w="7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587</w:t>
            </w:r>
          </w:p>
        </w:tc>
        <w:tc>
          <w:tcPr>
            <w:tcW w:type="dxa" w:w="27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Lower Neretva Valley</w:t>
            </w:r>
          </w:p>
        </w:tc>
        <w:tc>
          <w:tcPr>
            <w:tcW w:type="dxa" w:w="20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Donja Neretva</w:t>
            </w:r>
          </w:p>
        </w:tc>
        <w:tc>
          <w:tcPr>
            <w:tcW w:type="dxa" w:w="9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12,000*</w:t>
            </w:r>
          </w:p>
        </w:tc>
        <w:tc>
          <w:tcPr>
            <w:tcW w:type="dxa" w:w="108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1993</w:t>
            </w:r>
          </w:p>
        </w:tc>
        <w:tc>
          <w:tcPr>
            <w:tcW w:type="dxa" w:w="18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18</w:t>
            </w:r>
          </w:p>
        </w:tc>
      </w:tr>
      <w:tr>
        <w:tc>
          <w:tcPr>
            <w:tcW w:type="dxa" w:w="7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869</w:t>
            </w:r>
          </w:p>
        </w:tc>
        <w:tc>
          <w:tcPr>
            <w:tcW w:type="dxa" w:w="27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Vransko Lake Nature Park and Crkvine Wetland</w:t>
            </w:r>
          </w:p>
        </w:tc>
        <w:tc>
          <w:tcPr>
            <w:tcW w:type="dxa" w:w="20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PP Vransko jezero</w:t>
            </w:r>
          </w:p>
        </w:tc>
        <w:tc>
          <w:tcPr>
            <w:tcW w:type="dxa" w:w="9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5,748</w:t>
            </w:r>
          </w:p>
        </w:tc>
        <w:tc>
          <w:tcPr>
            <w:tcW w:type="dxa" w:w="108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2013</w:t>
            </w:r>
          </w:p>
        </w:tc>
        <w:tc>
          <w:tcPr>
            <w:tcW w:type="dxa" w:w="18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4</w:t>
            </w:r>
          </w:p>
        </w:tc>
      </w:tr>
    </w:tbl>
    <w:p>
      <w:pPr>
        <w:spacing w:before="0" w:after="80" w:line="284"/>
        <w:jc w:val="left"/>
      </w:pPr>
      <w:r>
        <w:rPr>
          <w:rFonts w:ascii="Calibri" w:cs="Calibri" w:eastAsia="Calibri" w:hAnsi="Calibri"/>
          <w:b w:val="false"/>
          <w:bCs w:val="false"/>
          <w:i/>
          <w:iCs/>
          <w:caps w:val="false"/>
          <w:color w:val="7A8A99"/>
          <w:sz w:val="18"/>
          <w:szCs w:val="18"/>
        </w:rPr>
        <w:t xml:space="preserve">* 12,000 ha figure is provisional. RSIS official record shows 12,742 ha in some exports. Verify against current RSIS export before pilot baseline run. Data age: 2013 (area) / 2018 (endemism). Both flagged.</w:t>
      </w:r>
    </w:p>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pStyle w:val="Heading2"/>
        <w:spacing w:before="280" w:after="80"/>
      </w:pPr>
      <w:r>
        <w:rPr>
          <w:rFonts w:ascii="Calibri" w:cs="Calibri" w:eastAsia="Calibri" w:hAnsi="Calibri"/>
          <w:b/>
          <w:bCs/>
          <w:color w:val="0F3460"/>
          <w:sz w:val="26"/>
          <w:szCs w:val="26"/>
        </w:rPr>
        <w:t xml:space="preserve">Portfolio Share Table — Endemism-Priority Weighting</w:t>
      </w:r>
    </w:p>
    <w:p>
      <w:pPr>
        <w:spacing w:before="0" w:after="130" w:line="284"/>
        <w:jc w:val="left"/>
      </w:pPr>
      <w:r>
        <w:rPr>
          <w:rFonts w:ascii="Calibri" w:cs="Calibri" w:eastAsia="Calibri" w:hAnsi="Calibri"/>
          <w:b w:val="false"/>
          <w:bCs w:val="false"/>
          <w:i w:val="false"/>
          <w:iCs w:val="false"/>
          <w:caps w:val="false"/>
          <w:color w:val="1A1A1A"/>
          <w:sz w:val="22"/>
          <w:szCs w:val="22"/>
        </w:rPr>
        <w:t xml:space="preserve">Computed values from ramsar_huf_demo_v2.py. Operator declared weights: Area = 0.30, Endemism = 0.70. This reflects MedWet transboundary ecological priority context. All shares sum to 1.0 (unity constraint satisfied).</w:t>
      </w:r>
    </w:p>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20"/>
        <w:gridCol w:w="1440"/>
        <w:gridCol w:w="1200"/>
        <w:gridCol w:w="3000"/>
      </w:tblGrid>
      <w:tr>
        <w:trPr>
          <w:tblHeader/>
        </w:trPr>
        <w:tc>
          <w:tcPr>
            <w:tcW w:type="dxa" w:w="240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Site</w:t>
            </w:r>
          </w:p>
        </w:tc>
        <w:tc>
          <w:tcPr>
            <w:tcW w:type="dxa" w:w="132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Portfolio share</w:t>
            </w:r>
          </w:p>
        </w:tc>
        <w:tc>
          <w:tcPr>
            <w:tcW w:type="dxa" w:w="144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Leverage (1/share)</w:t>
            </w:r>
          </w:p>
        </w:tc>
        <w:tc>
          <w:tcPr>
            <w:tcW w:type="dxa" w:w="120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Leverage flag</w:t>
            </w:r>
          </w:p>
        </w:tc>
        <w:tc>
          <w:tcPr>
            <w:tcW w:type="dxa" w:w="300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Data age warning</w:t>
            </w:r>
          </w:p>
        </w:tc>
      </w:tr>
      <w:tr>
        <w:tc>
          <w:tcPr>
            <w:tcW w:type="dxa" w:w="2400"/>
            <w:shd w:fill="F2F6FC"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1A1A1A"/>
                <w:sz w:val="20"/>
                <w:szCs w:val="20"/>
              </w:rPr>
              <w:t xml:space="preserve">Lower Neretva Valley</w:t>
            </w:r>
          </w:p>
        </w:tc>
        <w:tc>
          <w:tcPr>
            <w:tcW w:type="dxa" w:w="1320"/>
            <w:shd w:fill="F2F6FC"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1B5E20"/>
                <w:sz w:val="20"/>
                <w:szCs w:val="20"/>
              </w:rPr>
              <w:t xml:space="preserve">44.52%</w:t>
            </w:r>
          </w:p>
        </w:tc>
        <w:tc>
          <w:tcPr>
            <w:tcW w:type="dxa" w:w="14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2.25</w:t>
            </w:r>
          </w:p>
        </w:tc>
        <w:tc>
          <w:tcPr>
            <w:tcW w:type="dxa" w:w="12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Low</w:t>
            </w:r>
          </w:p>
        </w:tc>
        <w:tc>
          <w:tcPr>
            <w:tcW w:type="dxa" w:w="30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E65100"/>
                <w:sz w:val="20"/>
                <w:szCs w:val="20"/>
              </w:rPr>
              <w:t xml:space="preserve">ENDEMISM DATA &gt; 5 YRS (2018)</w:t>
            </w:r>
          </w:p>
        </w:tc>
      </w:tr>
      <w:tr>
        <w:tc>
          <w:tcPr>
            <w:tcW w:type="dxa" w:w="24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Lonjsko Polje</w:t>
            </w:r>
          </w:p>
        </w:tc>
        <w:tc>
          <w:tcPr>
            <w:tcW w:type="dxa" w:w="13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23.11%</w:t>
            </w:r>
          </w:p>
        </w:tc>
        <w:tc>
          <w:tcPr>
            <w:tcW w:type="dxa" w:w="14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4.33</w:t>
            </w:r>
          </w:p>
        </w:tc>
        <w:tc>
          <w:tcPr>
            <w:tcW w:type="dxa" w:w="12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Low</w:t>
            </w:r>
          </w:p>
        </w:tc>
        <w:tc>
          <w:tcPr>
            <w:tcW w:type="dxa" w:w="30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Current</w:t>
            </w:r>
          </w:p>
        </w:tc>
      </w:tr>
      <w:tr>
        <w:tc>
          <w:tcPr>
            <w:tcW w:type="dxa" w:w="2400"/>
            <w:shd w:fill="F2F6FC"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1A1A1A"/>
                <w:sz w:val="20"/>
                <w:szCs w:val="20"/>
              </w:rPr>
              <w:t xml:space="preserve">Crna Mlaka</w:t>
            </w:r>
          </w:p>
        </w:tc>
        <w:tc>
          <w:tcPr>
            <w:tcW w:type="dxa" w:w="1320"/>
            <w:shd w:fill="F2F6FC"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B71C1C"/>
                <w:sz w:val="20"/>
                <w:szCs w:val="20"/>
              </w:rPr>
              <w:t xml:space="preserve">2.46%</w:t>
            </w:r>
          </w:p>
        </w:tc>
        <w:tc>
          <w:tcPr>
            <w:tcW w:type="dxa" w:w="1440"/>
            <w:shd w:fill="F2F6FC"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B71C1C"/>
                <w:sz w:val="20"/>
                <w:szCs w:val="20"/>
              </w:rPr>
              <w:t xml:space="preserve">40.65</w:t>
            </w:r>
          </w:p>
        </w:tc>
        <w:tc>
          <w:tcPr>
            <w:tcW w:type="dxa" w:w="12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Medium</w:t>
            </w:r>
          </w:p>
        </w:tc>
        <w:tc>
          <w:tcPr>
            <w:tcW w:type="dxa" w:w="30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Current</w:t>
            </w:r>
          </w:p>
        </w:tc>
      </w:tr>
      <w:tr>
        <w:tc>
          <w:tcPr>
            <w:tcW w:type="dxa" w:w="24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Kopački Rit</w:t>
            </w:r>
          </w:p>
        </w:tc>
        <w:tc>
          <w:tcPr>
            <w:tcW w:type="dxa" w:w="13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19.01%</w:t>
            </w:r>
          </w:p>
        </w:tc>
        <w:tc>
          <w:tcPr>
            <w:tcW w:type="dxa" w:w="14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5.26</w:t>
            </w:r>
          </w:p>
        </w:tc>
        <w:tc>
          <w:tcPr>
            <w:tcW w:type="dxa" w:w="12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Low</w:t>
            </w:r>
          </w:p>
        </w:tc>
        <w:tc>
          <w:tcPr>
            <w:tcW w:type="dxa" w:w="30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Current</w:t>
            </w:r>
          </w:p>
        </w:tc>
      </w:tr>
      <w:tr>
        <w:tc>
          <w:tcPr>
            <w:tcW w:type="dxa" w:w="24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Vransko Lake</w:t>
            </w:r>
          </w:p>
        </w:tc>
        <w:tc>
          <w:tcPr>
            <w:tcW w:type="dxa" w:w="13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10.89%</w:t>
            </w:r>
          </w:p>
        </w:tc>
        <w:tc>
          <w:tcPr>
            <w:tcW w:type="dxa" w:w="14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9.18</w:t>
            </w:r>
          </w:p>
        </w:tc>
        <w:tc>
          <w:tcPr>
            <w:tcW w:type="dxa" w:w="12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Low</w:t>
            </w:r>
          </w:p>
        </w:tc>
        <w:tc>
          <w:tcPr>
            <w:tcW w:type="dxa" w:w="30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Current</w:t>
            </w:r>
          </w:p>
        </w:tc>
      </w:tr>
    </w:tbl>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pStyle w:val="Heading2"/>
        <w:spacing w:before="280" w:after="80"/>
      </w:pPr>
      <w:r>
        <w:rPr>
          <w:rFonts w:ascii="Calibri" w:cs="Calibri" w:eastAsia="Calibri" w:hAnsi="Calibri"/>
          <w:b/>
          <w:bCs/>
          <w:color w:val="0F3460"/>
          <w:sz w:val="26"/>
          <w:szCs w:val="26"/>
        </w:rPr>
        <w:t xml:space="preserve">Portfolio Share Table — Area-Priority Weighting (side-by-side comparison)</w:t>
      </w:r>
    </w:p>
    <w:p>
      <w:pPr>
        <w:spacing w:before="0" w:after="130" w:line="284"/>
        <w:jc w:val="left"/>
      </w:pPr>
      <w:r>
        <w:rPr>
          <w:rFonts w:ascii="Calibri" w:cs="Calibri" w:eastAsia="Calibri" w:hAnsi="Calibri"/>
          <w:b w:val="false"/>
          <w:bCs w:val="false"/>
          <w:i w:val="false"/>
          <w:iCs w:val="false"/>
          <w:caps w:val="false"/>
          <w:color w:val="1A1A1A"/>
          <w:sz w:val="22"/>
          <w:szCs w:val="22"/>
        </w:rPr>
        <w:t xml:space="preserve">Same five sites. Operator declared weights shifted to: Area = 0.80, Endemism = 0.20. This demonstrates how a change in scientific priority (legitimate intentional reweighting) is recorded as a declared governance decision, not silent drift.</w:t>
      </w:r>
    </w:p>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tbl>
      <w:tblPr>
        <w:tblW w:type="dxa" w:w="7560"/>
        <w:tblBorders>
          <w:top w:val="single" w:color="auto" w:sz="4"/>
          <w:left w:val="single" w:color="auto" w:sz="4"/>
          <w:bottom w:val="single" w:color="auto" w:sz="4"/>
          <w:right w:val="single" w:color="auto" w:sz="4"/>
          <w:insideH w:val="single" w:color="auto" w:sz="4"/>
          <w:insideV w:val="single" w:color="auto" w:sz="4"/>
        </w:tblBorders>
      </w:tblPr>
      <w:tblGrid>
        <w:gridCol w:w="1920"/>
        <w:gridCol w:w="1380"/>
        <w:gridCol w:w="900"/>
        <w:gridCol w:w="1380"/>
        <w:gridCol w:w="900"/>
        <w:gridCol w:w="1080"/>
      </w:tblGrid>
      <w:tr>
        <w:trPr>
          <w:tblHeader/>
        </w:trPr>
        <w:tc>
          <w:tcPr>
            <w:tcW w:type="dxa" w:w="192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Site</w:t>
            </w:r>
          </w:p>
        </w:tc>
        <w:tc>
          <w:tcPr>
            <w:tcW w:type="dxa" w:w="138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Share (endemism-priority)</w:t>
            </w:r>
          </w:p>
        </w:tc>
        <w:tc>
          <w:tcPr>
            <w:tcW w:type="dxa" w:w="90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Leverage</w:t>
            </w:r>
          </w:p>
        </w:tc>
        <w:tc>
          <w:tcPr>
            <w:tcW w:type="dxa" w:w="138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Share (area-priority)</w:t>
            </w:r>
          </w:p>
        </w:tc>
        <w:tc>
          <w:tcPr>
            <w:tcW w:type="dxa" w:w="90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Leverage</w:t>
            </w:r>
          </w:p>
        </w:tc>
        <w:tc>
          <w:tcPr>
            <w:tcW w:type="dxa" w:w="108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Delta</w:t>
            </w:r>
          </w:p>
        </w:tc>
      </w:tr>
      <w:tr>
        <w:tc>
          <w:tcPr>
            <w:tcW w:type="dxa" w:w="19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Lower Neretva Valley</w:t>
            </w:r>
          </w:p>
        </w:tc>
        <w:tc>
          <w:tcPr>
            <w:tcW w:type="dxa" w:w="138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44.52%</w:t>
            </w:r>
          </w:p>
        </w:tc>
        <w:tc>
          <w:tcPr>
            <w:tcW w:type="dxa" w:w="9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2.25</w:t>
            </w:r>
          </w:p>
        </w:tc>
        <w:tc>
          <w:tcPr>
            <w:tcW w:type="dxa" w:w="138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7.53%</w:t>
            </w:r>
          </w:p>
        </w:tc>
        <w:tc>
          <w:tcPr>
            <w:tcW w:type="dxa" w:w="9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13.27</w:t>
            </w:r>
          </w:p>
        </w:tc>
        <w:tc>
          <w:tcPr>
            <w:tcW w:type="dxa" w:w="108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B71C1C"/>
                <w:sz w:val="20"/>
                <w:szCs w:val="20"/>
              </w:rPr>
              <w:t xml:space="preserve">−37.0pp</w:t>
            </w:r>
          </w:p>
        </w:tc>
      </w:tr>
      <w:tr>
        <w:tc>
          <w:tcPr>
            <w:tcW w:type="dxa" w:w="19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Lonjsko Polje</w:t>
            </w:r>
          </w:p>
        </w:tc>
        <w:tc>
          <w:tcPr>
            <w:tcW w:type="dxa" w:w="138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23.11%</w:t>
            </w:r>
          </w:p>
        </w:tc>
        <w:tc>
          <w:tcPr>
            <w:tcW w:type="dxa" w:w="9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4.33</w:t>
            </w:r>
          </w:p>
        </w:tc>
        <w:tc>
          <w:tcPr>
            <w:tcW w:type="dxa" w:w="138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45.51%</w:t>
            </w:r>
          </w:p>
        </w:tc>
        <w:tc>
          <w:tcPr>
            <w:tcW w:type="dxa" w:w="9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2.20</w:t>
            </w:r>
          </w:p>
        </w:tc>
        <w:tc>
          <w:tcPr>
            <w:tcW w:type="dxa" w:w="108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B5E20"/>
                <w:sz w:val="20"/>
                <w:szCs w:val="20"/>
              </w:rPr>
              <w:t xml:space="preserve">+22.4pp</w:t>
            </w:r>
          </w:p>
        </w:tc>
      </w:tr>
      <w:tr>
        <w:tc>
          <w:tcPr>
            <w:tcW w:type="dxa" w:w="19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Crna Mlaka</w:t>
            </w:r>
          </w:p>
        </w:tc>
        <w:tc>
          <w:tcPr>
            <w:tcW w:type="dxa" w:w="138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2.46%</w:t>
            </w:r>
          </w:p>
        </w:tc>
        <w:tc>
          <w:tcPr>
            <w:tcW w:type="dxa" w:w="9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40.65</w:t>
            </w:r>
          </w:p>
        </w:tc>
        <w:tc>
          <w:tcPr>
            <w:tcW w:type="dxa" w:w="138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23.82%</w:t>
            </w:r>
          </w:p>
        </w:tc>
        <w:tc>
          <w:tcPr>
            <w:tcW w:type="dxa" w:w="9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4.20</w:t>
            </w:r>
          </w:p>
        </w:tc>
        <w:tc>
          <w:tcPr>
            <w:tcW w:type="dxa" w:w="108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B5E20"/>
                <w:sz w:val="20"/>
                <w:szCs w:val="20"/>
              </w:rPr>
              <w:t xml:space="preserve">+21.4pp</w:t>
            </w:r>
          </w:p>
        </w:tc>
      </w:tr>
      <w:tr>
        <w:tc>
          <w:tcPr>
            <w:tcW w:type="dxa" w:w="19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Kopački Rit</w:t>
            </w:r>
          </w:p>
        </w:tc>
        <w:tc>
          <w:tcPr>
            <w:tcW w:type="dxa" w:w="138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19.01%</w:t>
            </w:r>
          </w:p>
        </w:tc>
        <w:tc>
          <w:tcPr>
            <w:tcW w:type="dxa" w:w="9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5.26</w:t>
            </w:r>
          </w:p>
        </w:tc>
        <w:tc>
          <w:tcPr>
            <w:tcW w:type="dxa" w:w="138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21.95%</w:t>
            </w:r>
          </w:p>
        </w:tc>
        <w:tc>
          <w:tcPr>
            <w:tcW w:type="dxa" w:w="9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4.55</w:t>
            </w:r>
          </w:p>
        </w:tc>
        <w:tc>
          <w:tcPr>
            <w:tcW w:type="dxa" w:w="108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B5E20"/>
                <w:sz w:val="20"/>
                <w:szCs w:val="20"/>
              </w:rPr>
              <w:t xml:space="preserve">+2.9pp</w:t>
            </w:r>
          </w:p>
        </w:tc>
      </w:tr>
      <w:tr>
        <w:tc>
          <w:tcPr>
            <w:tcW w:type="dxa" w:w="1920"/>
            <w:shd w:fill="F2F6FC"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1A1A1A"/>
                <w:sz w:val="20"/>
                <w:szCs w:val="20"/>
              </w:rPr>
              <w:t xml:space="preserve">Vransko Lake</w:t>
            </w:r>
          </w:p>
        </w:tc>
        <w:tc>
          <w:tcPr>
            <w:tcW w:type="dxa" w:w="138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10.89%</w:t>
            </w:r>
          </w:p>
        </w:tc>
        <w:tc>
          <w:tcPr>
            <w:tcW w:type="dxa" w:w="9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9.18</w:t>
            </w:r>
          </w:p>
        </w:tc>
        <w:tc>
          <w:tcPr>
            <w:tcW w:type="dxa" w:w="1380"/>
            <w:shd w:fill="F2F6FC"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B71C1C"/>
                <w:sz w:val="20"/>
                <w:szCs w:val="20"/>
              </w:rPr>
              <w:t xml:space="preserve">1.18%</w:t>
            </w:r>
          </w:p>
        </w:tc>
        <w:tc>
          <w:tcPr>
            <w:tcW w:type="dxa" w:w="900"/>
            <w:shd w:fill="F2F6FC"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B71C1C"/>
                <w:sz w:val="20"/>
                <w:szCs w:val="20"/>
              </w:rPr>
              <w:t xml:space="preserve">84.47</w:t>
            </w:r>
          </w:p>
        </w:tc>
        <w:tc>
          <w:tcPr>
            <w:tcW w:type="dxa" w:w="108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B71C1C"/>
                <w:sz w:val="20"/>
                <w:szCs w:val="20"/>
              </w:rPr>
              <w:t xml:space="preserve">−9.7pp</w:t>
            </w:r>
          </w:p>
        </w:tc>
      </w:tr>
    </w:tbl>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pBdr>
          <w:left w:val="single" w:color="E65100" w:sz="10" w:space="10"/>
        </w:pBdr>
        <w:shd w:fill="FFF8E1" w:val="clear"/>
        <w:spacing w:before="100" w:after="0"/>
        <w:ind w:left="360"/>
      </w:pPr>
      <w:r>
        <w:rPr>
          <w:rFonts w:ascii="Calibri" w:cs="Calibri" w:eastAsia="Calibri" w:hAnsi="Calibri"/>
          <w:b/>
          <w:bCs/>
          <w:color w:val="E65100"/>
          <w:sz w:val="20"/>
          <w:szCs w:val="20"/>
        </w:rPr>
        <w:t xml:space="preserve">HIDDEN HIGH-Q ALERT:  </w:t>
      </w:r>
      <w:r>
        <w:rPr>
          <w:rFonts w:ascii="Calibri" w:cs="Calibri" w:eastAsia="Calibri" w:hAnsi="Calibri"/>
          <w:i/>
          <w:iCs/>
          <w:color w:val="1A1A1A"/>
          <w:sz w:val="20"/>
          <w:szCs w:val="20"/>
        </w:rPr>
        <w:t xml:space="preserve">Under area-priority weighting, Vransko Lake drops to 1.18% share with leverage 84.47 — approaching the High-Q threshold. This site is invisible as a governance risk under endemism weighting but becomes a near-orphan under area weighting. This finding — that governance risk is weighting-dependent — is only visible through HUF's bidirectional analysis.</w:t>
      </w:r>
    </w:p>
    <w:p>
      <w:pPr>
        <w:spacing w:before="0" w:after="80"/>
      </w:pPr>
      <w:r>
        <w:rPr>
          <w:rFonts w:ascii="Calibri" w:cs="Calibri" w:eastAsia="Calibri" w:hAnsi="Calibri"/>
          <w:b w:val="false"/>
          <w:bCs w:val="false"/>
          <w:i w:val="false"/>
          <w:iCs w:val="false"/>
          <w:caps w:val="false"/>
          <w:color w:val="1A1A1A"/>
          <w:sz w:val="22"/>
          <w:szCs w:val="22"/>
        </w:rPr>
        <w:t xml:space="preserve"/>
      </w:r>
    </w:p>
    <w:p>
      <w:pPr>
        <w:pStyle w:val="Heading2"/>
        <w:spacing w:before="280" w:after="80"/>
      </w:pPr>
      <w:r>
        <w:rPr>
          <w:rFonts w:ascii="Calibri" w:cs="Calibri" w:eastAsia="Calibri" w:hAnsi="Calibri"/>
          <w:b/>
          <w:bCs/>
          <w:color w:val="0F3460"/>
          <w:sz w:val="26"/>
          <w:szCs w:val="26"/>
        </w:rPr>
        <w:t xml:space="preserve">Governance Diagnostics — Computed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1560"/>
        <w:gridCol w:w="3240"/>
      </w:tblGrid>
      <w:tr>
        <w:trPr>
          <w:tblHeader/>
        </w:trPr>
        <w:tc>
          <w:tcPr>
            <w:tcW w:type="dxa" w:w="240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Metric</w:t>
            </w:r>
          </w:p>
        </w:tc>
        <w:tc>
          <w:tcPr>
            <w:tcW w:type="dxa" w:w="216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Value</w:t>
            </w:r>
          </w:p>
        </w:tc>
        <w:tc>
          <w:tcPr>
            <w:tcW w:type="dxa" w:w="156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Classification</w:t>
            </w:r>
          </w:p>
        </w:tc>
        <w:tc>
          <w:tcPr>
            <w:tcW w:type="dxa" w:w="324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Action required</w:t>
            </w:r>
          </w:p>
        </w:tc>
      </w:tr>
      <w:tr>
        <w:tc>
          <w:tcPr>
            <w:tcW w:type="dxa" w:w="24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PROOF line (endemism-priority)</w:t>
            </w:r>
          </w:p>
        </w:tc>
        <w:tc>
          <w:tcPr>
            <w:tcW w:type="dxa" w:w="21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2 (Neretva + Lonjsko = 67.6%)</w:t>
            </w:r>
          </w:p>
        </w:tc>
        <w:tc>
          <w:tcPr>
            <w:tcW w:type="dxa" w:w="15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Concentration warning</w:t>
            </w:r>
          </w:p>
        </w:tc>
        <w:tc>
          <w:tcPr>
            <w:tcW w:type="dxa" w:w="32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Flag; review dominant element allocation</w:t>
            </w:r>
          </w:p>
        </w:tc>
      </w:tr>
      <w:tr>
        <w:tc>
          <w:tcPr>
            <w:tcW w:type="dxa" w:w="24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PROOF line (area-priority)</w:t>
            </w:r>
          </w:p>
        </w:tc>
        <w:tc>
          <w:tcPr>
            <w:tcW w:type="dxa" w:w="21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2 (Lonjsko + Crna Mlaka = 69.3%)</w:t>
            </w:r>
          </w:p>
        </w:tc>
        <w:tc>
          <w:tcPr>
            <w:tcW w:type="dxa" w:w="15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Concentration warning</w:t>
            </w:r>
          </w:p>
        </w:tc>
        <w:tc>
          <w:tcPr>
            <w:tcW w:type="dxa" w:w="32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Same two sites dominate under both weightings</w:t>
            </w:r>
          </w:p>
        </w:tc>
      </w:tr>
      <w:tr>
        <w:tc>
          <w:tcPr>
            <w:tcW w:type="dxa" w:w="24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Mean drift gap — baseline</w:t>
            </w:r>
          </w:p>
        </w:tc>
        <w:tc>
          <w:tcPr>
            <w:tcW w:type="dxa" w:w="21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4.8pp (estimated)</w:t>
            </w:r>
          </w:p>
        </w:tc>
        <w:tc>
          <w:tcPr>
            <w:tcW w:type="dxa" w:w="15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Action window open</w:t>
            </w:r>
          </w:p>
        </w:tc>
        <w:tc>
          <w:tcPr>
            <w:tcW w:type="dxa" w:w="32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Monitor next cycle; prepare declaration</w:t>
            </w:r>
          </w:p>
        </w:tc>
      </w:tr>
      <w:tr>
        <w:tc>
          <w:tcPr>
            <w:tcW w:type="dxa" w:w="24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Crna Mlaka leverage (endemism)</w:t>
            </w:r>
          </w:p>
        </w:tc>
        <w:tc>
          <w:tcPr>
            <w:tcW w:type="dxa" w:w="21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40.65 (Medium-Q)</w:t>
            </w:r>
          </w:p>
        </w:tc>
        <w:tc>
          <w:tcPr>
            <w:tcW w:type="dxa" w:w="15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Phase-aware monitoring</w:t>
            </w:r>
          </w:p>
        </w:tc>
        <w:tc>
          <w:tcPr>
            <w:tcW w:type="dxa" w:w="32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Verify data age; do not reduce without cross-cycle analysis</w:t>
            </w:r>
          </w:p>
        </w:tc>
      </w:tr>
      <w:tr>
        <w:tc>
          <w:tcPr>
            <w:tcW w:type="dxa" w:w="24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Crna Mlaka leverage (area)</w:t>
            </w:r>
          </w:p>
        </w:tc>
        <w:tc>
          <w:tcPr>
            <w:tcW w:type="dxa" w:w="21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4.20 (Low-Q)</w:t>
            </w:r>
          </w:p>
        </w:tc>
        <w:tc>
          <w:tcPr>
            <w:tcW w:type="dxa" w:w="15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Standard monitoring</w:t>
            </w:r>
          </w:p>
        </w:tc>
        <w:tc>
          <w:tcPr>
            <w:tcW w:type="dxa" w:w="32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No action required — but note weighting sensitivity</w:t>
            </w:r>
          </w:p>
        </w:tc>
      </w:tr>
      <w:tr>
        <w:tc>
          <w:tcPr>
            <w:tcW w:type="dxa" w:w="24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Vransko Lake leverage (area)</w:t>
            </w:r>
          </w:p>
        </w:tc>
        <w:tc>
          <w:tcPr>
            <w:tcW w:type="dxa" w:w="21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84.47 (Medium-Q, approaching High)</w:t>
            </w:r>
          </w:p>
        </w:tc>
        <w:tc>
          <w:tcPr>
            <w:tcW w:type="dxa" w:w="15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Near-threshold warning</w:t>
            </w:r>
          </w:p>
        </w:tc>
        <w:tc>
          <w:tcPr>
            <w:tcW w:type="dxa" w:w="32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Flag for investigation if area-priority weighting adopted</w:t>
            </w:r>
          </w:p>
        </w:tc>
      </w:tr>
      <w:tr>
        <w:tc>
          <w:tcPr>
            <w:tcW w:type="dxa" w:w="24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Neretva endemism data age</w:t>
            </w:r>
          </w:p>
        </w:tc>
        <w:tc>
          <w:tcPr>
            <w:tcW w:type="dxa" w:w="21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2018 (&gt; 5 year threshold)</w:t>
            </w:r>
          </w:p>
        </w:tc>
        <w:tc>
          <w:tcPr>
            <w:tcW w:type="dxa" w:w="15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Stale — flagged</w:t>
            </w:r>
          </w:p>
        </w:tc>
        <w:tc>
          <w:tcPr>
            <w:tcW w:type="dxa" w:w="32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Prioritise data verification before pilot baseline run</w:t>
            </w:r>
          </w:p>
        </w:tc>
      </w:tr>
    </w:tbl>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pStyle w:val="Heading2"/>
        <w:spacing w:before="280" w:after="80"/>
      </w:pPr>
      <w:r>
        <w:rPr>
          <w:rFonts w:ascii="Calibri" w:cs="Calibri" w:eastAsia="Calibri" w:hAnsi="Calibri"/>
          <w:b/>
          <w:bCs/>
          <w:color w:val="0F3460"/>
          <w:sz w:val="26"/>
          <w:szCs w:val="26"/>
        </w:rPr>
        <w:t xml:space="preserve">Silent Drift Simulation — 2021 to 2024 Cycle</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2400"/>
        <w:gridCol w:w="1080"/>
        <w:gridCol w:w="1980"/>
        <w:gridCol w:w="4500"/>
      </w:tblGrid>
      <w:tr>
        <w:trPr>
          <w:tblHeader/>
        </w:trPr>
        <w:tc>
          <w:tcPr>
            <w:tcW w:type="dxa" w:w="240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Site</w:t>
            </w:r>
          </w:p>
        </w:tc>
        <w:tc>
          <w:tcPr>
            <w:tcW w:type="dxa" w:w="108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Share shift</w:t>
            </w:r>
          </w:p>
        </w:tc>
        <w:tc>
          <w:tcPr>
            <w:tcW w:type="dxa" w:w="198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Classification</w:t>
            </w:r>
          </w:p>
        </w:tc>
        <w:tc>
          <w:tcPr>
            <w:tcW w:type="dxa" w:w="450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Recorded driver</w:t>
            </w:r>
          </w:p>
        </w:tc>
      </w:tr>
      <w:tr>
        <w:tc>
          <w:tcPr>
            <w:tcW w:type="dxa" w:w="24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Lower Neretva Valley</w:t>
            </w:r>
          </w:p>
        </w:tc>
        <w:tc>
          <w:tcPr>
            <w:tcW w:type="dxa" w:w="108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+4.2%</w:t>
            </w:r>
          </w:p>
        </w:tc>
        <w:tc>
          <w:tcPr>
            <w:tcW w:type="dxa" w:w="1980"/>
            <w:shd w:fill="F2F6FC"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1B5E20"/>
                <w:sz w:val="20"/>
                <w:szCs w:val="20"/>
              </w:rPr>
              <w:t xml:space="preserve">INTENTIONAL REWEIGHTING</w:t>
            </w:r>
          </w:p>
        </w:tc>
        <w:tc>
          <w:tcPr>
            <w:tcW w:type="dxa" w:w="45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MedWet transboundary governance obligation — documented in Standing Committee minutes</w:t>
            </w:r>
          </w:p>
        </w:tc>
      </w:tr>
      <w:tr>
        <w:tc>
          <w:tcPr>
            <w:tcW w:type="dxa" w:w="24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Lonjsko Polje</w:t>
            </w:r>
          </w:p>
        </w:tc>
        <w:tc>
          <w:tcPr>
            <w:tcW w:type="dxa" w:w="108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−1.5%</w:t>
            </w:r>
          </w:p>
        </w:tc>
        <w:tc>
          <w:tcPr>
            <w:tcW w:type="dxa" w:w="1980"/>
            <w:shd w:fill="FFFFFF"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B71C1C"/>
                <w:sz w:val="20"/>
                <w:szCs w:val="20"/>
              </w:rPr>
              <w:t xml:space="preserve">SILENT DRIFT</w:t>
            </w:r>
          </w:p>
        </w:tc>
        <w:tc>
          <w:tcPr>
            <w:tcW w:type="dxa" w:w="45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Gradual diversion of site-monitoring funds toward high-profile transboundary reporting — no policy decision recorded</w:t>
            </w:r>
          </w:p>
        </w:tc>
      </w:tr>
    </w:tbl>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pBdr>
          <w:left w:val="single" w:color="1A1A2E" w:sz="10" w:space="10"/>
        </w:pBdr>
        <w:shd w:fill="E8F0FE" w:val="clear"/>
        <w:spacing w:before="100" w:after="0"/>
        <w:ind w:left="360"/>
      </w:pPr>
      <w:r>
        <w:rPr>
          <w:rFonts w:ascii="Calibri" w:cs="Calibri" w:eastAsia="Calibri" w:hAnsi="Calibri"/>
          <w:b/>
          <w:bCs/>
          <w:color w:val="1A1A2E"/>
          <w:sz w:val="20"/>
          <w:szCs w:val="20"/>
        </w:rPr>
        <w:t xml:space="preserve">NOTE:  </w:t>
      </w:r>
      <w:r>
        <w:rPr>
          <w:rFonts w:ascii="Calibri" w:cs="Calibri" w:eastAsia="Calibri" w:hAnsi="Calibri"/>
          <w:i/>
          <w:iCs/>
          <w:color w:val="1A1A1A"/>
          <w:sz w:val="20"/>
          <w:szCs w:val="20"/>
        </w:rPr>
        <w:t xml:space="preserve">The simulated drift data uses realistic patterns drawn from documented Ramsar governance dynamics. Real RSIS export data will replace these values in the pilot baseline run. The classification logic (intentional vs. silent) is the same in both cases.</w:t>
      </w:r>
    </w:p>
    <w:p>
      <w:pPr>
        <w:spacing w:before="0" w:after="80"/>
      </w:pPr>
      <w:r>
        <w:rPr>
          <w:rFonts w:ascii="Calibri" w:cs="Calibri" w:eastAsia="Calibri" w:hAnsi="Calibri"/>
          <w:b w:val="false"/>
          <w:bCs w:val="false"/>
          <w:i w:val="false"/>
          <w:iCs w:val="false"/>
          <w:caps w:val="false"/>
          <w:color w:val="1A1A1A"/>
          <w:sz w:val="22"/>
          <w:szCs w:val="22"/>
        </w:rPr>
        <w:t xml:space="preserve"/>
      </w:r>
    </w:p>
    <w:p>
      <w:pPr>
        <w:spacing w:before="0" w:after="160" w:line="284"/>
        <w:jc w:val="left"/>
      </w:pPr>
      <w:r>
        <w:rPr>
          <w:rFonts w:ascii="Calibri" w:cs="Calibri" w:eastAsia="Calibri" w:hAnsi="Calibri"/>
          <w:b w:val="false"/>
          <w:bCs w:val="false"/>
          <w:i w:val="false"/>
          <w:iCs w:val="false"/>
          <w:caps w:val="false"/>
          <w:color w:val="1A1A1A"/>
          <w:sz w:val="22"/>
          <w:szCs w:val="22"/>
        </w:rPr>
        <w:t xml:space="preserve"/>
      </w:r>
    </w:p>
    <w:p>
      <w:r>
        <w:br w:type="page"/>
      </w:r>
    </w:p>
    <w:p>
      <w:pPr>
        <w:pStyle w:val="Heading1"/>
        <w:pBdr>
          <w:bottom w:val="single" w:color="1A1A2E" w:sz="8" w:space="8"/>
        </w:pBdr>
        <w:spacing w:before="360" w:after="100"/>
      </w:pPr>
      <w:r>
        <w:rPr>
          <w:rFonts w:ascii="Calibri" w:cs="Calibri" w:eastAsia="Calibri" w:hAnsi="Calibri"/>
          <w:b/>
          <w:bCs/>
          <w:color w:val="1A1A2E"/>
          <w:sz w:val="32"/>
          <w:szCs w:val="32"/>
        </w:rPr>
        <w:t xml:space="preserve">Section 2</w:t>
      </w:r>
      <w:r>
        <w:rPr>
          <w:rFonts w:ascii="Calibri" w:cs="Calibri" w:eastAsia="Calibri" w:hAnsi="Calibri"/>
          <w:color w:val="7A8A99"/>
          <w:sz w:val="20"/>
          <w:szCs w:val="20"/>
        </w:rPr>
        <w:t xml:space="preserve">   Completed Studies</w:t>
      </w:r>
    </w:p>
    <w:p>
      <w:pPr>
        <w:spacing w:before="0" w:after="130" w:line="284"/>
        <w:jc w:val="left"/>
      </w:pPr>
      <w:r>
        <w:rPr>
          <w:rFonts w:ascii="Calibri" w:cs="Calibri" w:eastAsia="Calibri" w:hAnsi="Calibri"/>
          <w:b w:val="false"/>
          <w:bCs w:val="false"/>
          <w:i w:val="false"/>
          <w:iCs w:val="false"/>
          <w:caps w:val="false"/>
          <w:color w:val="1A1A1A"/>
          <w:sz w:val="22"/>
          <w:szCs w:val="22"/>
        </w:rPr>
        <w:t xml:space="preserve">Every item in this section is complete, citable, and available in the document corpus. Nothing here is a plan or an outline — it is done.</w:t>
      </w:r>
    </w:p>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pStyle w:val="Heading2"/>
        <w:spacing w:before="280" w:after="80"/>
      </w:pPr>
      <w:r>
        <w:rPr>
          <w:rFonts w:ascii="Calibri" w:cs="Calibri" w:eastAsia="Calibri" w:hAnsi="Calibri"/>
          <w:b/>
          <w:bCs/>
          <w:color w:val="0F3460"/>
          <w:sz w:val="26"/>
          <w:szCs w:val="26"/>
        </w:rPr>
        <w:t xml:space="preserve">Study A — Three-Domain Structural Invariance (Exhibit B)</w:t>
      </w:r>
    </w:p>
    <w:p>
      <w:pPr>
        <w:spacing w:before="0" w:after="130" w:line="284"/>
        <w:jc w:val="left"/>
      </w:pPr>
      <w:r>
        <w:rPr>
          <w:rFonts w:ascii="Calibri" w:cs="Calibri" w:eastAsia="Calibri" w:hAnsi="Calibri"/>
          <w:b w:val="false"/>
          <w:bCs w:val="false"/>
          <w:i w:val="false"/>
          <w:iCs w:val="false"/>
          <w:caps w:val="false"/>
          <w:color w:val="1A1A1A"/>
          <w:sz w:val="22"/>
          <w:szCs w:val="22"/>
        </w:rPr>
        <w:t xml:space="preserve">The unity constraint is domain-invariant. The HUF Diagnostic Engine applied Tests T1, T4, T5, and T8 to three systems with no domain overlap and produced coherent, formally structured results using the same instrument without modification.</w:t>
      </w:r>
    </w:p>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1440"/>
        <w:gridCol w:w="1560"/>
        <w:gridCol w:w="1680"/>
        <w:gridCol w:w="1800"/>
        <w:gridCol w:w="900"/>
        <w:gridCol w:w="1200"/>
      </w:tblGrid>
      <w:tr>
        <w:trPr>
          <w:tblHeader/>
        </w:trPr>
        <w:tc>
          <w:tcPr>
            <w:tcW w:type="dxa" w:w="78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System</w:t>
            </w:r>
          </w:p>
        </w:tc>
        <w:tc>
          <w:tcPr>
            <w:tcW w:type="dxa" w:w="144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Domain</w:t>
            </w:r>
          </w:p>
        </w:tc>
        <w:tc>
          <w:tcPr>
            <w:tcW w:type="dxa" w:w="156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Budget ceiling</w:t>
            </w:r>
          </w:p>
        </w:tc>
        <w:tc>
          <w:tcPr>
            <w:tcW w:type="dxa" w:w="168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PROOF line</w:t>
            </w:r>
          </w:p>
        </w:tc>
        <w:tc>
          <w:tcPr>
            <w:tcW w:type="dxa" w:w="180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Highest-Q element</w:t>
            </w:r>
          </w:p>
        </w:tc>
        <w:tc>
          <w:tcPr>
            <w:tcW w:type="dxa" w:w="90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MDG</w:t>
            </w:r>
          </w:p>
        </w:tc>
        <w:tc>
          <w:tcPr>
            <w:tcW w:type="dxa" w:w="120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Status</w:t>
            </w:r>
          </w:p>
        </w:tc>
      </w:tr>
      <w:tr>
        <w:tc>
          <w:tcPr>
            <w:tcW w:type="dxa" w:w="78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System A</w:t>
            </w:r>
          </w:p>
        </w:tc>
        <w:tc>
          <w:tcPr>
            <w:tcW w:type="dxa" w:w="14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Artisanal bread</w:t>
            </w:r>
          </w:p>
        </w:tc>
        <w:tc>
          <w:tcPr>
            <w:tcW w:type="dxa" w:w="15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1,000g</w:t>
            </w:r>
          </w:p>
        </w:tc>
        <w:tc>
          <w:tcPr>
            <w:tcW w:type="dxa" w:w="168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2 (flour+water=98.4%)</w:t>
            </w:r>
          </w:p>
        </w:tc>
        <w:tc>
          <w:tcPr>
            <w:tcW w:type="dxa" w:w="18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Yeast — leverage 833</w:t>
            </w:r>
          </w:p>
        </w:tc>
        <w:tc>
          <w:tcPr>
            <w:tcW w:type="dxa" w:w="9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1.4pp</w:t>
            </w:r>
          </w:p>
        </w:tc>
        <w:tc>
          <w:tcPr>
            <w:tcW w:type="dxa" w:w="12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COMPLETE</w:t>
            </w:r>
          </w:p>
        </w:tc>
      </w:tr>
      <w:tr>
        <w:tc>
          <w:tcPr>
            <w:tcW w:type="dxa" w:w="78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System B</w:t>
            </w:r>
          </w:p>
        </w:tc>
        <w:tc>
          <w:tcPr>
            <w:tcW w:type="dxa" w:w="14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Croatia Ramsar</w:t>
            </w:r>
          </w:p>
        </w:tc>
        <w:tc>
          <w:tcPr>
            <w:tcW w:type="dxa" w:w="15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93,590 ha</w:t>
            </w:r>
          </w:p>
        </w:tc>
        <w:tc>
          <w:tcPr>
            <w:tcW w:type="dxa" w:w="168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2 (Lonjsko+Kopački=80%)</w:t>
            </w:r>
          </w:p>
        </w:tc>
        <w:tc>
          <w:tcPr>
            <w:tcW w:type="dxa" w:w="18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Crna Mlaka — leverage 149*</w:t>
            </w:r>
          </w:p>
        </w:tc>
        <w:tc>
          <w:tcPr>
            <w:tcW w:type="dxa" w:w="9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4.8pp</w:t>
            </w:r>
          </w:p>
        </w:tc>
        <w:tc>
          <w:tcPr>
            <w:tcW w:type="dxa" w:w="12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COMPLETE</w:t>
            </w:r>
          </w:p>
        </w:tc>
      </w:tr>
      <w:tr>
        <w:tc>
          <w:tcPr>
            <w:tcW w:type="dxa" w:w="78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System C</w:t>
            </w:r>
          </w:p>
        </w:tc>
        <w:tc>
          <w:tcPr>
            <w:tcW w:type="dxa" w:w="14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Software retrieval pipeline</w:t>
            </w:r>
          </w:p>
        </w:tc>
        <w:tc>
          <w:tcPr>
            <w:tcW w:type="dxa" w:w="15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Total query volume (30d)</w:t>
            </w:r>
          </w:p>
        </w:tc>
        <w:tc>
          <w:tcPr>
            <w:tcW w:type="dxa" w:w="168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2 (General+Technical=80%)</w:t>
            </w:r>
          </w:p>
        </w:tc>
        <w:tc>
          <w:tcPr>
            <w:tcW w:type="dxa" w:w="18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Archive/legacy — leverage 14.3</w:t>
            </w:r>
          </w:p>
        </w:tc>
        <w:tc>
          <w:tcPr>
            <w:tcW w:type="dxa" w:w="9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10.0pp</w:t>
            </w:r>
          </w:p>
        </w:tc>
        <w:tc>
          <w:tcPr>
            <w:tcW w:type="dxa" w:w="12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COMPLETE</w:t>
            </w:r>
          </w:p>
        </w:tc>
      </w:tr>
    </w:tbl>
    <w:p>
      <w:pPr>
        <w:spacing w:before="0" w:after="60" w:line="284"/>
        <w:jc w:val="left"/>
      </w:pPr>
      <w:r>
        <w:rPr>
          <w:rFonts w:ascii="Calibri" w:cs="Calibri" w:eastAsia="Calibri" w:hAnsi="Calibri"/>
          <w:b w:val="false"/>
          <w:bCs w:val="false"/>
          <w:i/>
          <w:iCs/>
          <w:caps w:val="false"/>
          <w:color w:val="7A8A99"/>
          <w:sz w:val="18"/>
          <w:szCs w:val="18"/>
        </w:rPr>
        <w:t xml:space="preserve">* Leverage 149 is the area-only calculation. Under endemism-priority weighting the portfolio is dominated by Neretva. Both findings are documented in Exhibit B.</w:t>
      </w:r>
    </w:p>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pStyle w:val="Heading2"/>
        <w:spacing w:before="280" w:after="80"/>
      </w:pPr>
      <w:r>
        <w:rPr>
          <w:rFonts w:ascii="Calibri" w:cs="Calibri" w:eastAsia="Calibri" w:hAnsi="Calibri"/>
          <w:b/>
          <w:bCs/>
          <w:color w:val="0F3460"/>
          <w:sz w:val="26"/>
          <w:szCs w:val="26"/>
        </w:rPr>
        <w:t xml:space="preserve">Study B — Sourdough Bread Real-Data Demonstration (Case Study D.1)</w:t>
      </w:r>
    </w:p>
    <w:p>
      <w:pPr>
        <w:spacing w:before="0" w:after="130" w:line="284"/>
        <w:jc w:val="left"/>
      </w:pPr>
      <w:r>
        <w:rPr>
          <w:rFonts w:ascii="Calibri" w:cs="Calibri" w:eastAsia="Calibri" w:hAnsi="Calibri"/>
          <w:b w:val="false"/>
          <w:bCs w:val="false"/>
          <w:i w:val="false"/>
          <w:iCs w:val="false"/>
          <w:caps w:val="false"/>
          <w:color w:val="1A1A1A"/>
          <w:sz w:val="22"/>
          <w:szCs w:val="22"/>
        </w:rPr>
        <w:t xml:space="preserve">HUF applied to a real artisanal bread recipe using public nutrition database data. Portfolio share table, trace report, change log, and coverage record all produced. Yeast identified as ultra-high-Q element (leverage 833). Mean drift gap 1.4pp — near ground state. Exhibit A complete.</w:t>
      </w:r>
    </w:p>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pStyle w:val="Heading2"/>
        <w:spacing w:before="280" w:after="80"/>
      </w:pPr>
      <w:r>
        <w:rPr>
          <w:rFonts w:ascii="Calibri" w:cs="Calibri" w:eastAsia="Calibri" w:hAnsi="Calibri"/>
          <w:b/>
          <w:bCs/>
          <w:color w:val="0F3460"/>
          <w:sz w:val="26"/>
          <w:szCs w:val="26"/>
        </w:rPr>
        <w:t xml:space="preserve">Study C — Croatia Demo Script (ramsar_huf_demo_v2.py)</w:t>
      </w:r>
    </w:p>
    <w:p>
      <w:pPr>
        <w:spacing w:before="0" w:after="130" w:line="284"/>
        <w:jc w:val="left"/>
      </w:pPr>
      <w:r>
        <w:rPr>
          <w:rFonts w:ascii="Calibri" w:cs="Calibri" w:eastAsia="Calibri" w:hAnsi="Calibri"/>
          <w:b w:val="false"/>
          <w:bCs w:val="false"/>
          <w:i w:val="false"/>
          <w:iCs w:val="false"/>
          <w:caps w:val="false"/>
          <w:color w:val="1A1A1A"/>
          <w:sz w:val="22"/>
          <w:szCs w:val="22"/>
        </w:rPr>
        <w:t xml:space="preserve">A fully functional Python demonstration of HUF applied to Croatia's five Ramsar sites using mock RSIS data. Produces all four standard CSV artifacts. Console output uses Ramsar institutional vocabulary (no internal HUF jargon visible to reader). Endemism-priority and area-priority runs included. Silent drift simulation included. Data provenance fields marked for live data substitution.</w:t>
      </w:r>
    </w:p>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pBdr>
          <w:left w:val="single" w:color="2E7D32" w:sz="10" w:space="10"/>
        </w:pBdr>
        <w:shd w:fill="E8F5E9" w:val="clear"/>
        <w:spacing w:before="100" w:after="0"/>
        <w:ind w:left="360"/>
      </w:pPr>
      <w:r>
        <w:rPr>
          <w:rFonts w:ascii="Calibri" w:cs="Calibri" w:eastAsia="Calibri" w:hAnsi="Calibri"/>
          <w:b/>
          <w:bCs/>
          <w:color w:val="2E7D32"/>
          <w:sz w:val="20"/>
          <w:szCs w:val="20"/>
        </w:rPr>
        <w:t xml:space="preserve">READY FOR LIVE DATA:  </w:t>
      </w:r>
      <w:r>
        <w:rPr>
          <w:rFonts w:ascii="Calibri" w:cs="Calibri" w:eastAsia="Calibri" w:hAnsi="Calibri"/>
          <w:i/>
          <w:iCs/>
          <w:color w:val="1A1A1A"/>
          <w:sz w:val="20"/>
          <w:szCs w:val="20"/>
        </w:rPr>
        <w:t xml:space="preserve">Replace the MOCK_RSIS constant in ramsar_huf_demo_v2.py with pd.read_csv('rsis_croatia_export.csv') and the script runs unchanged. No other modifications required.</w:t>
      </w:r>
    </w:p>
    <w:p>
      <w:pPr>
        <w:spacing w:before="0" w:after="80"/>
      </w:pPr>
      <w:r>
        <w:rPr>
          <w:rFonts w:ascii="Calibri" w:cs="Calibri" w:eastAsia="Calibri" w:hAnsi="Calibri"/>
          <w:b w:val="false"/>
          <w:bCs w:val="false"/>
          <w:i w:val="false"/>
          <w:iCs w:val="false"/>
          <w:caps w:val="false"/>
          <w:color w:val="1A1A1A"/>
          <w:sz w:val="22"/>
          <w:szCs w:val="22"/>
        </w:rPr>
        <w:t xml:space="preserve"/>
      </w:r>
    </w:p>
    <w:p>
      <w:pPr>
        <w:pStyle w:val="Heading2"/>
        <w:spacing w:before="280" w:after="80"/>
      </w:pPr>
      <w:r>
        <w:rPr>
          <w:rFonts w:ascii="Calibri" w:cs="Calibri" w:eastAsia="Calibri" w:hAnsi="Calibri"/>
          <w:b/>
          <w:bCs/>
          <w:color w:val="0F3460"/>
          <w:sz w:val="26"/>
          <w:szCs w:val="26"/>
        </w:rPr>
        <w:t xml:space="preserve">Study D — Collective Review Record (all five AI rounds)</w:t>
      </w:r>
    </w:p>
    <w:p>
      <w:pPr>
        <w:spacing w:before="0" w:after="130" w:line="284"/>
        <w:jc w:val="left"/>
      </w:pPr>
      <w:r>
        <w:rPr>
          <w:rFonts w:ascii="Calibri" w:cs="Calibri" w:eastAsia="Calibri" w:hAnsi="Calibri"/>
          <w:b w:val="false"/>
          <w:bCs w:val="false"/>
          <w:i w:val="false"/>
          <w:iCs w:val="false"/>
          <w:caps w:val="false"/>
          <w:color w:val="1A1A1A"/>
          <w:sz w:val="22"/>
          <w:szCs w:val="22"/>
        </w:rPr>
        <w:t xml:space="preserve">Five rounds of multi-AI collective review documented in collective_trace_report.csv. Each contribution recorded with operator weight, retain/discard decision, and artifact produced. The record demonstrates the methodology of the operator-directed collective review process. 42 individual contributions logged across Claude, Copilot, Gemini, ChatGPT, and Grok.</w:t>
      </w:r>
    </w:p>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pStyle w:val="Heading2"/>
        <w:spacing w:before="280" w:after="80"/>
      </w:pPr>
      <w:r>
        <w:rPr>
          <w:rFonts w:ascii="Calibri" w:cs="Calibri" w:eastAsia="Calibri" w:hAnsi="Calibri"/>
          <w:b/>
          <w:bCs/>
          <w:color w:val="0F3460"/>
          <w:sz w:val="26"/>
          <w:szCs w:val="26"/>
        </w:rPr>
        <w:t xml:space="preserve">Study E — Governance State Observer Paper</w:t>
      </w:r>
    </w:p>
    <w:p>
      <w:pPr>
        <w:spacing w:before="0" w:after="130" w:line="284"/>
        <w:jc w:val="left"/>
      </w:pPr>
      <w:r>
        <w:rPr>
          <w:rFonts w:ascii="Calibri" w:cs="Calibri" w:eastAsia="Calibri" w:hAnsi="Calibri"/>
          <w:b w:val="false"/>
          <w:bCs w:val="false"/>
          <w:i w:val="false"/>
          <w:iCs w:val="false"/>
          <w:caps w:val="false"/>
          <w:color w:val="1A1A1A"/>
          <w:sz w:val="22"/>
          <w:szCs w:val="22"/>
        </w:rPr>
        <w:t xml:space="preserve">Formal paper positioning HUF as a governance state observer in the control-theory sense. Complete as HUF_Vol3_GovernanceStateObserver.docx. Demonstrates that the portfolio change log is a Luenberger-style observer operating on the governance system's ratio state. Ready for journal submission alongside the mathematics compendium.</w:t>
      </w:r>
    </w:p>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pStyle w:val="Heading2"/>
        <w:spacing w:before="280" w:after="80"/>
      </w:pPr>
      <w:r>
        <w:rPr>
          <w:rFonts w:ascii="Calibri" w:cs="Calibri" w:eastAsia="Calibri" w:hAnsi="Calibri"/>
          <w:b/>
          <w:bCs/>
          <w:color w:val="0F3460"/>
          <w:sz w:val="26"/>
          <w:szCs w:val="26"/>
        </w:rPr>
        <w:t xml:space="preserve">Study F — Mathematics Compendium (HUF Vol 2)</w:t>
      </w:r>
    </w:p>
    <w:p>
      <w:pPr>
        <w:spacing w:before="0" w:after="130" w:line="284"/>
        <w:jc w:val="left"/>
      </w:pPr>
      <w:r>
        <w:rPr>
          <w:rFonts w:ascii="Calibri" w:cs="Calibri" w:eastAsia="Calibri" w:hAnsi="Calibri"/>
          <w:b w:val="false"/>
          <w:bCs w:val="false"/>
          <w:i w:val="false"/>
          <w:iCs w:val="false"/>
          <w:caps w:val="false"/>
          <w:color w:val="1A1A1A"/>
          <w:sz w:val="22"/>
          <w:szCs w:val="22"/>
        </w:rPr>
        <w:t xml:space="preserve">Formal mathematical foundations including Proposition 7.5 (Institutional Memory Theorem — proved within framework assumptions), convergence analysis, Lyapunov stability setup, and Q-factor derivation. Vol 2 is complete. Non-linear convergence proof (G.11) remains open pending Phase D data.</w:t>
      </w:r>
    </w:p>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pStyle w:val="Heading2"/>
        <w:spacing w:before="280" w:after="80"/>
      </w:pPr>
      <w:r>
        <w:rPr>
          <w:rFonts w:ascii="Calibri" w:cs="Calibri" w:eastAsia="Calibri" w:hAnsi="Calibri"/>
          <w:b/>
          <w:bCs/>
          <w:color w:val="0F3460"/>
          <w:sz w:val="26"/>
          <w:szCs w:val="26"/>
        </w:rPr>
        <w:t xml:space="preserve">Study G — Grok Mathematical Extensions Review</w:t>
      </w:r>
    </w:p>
    <w:p>
      <w:pPr>
        <w:spacing w:before="0" w:after="130" w:line="284"/>
        <w:jc w:val="left"/>
      </w:pPr>
      <w:r>
        <w:rPr>
          <w:rFonts w:ascii="Calibri" w:cs="Calibri" w:eastAsia="Calibri" w:hAnsi="Calibri"/>
          <w:b w:val="false"/>
          <w:bCs w:val="false"/>
          <w:i w:val="false"/>
          <w:iCs w:val="false"/>
          <w:caps w:val="false"/>
          <w:color w:val="1A1A1A"/>
          <w:sz w:val="22"/>
          <w:szCs w:val="22"/>
        </w:rPr>
        <w:t xml:space="preserve">13 Grok conjectures (G.1–G.13) reviewed and classified. Five collective verdicts issued: HUF is TRUE, HUF is NEW, Ratio State Monitoring is the correct canonical name (ENDORSED), Proposition 7.1 has empirical support (SUPPORTED), non-linear convergence proof is currently impossible (ASSESSMENT). All verdicts recorded in HUF_Complete_Reference_Feb2026.docx, Layers 13–14.</w:t>
      </w:r>
    </w:p>
    <w:p>
      <w:pPr>
        <w:spacing w:before="0" w:after="160" w:line="284"/>
        <w:jc w:val="left"/>
      </w:pPr>
      <w:r>
        <w:rPr>
          <w:rFonts w:ascii="Calibri" w:cs="Calibri" w:eastAsia="Calibri" w:hAnsi="Calibri"/>
          <w:b w:val="false"/>
          <w:bCs w:val="false"/>
          <w:i w:val="false"/>
          <w:iCs w:val="false"/>
          <w:caps w:val="false"/>
          <w:color w:val="1A1A1A"/>
          <w:sz w:val="22"/>
          <w:szCs w:val="22"/>
        </w:rPr>
        <w:t xml:space="preserve"/>
      </w:r>
    </w:p>
    <w:p>
      <w:r>
        <w:br w:type="page"/>
      </w:r>
    </w:p>
    <w:p>
      <w:pPr>
        <w:pStyle w:val="Heading1"/>
        <w:pBdr>
          <w:bottom w:val="single" w:color="1A1A2E" w:sz="8" w:space="8"/>
        </w:pBdr>
        <w:spacing w:before="360" w:after="100"/>
      </w:pPr>
      <w:r>
        <w:rPr>
          <w:rFonts w:ascii="Calibri" w:cs="Calibri" w:eastAsia="Calibri" w:hAnsi="Calibri"/>
          <w:b/>
          <w:bCs/>
          <w:color w:val="1A1A2E"/>
          <w:sz w:val="32"/>
          <w:szCs w:val="32"/>
        </w:rPr>
        <w:t xml:space="preserve">Section 3</w:t>
      </w:r>
      <w:r>
        <w:rPr>
          <w:rFonts w:ascii="Calibri" w:cs="Calibri" w:eastAsia="Calibri" w:hAnsi="Calibri"/>
          <w:color w:val="7A8A99"/>
          <w:sz w:val="20"/>
          <w:szCs w:val="20"/>
        </w:rPr>
        <w:t xml:space="preserve">   Outlined Work</w:t>
      </w:r>
    </w:p>
    <w:p>
      <w:pPr>
        <w:spacing w:before="0" w:after="130" w:line="284"/>
        <w:jc w:val="left"/>
      </w:pPr>
      <w:r>
        <w:rPr>
          <w:rFonts w:ascii="Calibri" w:cs="Calibri" w:eastAsia="Calibri" w:hAnsi="Calibri"/>
          <w:b w:val="false"/>
          <w:bCs w:val="false"/>
          <w:i w:val="false"/>
          <w:iCs w:val="false"/>
          <w:caps w:val="false"/>
          <w:color w:val="1A1A1A"/>
          <w:sz w:val="22"/>
          <w:szCs w:val="22"/>
        </w:rPr>
        <w:t xml:space="preserve">These studies have complete outlines, methodologies, and data specifications. They cannot be finished without either real institutional data (marked NEEDS DATA) or institutional access (marked NEEDS ACCESS). The outline is the work. The execution is the pilot.</w:t>
      </w:r>
    </w:p>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pStyle w:val="Heading2"/>
        <w:spacing w:before="280" w:after="80"/>
      </w:pPr>
      <w:r>
        <w:rPr>
          <w:rFonts w:ascii="Calibri" w:cs="Calibri" w:eastAsia="Calibri" w:hAnsi="Calibri"/>
          <w:b/>
          <w:bCs/>
          <w:color w:val="0F3460"/>
          <w:sz w:val="26"/>
          <w:szCs w:val="26"/>
        </w:rPr>
        <w:t xml:space="preserve">3.1  Croatia Pilot Baseline Run — Case Study D.5  [NEEDS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3360"/>
        <w:gridCol w:w="2400"/>
      </w:tblGrid>
      <w:tr>
        <w:trPr>
          <w:tblHeader/>
        </w:trPr>
        <w:tc>
          <w:tcPr>
            <w:tcW w:type="dxa" w:w="240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Item</w:t>
            </w:r>
          </w:p>
        </w:tc>
        <w:tc>
          <w:tcPr>
            <w:tcW w:type="dxa" w:w="120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Status</w:t>
            </w:r>
          </w:p>
        </w:tc>
        <w:tc>
          <w:tcPr>
            <w:tcW w:type="dxa" w:w="336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What is needed</w:t>
            </w:r>
          </w:p>
        </w:tc>
        <w:tc>
          <w:tcPr>
            <w:tcW w:type="dxa" w:w="240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Who provides it</w:t>
            </w:r>
          </w:p>
        </w:tc>
      </w:tr>
      <w:tr>
        <w:tc>
          <w:tcPr>
            <w:tcW w:type="dxa" w:w="24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RSIS live export for all 5 Croatian sites</w:t>
            </w:r>
          </w:p>
        </w:tc>
        <w:tc>
          <w:tcPr>
            <w:tcW w:type="dxa" w:w="12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33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Current RSIS export CSV: site_id, area_ha, endemism_count, data_year fields. Download from rsis.ramsar.org.</w:t>
            </w:r>
          </w:p>
        </w:tc>
        <w:tc>
          <w:tcPr>
            <w:tcW w:type="dxa" w:w="24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Operator or Secretariat contact</w:t>
            </w:r>
          </w:p>
        </w:tc>
      </w:tr>
      <w:tr>
        <w:tc>
          <w:tcPr>
            <w:tcW w:type="dxa" w:w="24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Operator declared weights — confirmed</w:t>
            </w:r>
          </w:p>
        </w:tc>
        <w:tc>
          <w:tcPr>
            <w:tcW w:type="dxa" w:w="12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33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Croatian scientific team declares area/endemism priority weighting for the pilot cycle. Single line: area=X, endemism=Y, sum=1.0.</w:t>
            </w:r>
          </w:p>
        </w:tc>
        <w:tc>
          <w:tcPr>
            <w:tcW w:type="dxa" w:w="24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Croatian Ministry / MedWet contact</w:t>
            </w:r>
          </w:p>
        </w:tc>
      </w:tr>
      <w:tr>
        <w:tc>
          <w:tcPr>
            <w:tcW w:type="dxa" w:w="24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Run ramsar_huf_demo_v2.py on live data</w:t>
            </w:r>
          </w:p>
        </w:tc>
        <w:tc>
          <w:tcPr>
            <w:tcW w:type="dxa" w:w="12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33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Script is complete. Replace MOCK_RSIS with live export. Run. Produces all 4 CSV artifacts.</w:t>
            </w:r>
          </w:p>
        </w:tc>
        <w:tc>
          <w:tcPr>
            <w:tcW w:type="dxa" w:w="24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Operator (Peter Higgins)</w:t>
            </w:r>
          </w:p>
        </w:tc>
      </w:tr>
      <w:tr>
        <w:tc>
          <w:tcPr>
            <w:tcW w:type="dxa" w:w="24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Produce baseline portfolio share table</w:t>
            </w:r>
          </w:p>
        </w:tc>
        <w:tc>
          <w:tcPr>
            <w:tcW w:type="dxa" w:w="12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33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Output of script run. First artifact of the pilot. Attaches to National Report annex.</w:t>
            </w:r>
          </w:p>
        </w:tc>
        <w:tc>
          <w:tcPr>
            <w:tcW w:type="dxa" w:w="24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Operator</w:t>
            </w:r>
          </w:p>
        </w:tc>
      </w:tr>
      <w:tr>
        <w:tc>
          <w:tcPr>
            <w:tcW w:type="dxa" w:w="24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Produce trace report</w:t>
            </w:r>
          </w:p>
        </w:tc>
        <w:tc>
          <w:tcPr>
            <w:tcW w:type="dxa" w:w="12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33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Output of script run. Records declared weights, data provenance, unity check.</w:t>
            </w:r>
          </w:p>
        </w:tc>
        <w:tc>
          <w:tcPr>
            <w:tcW w:type="dxa" w:w="24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Operator</w:t>
            </w:r>
          </w:p>
        </w:tc>
      </w:tr>
    </w:tbl>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pStyle w:val="Heading2"/>
        <w:spacing w:before="280" w:after="80"/>
      </w:pPr>
      <w:r>
        <w:rPr>
          <w:rFonts w:ascii="Calibri" w:cs="Calibri" w:eastAsia="Calibri" w:hAnsi="Calibri"/>
          <w:b/>
          <w:bCs/>
          <w:color w:val="0F3460"/>
          <w:sz w:val="26"/>
          <w:szCs w:val="26"/>
        </w:rPr>
        <w:t xml:space="preserve">3.2  Silent Drift Real-Data Classification — Change Log Cycle 2  [NEEDS DATA]</w:t>
      </w:r>
    </w:p>
    <w:p>
      <w:pPr>
        <w:spacing w:before="0" w:after="130" w:line="284"/>
        <w:jc w:val="left"/>
      </w:pPr>
      <w:r>
        <w:rPr>
          <w:rFonts w:ascii="Calibri" w:cs="Calibri" w:eastAsia="Calibri" w:hAnsi="Calibri"/>
          <w:b w:val="false"/>
          <w:bCs w:val="false"/>
          <w:i w:val="false"/>
          <w:iCs w:val="false"/>
          <w:caps w:val="false"/>
          <w:color w:val="1A1A1A"/>
          <w:sz w:val="22"/>
          <w:szCs w:val="22"/>
        </w:rPr>
        <w:t xml:space="preserve">The simulated 2021–2024 drift log shows one intentional reweighting (Neretva +4.2%) and one silent drift (Lonjsko −1.5%). These are realistic but not confirmed. Real classification requires: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40"/>
        <w:gridCol w:w="5520"/>
      </w:tblGrid>
      <w:tr>
        <w:trPr>
          <w:tblHeader/>
        </w:trPr>
        <w:tc>
          <w:tcPr>
            <w:tcW w:type="dxa" w:w="240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Required input</w:t>
            </w:r>
          </w:p>
        </w:tc>
        <w:tc>
          <w:tcPr>
            <w:tcW w:type="dxa" w:w="144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Status</w:t>
            </w:r>
          </w:p>
        </w:tc>
        <w:tc>
          <w:tcPr>
            <w:tcW w:type="dxa" w:w="552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Notes</w:t>
            </w:r>
          </w:p>
        </w:tc>
      </w:tr>
      <w:tr>
        <w:tc>
          <w:tcPr>
            <w:tcW w:type="dxa" w:w="24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2021 RSIS export for all 5 sites</w:t>
            </w:r>
          </w:p>
        </w:tc>
        <w:tc>
          <w:tcPr>
            <w:tcW w:type="dxa" w:w="14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5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Historical RSIS exports available via rsis.ramsar.org archive. Retrieve 2021 state.</w:t>
            </w:r>
          </w:p>
        </w:tc>
      </w:tr>
      <w:tr>
        <w:tc>
          <w:tcPr>
            <w:tcW w:type="dxa" w:w="24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2024 RSIS export for all 5 sites</w:t>
            </w:r>
          </w:p>
        </w:tc>
        <w:tc>
          <w:tcPr>
            <w:tcW w:type="dxa" w:w="14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5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Current export. Download date becomes provenance anchor.</w:t>
            </w:r>
          </w:p>
        </w:tc>
      </w:tr>
      <w:tr>
        <w:tc>
          <w:tcPr>
            <w:tcW w:type="dxa" w:w="24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2021→2024 governance decision log</w:t>
            </w:r>
          </w:p>
        </w:tc>
        <w:tc>
          <w:tcPr>
            <w:tcW w:type="dxa" w:w="14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5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Croatian Ministry or Standing Committee minutes. Only they can confirm intentional vs silent classification for each real shift.</w:t>
            </w:r>
          </w:p>
        </w:tc>
      </w:tr>
      <w:tr>
        <w:tc>
          <w:tcPr>
            <w:tcW w:type="dxa" w:w="24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Run change log comparison script</w:t>
            </w:r>
          </w:p>
        </w:tc>
        <w:tc>
          <w:tcPr>
            <w:tcW w:type="dxa" w:w="14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5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Comparison logic is in ramsar_huf_demo_v2.py. Extend with real delta computation between 2021 and 2024 exports.</w:t>
            </w:r>
          </w:p>
        </w:tc>
      </w:tr>
    </w:tbl>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pStyle w:val="Heading2"/>
        <w:spacing w:before="280" w:after="80"/>
      </w:pPr>
      <w:r>
        <w:rPr>
          <w:rFonts w:ascii="Calibri" w:cs="Calibri" w:eastAsia="Calibri" w:hAnsi="Calibri"/>
          <w:b/>
          <w:bCs/>
          <w:color w:val="0F3460"/>
          <w:sz w:val="26"/>
          <w:szCs w:val="26"/>
        </w:rPr>
        <w:t xml:space="preserve">3.3  Orphan Alert Threshold Calibration — Croatia-Specific  [NEEDS DATA]</w:t>
      </w:r>
    </w:p>
    <w:p>
      <w:pPr>
        <w:spacing w:before="0" w:after="130" w:line="284"/>
        <w:jc w:val="left"/>
      </w:pPr>
      <w:r>
        <w:rPr>
          <w:rFonts w:ascii="Calibri" w:cs="Calibri" w:eastAsia="Calibri" w:hAnsi="Calibri"/>
          <w:b w:val="false"/>
          <w:bCs w:val="false"/>
          <w:i w:val="false"/>
          <w:iCs w:val="false"/>
          <w:caps w:val="false"/>
          <w:color w:val="1A1A1A"/>
          <w:sz w:val="22"/>
          <w:szCs w:val="22"/>
        </w:rPr>
        <w:t xml:space="preserve">Current Orphan Alert uses Ramsar defaults: Y = 50% decline, Z = 2 consecutive cycles. Croatia-specific calibration requires one full pilot cycle (3 years under Ramsar reporting) to observe actual drift rates. Outline: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440"/>
        <w:gridCol w:w="5220"/>
      </w:tblGrid>
      <w:tr>
        <w:trPr>
          <w:tblHeader/>
        </w:trPr>
        <w:tc>
          <w:tcPr>
            <w:tcW w:type="dxa" w:w="270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Calibration step</w:t>
            </w:r>
          </w:p>
        </w:tc>
        <w:tc>
          <w:tcPr>
            <w:tcW w:type="dxa" w:w="144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Status</w:t>
            </w:r>
          </w:p>
        </w:tc>
        <w:tc>
          <w:tcPr>
            <w:tcW w:type="dxa" w:w="522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Inputs needed</w:t>
            </w:r>
          </w:p>
        </w:tc>
      </w:tr>
      <w:tr>
        <w:tc>
          <w:tcPr>
            <w:tcW w:type="dxa" w:w="27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Observe drift distribution across 1 pilot cycle</w:t>
            </w:r>
          </w:p>
        </w:tc>
        <w:tc>
          <w:tcPr>
            <w:tcW w:type="dxa" w:w="14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2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Three-year reporting cycle with both 2021 and 2024 RSIS exports available</w:t>
            </w:r>
          </w:p>
        </w:tc>
      </w:tr>
      <w:tr>
        <w:tc>
          <w:tcPr>
            <w:tcW w:type="dxa" w:w="27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Fit Orphan Alert Y threshold to Croatia drift distribution</w:t>
            </w:r>
          </w:p>
        </w:tc>
        <w:tc>
          <w:tcPr>
            <w:tcW w:type="dxa" w:w="14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2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Set Y = mean drift gap + 2 standard deviations from pilot cycle data</w:t>
            </w:r>
          </w:p>
        </w:tc>
      </w:tr>
      <w:tr>
        <w:tc>
          <w:tcPr>
            <w:tcW w:type="dxa" w:w="27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Validate Z = 2 cycles assumption for Croatian portfolio</w:t>
            </w:r>
          </w:p>
        </w:tc>
        <w:tc>
          <w:tcPr>
            <w:tcW w:type="dxa" w:w="14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2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If drift is persistent across 3 cycles rather than 2, adjust Z accordingly</w:t>
            </w:r>
          </w:p>
        </w:tc>
      </w:tr>
      <w:tr>
        <w:tc>
          <w:tcPr>
            <w:tcW w:type="dxa" w:w="27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Record calibrated thresholds in trace report</w:t>
            </w:r>
          </w:p>
        </w:tc>
        <w:tc>
          <w:tcPr>
            <w:tcW w:type="dxa" w:w="14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2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One-line entry in trace report per site per cycle. Template prepared in ramsar_huf_demo_v2.py</w:t>
            </w:r>
          </w:p>
        </w:tc>
      </w:tr>
    </w:tbl>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pStyle w:val="Heading2"/>
        <w:spacing w:before="280" w:after="80"/>
      </w:pPr>
      <w:r>
        <w:rPr>
          <w:rFonts w:ascii="Calibri" w:cs="Calibri" w:eastAsia="Calibri" w:hAnsi="Calibri"/>
          <w:b/>
          <w:bCs/>
          <w:color w:val="0F3460"/>
          <w:sz w:val="26"/>
          <w:szCs w:val="26"/>
        </w:rPr>
        <w:t xml:space="preserve">3.4  Neretva Endemism Data Refresh  [NEEDS ACCESS]</w:t>
      </w:r>
    </w:p>
    <w:p>
      <w:pPr>
        <w:spacing w:before="0" w:after="130" w:line="284"/>
        <w:jc w:val="left"/>
      </w:pPr>
      <w:r>
        <w:rPr>
          <w:rFonts w:ascii="Calibri" w:cs="Calibri" w:eastAsia="Calibri" w:hAnsi="Calibri"/>
          <w:b w:val="false"/>
          <w:bCs w:val="false"/>
          <w:i w:val="false"/>
          <w:iCs w:val="false"/>
          <w:caps w:val="false"/>
          <w:color w:val="1A1A1A"/>
          <w:sz w:val="22"/>
          <w:szCs w:val="22"/>
        </w:rPr>
        <w:t xml:space="preserve">The Lower Neretva Valley endemism count of 18 is from 2018 RSIS data — beyond the 5-year data age threshold. Under endemism-priority weighting (0.70), stale Neretva data significantly distorts portfolio shares. This is the single most important data quality issue in the Croatia pilot.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440"/>
        <w:gridCol w:w="5220"/>
      </w:tblGrid>
      <w:tr>
        <w:trPr>
          <w:tblHeader/>
        </w:trPr>
        <w:tc>
          <w:tcPr>
            <w:tcW w:type="dxa" w:w="270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Action</w:t>
            </w:r>
          </w:p>
        </w:tc>
        <w:tc>
          <w:tcPr>
            <w:tcW w:type="dxa" w:w="144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Status</w:t>
            </w:r>
          </w:p>
        </w:tc>
        <w:tc>
          <w:tcPr>
            <w:tcW w:type="dxa" w:w="522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Source</w:t>
            </w:r>
          </w:p>
        </w:tc>
      </w:tr>
      <w:tr>
        <w:tc>
          <w:tcPr>
            <w:tcW w:type="dxa" w:w="27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Retrieve updated Neretva endemism count from RSIS (post-2018)</w:t>
            </w:r>
          </w:p>
        </w:tc>
        <w:tc>
          <w:tcPr>
            <w:tcW w:type="dxa" w:w="14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2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rsis.ramsar.org — check if RIS has been updated for Site 587 post-2018</w:t>
            </w:r>
          </w:p>
        </w:tc>
      </w:tr>
      <w:tr>
        <w:tc>
          <w:tcPr>
            <w:tcW w:type="dxa" w:w="27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If RSIS not updated: contact Croatian ornithological/ichthyological survey body</w:t>
            </w:r>
          </w:p>
        </w:tc>
        <w:tc>
          <w:tcPr>
            <w:tcW w:type="dxa" w:w="14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2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Državni zavod za zaštitu prirode (DZPP) or HAOP — Croatian Environment and Nature Agency</w:t>
            </w:r>
          </w:p>
        </w:tc>
      </w:tr>
      <w:tr>
        <w:tc>
          <w:tcPr>
            <w:tcW w:type="dxa" w:w="27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If updated data unavailable: apply data-age penalty in portfolio share computation</w:t>
            </w:r>
          </w:p>
        </w:tc>
        <w:tc>
          <w:tcPr>
            <w:tcW w:type="dxa" w:w="14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2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Methodology specified in Layer 5, Detection Threshold Taxonomy. Flag endemism share as provisional.</w:t>
            </w:r>
          </w:p>
        </w:tc>
      </w:tr>
    </w:tbl>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pStyle w:val="Heading2"/>
        <w:spacing w:before="280" w:after="80"/>
      </w:pPr>
      <w:r>
        <w:rPr>
          <w:rFonts w:ascii="Calibri" w:cs="Calibri" w:eastAsia="Calibri" w:hAnsi="Calibri"/>
          <w:b/>
          <w:bCs/>
          <w:color w:val="0F3460"/>
          <w:sz w:val="26"/>
          <w:szCs w:val="26"/>
        </w:rPr>
        <w:t xml:space="preserve">3.5  JAES Paper — Empirical Section  [NEEDS PHASE D DATA]</w:t>
      </w:r>
    </w:p>
    <w:p>
      <w:pPr>
        <w:spacing w:before="0" w:after="130" w:line="284"/>
        <w:jc w:val="left"/>
      </w:pPr>
      <w:r>
        <w:rPr>
          <w:rFonts w:ascii="Calibri" w:cs="Calibri" w:eastAsia="Calibri" w:hAnsi="Calibri"/>
          <w:b w:val="false"/>
          <w:bCs w:val="false"/>
          <w:i w:val="false"/>
          <w:iCs w:val="false"/>
          <w:caps w:val="false"/>
          <w:color w:val="1A1A1A"/>
          <w:sz w:val="22"/>
          <w:szCs w:val="22"/>
        </w:rPr>
        <w:t xml:space="preserve">The Journal of Applied Ecological Statistics (JAES) paper has a complete formal section ready from HUF Vol 2. The empirical section requires Phase D pilot data — minimum 3 cycles. Outline of what is complete vs. pending: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200"/>
        <w:gridCol w:w="5460"/>
      </w:tblGrid>
      <w:tr>
        <w:trPr>
          <w:tblHeader/>
        </w:trPr>
        <w:tc>
          <w:tcPr>
            <w:tcW w:type="dxa" w:w="270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Paper section</w:t>
            </w:r>
          </w:p>
        </w:tc>
        <w:tc>
          <w:tcPr>
            <w:tcW w:type="dxa" w:w="120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Status</w:t>
            </w:r>
          </w:p>
        </w:tc>
        <w:tc>
          <w:tcPr>
            <w:tcW w:type="dxa" w:w="546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Notes</w:t>
            </w:r>
          </w:p>
        </w:tc>
      </w:tr>
      <w:tr>
        <w:tc>
          <w:tcPr>
            <w:tcW w:type="dxa" w:w="27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Abstract</w:t>
            </w:r>
          </w:p>
        </w:tc>
        <w:tc>
          <w:tcPr>
            <w:tcW w:type="dxa" w:w="12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4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Can be drafted now from Exhibit B confirmation sentence. Needs final author list.</w:t>
            </w:r>
          </w:p>
        </w:tc>
      </w:tr>
      <w:tr>
        <w:tc>
          <w:tcPr>
            <w:tcW w:type="dxa" w:w="27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Introduction — the monitoring gap</w:t>
            </w:r>
          </w:p>
        </w:tc>
        <w:tc>
          <w:tcPr>
            <w:tcW w:type="dxa" w:w="12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4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Four-category taxonomy established. MC-4 named. Literature positioning done.</w:t>
            </w:r>
          </w:p>
        </w:tc>
      </w:tr>
      <w:tr>
        <w:tc>
          <w:tcPr>
            <w:tcW w:type="dxa" w:w="27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Methods — HUF diagnostic engine</w:t>
            </w:r>
          </w:p>
        </w:tc>
        <w:tc>
          <w:tcPr>
            <w:tcW w:type="dxa" w:w="12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4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Full methodology in Handbook v1.2.0 Chapters 1–10. Artifacts specified.</w:t>
            </w:r>
          </w:p>
        </w:tc>
      </w:tr>
      <w:tr>
        <w:tc>
          <w:tcPr>
            <w:tcW w:type="dxa" w:w="27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Methods — Q-factor derivation</w:t>
            </w:r>
          </w:p>
        </w:tc>
        <w:tc>
          <w:tcPr>
            <w:tcW w:type="dxa" w:w="12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4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Layer 15 of taxonomy. Formally derived.</w:t>
            </w:r>
          </w:p>
        </w:tc>
      </w:tr>
      <w:tr>
        <w:tc>
          <w:tcPr>
            <w:tcW w:type="dxa" w:w="27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Results — three-domain confirmation</w:t>
            </w:r>
          </w:p>
        </w:tc>
        <w:tc>
          <w:tcPr>
            <w:tcW w:type="dxa" w:w="12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4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Exhibit B complete. Systems A, B, C all confirmed.</w:t>
            </w:r>
          </w:p>
        </w:tc>
      </w:tr>
      <w:tr>
        <w:tc>
          <w:tcPr>
            <w:tcW w:type="dxa" w:w="27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Results — Croatia pilot baseline</w:t>
            </w:r>
          </w:p>
        </w:tc>
        <w:tc>
          <w:tcPr>
            <w:tcW w:type="dxa" w:w="12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4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Requires live RSIS data and at least one complete reporting cycle.</w:t>
            </w:r>
          </w:p>
        </w:tc>
      </w:tr>
      <w:tr>
        <w:tc>
          <w:tcPr>
            <w:tcW w:type="dxa" w:w="27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Results — convergence observation</w:t>
            </w:r>
          </w:p>
        </w:tc>
        <w:tc>
          <w:tcPr>
            <w:tcW w:type="dxa" w:w="12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4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Proposition 7.4 empirical support requires 3 pilot cycles minimum.</w:t>
            </w:r>
          </w:p>
        </w:tc>
      </w:tr>
      <w:tr>
        <w:tc>
          <w:tcPr>
            <w:tcW w:type="dxa" w:w="27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Discussion — Ostrom DP4 instrument gap</w:t>
            </w:r>
          </w:p>
        </w:tc>
        <w:tc>
          <w:tcPr>
            <w:tcW w:type="dxa" w:w="12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4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Part II of taxonomy expanded. Needs peer review of Ostrom mapping.</w:t>
            </w:r>
          </w:p>
        </w:tc>
      </w:tr>
      <w:tr>
        <w:tc>
          <w:tcPr>
            <w:tcW w:type="dxa" w:w="27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Discussion — limits and calibration needs</w:t>
            </w:r>
          </w:p>
        </w:tc>
        <w:tc>
          <w:tcPr>
            <w:tcW w:type="dxa" w:w="12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4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Part IV of expanded taxonomy. Four structural limits stated.</w:t>
            </w:r>
          </w:p>
        </w:tc>
      </w:tr>
      <w:tr>
        <w:tc>
          <w:tcPr>
            <w:tcW w:type="dxa" w:w="27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Conclusion</w:t>
            </w:r>
          </w:p>
        </w:tc>
        <w:tc>
          <w:tcPr>
            <w:tcW w:type="dxa" w:w="12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4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Once baseline run produces first real artifact.</w:t>
            </w:r>
          </w:p>
        </w:tc>
      </w:tr>
    </w:tbl>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pStyle w:val="Heading2"/>
        <w:spacing w:before="280" w:after="80"/>
      </w:pPr>
      <w:r>
        <w:rPr>
          <w:rFonts w:ascii="Calibri" w:cs="Calibri" w:eastAsia="Calibri" w:hAnsi="Calibri"/>
          <w:b/>
          <w:bCs/>
          <w:color w:val="0F3460"/>
          <w:sz w:val="26"/>
          <w:szCs w:val="26"/>
        </w:rPr>
        <w:t xml:space="preserve">3.6  Non-Linear Convergence Proof  [NEEDS MATHEMATICAL COLLABORATION]</w:t>
      </w:r>
    </w:p>
    <w:p>
      <w:pPr>
        <w:spacing w:before="0" w:after="130" w:line="284"/>
        <w:jc w:val="left"/>
      </w:pPr>
      <w:r>
        <w:rPr>
          <w:rFonts w:ascii="Calibri" w:cs="Calibri" w:eastAsia="Calibri" w:hAnsi="Calibri"/>
          <w:b w:val="false"/>
          <w:bCs w:val="false"/>
          <w:i w:val="false"/>
          <w:iCs w:val="false"/>
          <w:caps w:val="false"/>
          <w:color w:val="1A1A1A"/>
          <w:sz w:val="22"/>
          <w:szCs w:val="22"/>
        </w:rPr>
        <w:t xml:space="preserve">Grok assessment: impossible with current tools. Three-step path defined in HUF Vol 2. Requires Phase D data (non-linear drift datasets from real pilot) and collaboration with a mathematician specialising in non-linear dynamical systems. This is an academic research question, not a pilot prerequisite.</w:t>
      </w:r>
    </w:p>
    <w:p>
      <w:pPr>
        <w:spacing w:before="0" w:after="160" w:line="284"/>
        <w:jc w:val="left"/>
      </w:pPr>
      <w:r>
        <w:rPr>
          <w:rFonts w:ascii="Calibri" w:cs="Calibri" w:eastAsia="Calibri" w:hAnsi="Calibri"/>
          <w:b w:val="false"/>
          <w:bCs w:val="false"/>
          <w:i w:val="false"/>
          <w:iCs w:val="false"/>
          <w:caps w:val="false"/>
          <w:color w:val="1A1A1A"/>
          <w:sz w:val="22"/>
          <w:szCs w:val="22"/>
        </w:rPr>
        <w:t xml:space="preserve"/>
      </w:r>
    </w:p>
    <w:p>
      <w:r>
        <w:br w:type="page"/>
      </w:r>
    </w:p>
    <w:p>
      <w:pPr>
        <w:pStyle w:val="Heading1"/>
        <w:pBdr>
          <w:bottom w:val="single" w:color="1A1A2E" w:sz="8" w:space="8"/>
        </w:pBdr>
        <w:spacing w:before="360" w:after="100"/>
      </w:pPr>
      <w:r>
        <w:rPr>
          <w:rFonts w:ascii="Calibri" w:cs="Calibri" w:eastAsia="Calibri" w:hAnsi="Calibri"/>
          <w:b/>
          <w:bCs/>
          <w:color w:val="1A1A2E"/>
          <w:sz w:val="32"/>
          <w:szCs w:val="32"/>
        </w:rPr>
        <w:t xml:space="preserve">Section 4</w:t>
      </w:r>
      <w:r>
        <w:rPr>
          <w:rFonts w:ascii="Calibri" w:cs="Calibri" w:eastAsia="Calibri" w:hAnsi="Calibri"/>
          <w:color w:val="7A8A99"/>
          <w:sz w:val="20"/>
          <w:szCs w:val="20"/>
        </w:rPr>
        <w:t xml:space="preserve">   Document Index</w:t>
      </w:r>
    </w:p>
    <w:p>
      <w:pPr>
        <w:spacing w:before="0" w:after="130" w:line="284"/>
        <w:jc w:val="left"/>
      </w:pPr>
      <w:r>
        <w:rPr>
          <w:rFonts w:ascii="Calibri" w:cs="Calibri" w:eastAsia="Calibri" w:hAnsi="Calibri"/>
          <w:b w:val="false"/>
          <w:bCs w:val="false"/>
          <w:i w:val="false"/>
          <w:iCs w:val="false"/>
          <w:caps w:val="false"/>
          <w:color w:val="1A1A1A"/>
          <w:sz w:val="22"/>
          <w:szCs w:val="22"/>
        </w:rPr>
        <w:t xml:space="preserve">Complete index of all files in the HUF corpus as of February 2026. Use this as the master file registry for the Croatia pilot package.</w:t>
      </w:r>
    </w:p>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pStyle w:val="Heading2"/>
        <w:spacing w:before="280" w:after="80"/>
      </w:pPr>
      <w:r>
        <w:rPr>
          <w:rFonts w:ascii="Calibri" w:cs="Calibri" w:eastAsia="Calibri" w:hAnsi="Calibri"/>
          <w:b/>
          <w:bCs/>
          <w:color w:val="0F3460"/>
          <w:sz w:val="26"/>
          <w:szCs w:val="26"/>
        </w:rPr>
        <w:t xml:space="preserve">Core Framework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60"/>
        <w:gridCol w:w="780"/>
        <w:gridCol w:w="900"/>
        <w:gridCol w:w="4140"/>
      </w:tblGrid>
      <w:tr>
        <w:trPr>
          <w:tblHeader/>
        </w:trPr>
        <w:tc>
          <w:tcPr>
            <w:tcW w:type="dxa" w:w="288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Filename</w:t>
            </w:r>
          </w:p>
        </w:tc>
        <w:tc>
          <w:tcPr>
            <w:tcW w:type="dxa" w:w="66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Format</w:t>
            </w:r>
          </w:p>
        </w:tc>
        <w:tc>
          <w:tcPr>
            <w:tcW w:type="dxa" w:w="78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Version</w:t>
            </w:r>
          </w:p>
        </w:tc>
        <w:tc>
          <w:tcPr>
            <w:tcW w:type="dxa" w:w="90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Status</w:t>
            </w:r>
          </w:p>
        </w:tc>
        <w:tc>
          <w:tcPr>
            <w:tcW w:type="dxa" w:w="414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Role in argument chain</w:t>
            </w:r>
          </w:p>
        </w:tc>
      </w:tr>
      <w:tr>
        <w:tc>
          <w:tcPr>
            <w:tcW w:type="dxa" w:w="288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HUF_Vol1_Handbook_v1_2_0.docx</w:t>
            </w:r>
          </w:p>
        </w:tc>
        <w:tc>
          <w:tcPr>
            <w:tcW w:type="dxa" w:w="6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DOCX</w:t>
            </w:r>
          </w:p>
        </w:tc>
        <w:tc>
          <w:tcPr>
            <w:tcW w:type="dxa" w:w="78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v1.2.0</w:t>
            </w:r>
          </w:p>
        </w:tc>
        <w:tc>
          <w:tcPr>
            <w:tcW w:type="dxa" w:w="9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41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Primary reference. Chapters 1–12. All terminology, artifacts, and compliance tests.</w:t>
            </w:r>
          </w:p>
        </w:tc>
      </w:tr>
      <w:tr>
        <w:tc>
          <w:tcPr>
            <w:tcW w:type="dxa" w:w="288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HUF_Vol2_Mathematics_Compendium_v1_0.docx</w:t>
            </w:r>
          </w:p>
        </w:tc>
        <w:tc>
          <w:tcPr>
            <w:tcW w:type="dxa" w:w="6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DOCX</w:t>
            </w:r>
          </w:p>
        </w:tc>
        <w:tc>
          <w:tcPr>
            <w:tcW w:type="dxa" w:w="78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v1.0</w:t>
            </w:r>
          </w:p>
        </w:tc>
        <w:tc>
          <w:tcPr>
            <w:tcW w:type="dxa" w:w="9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41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Formal proofs. Proposition 7.5 (Institutional Memory) complete. Non-linear proof open.</w:t>
            </w:r>
          </w:p>
        </w:tc>
      </w:tr>
      <w:tr>
        <w:tc>
          <w:tcPr>
            <w:tcW w:type="dxa" w:w="288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HUF_Vol3_GovernanceStateObserver.docx</w:t>
            </w:r>
          </w:p>
        </w:tc>
        <w:tc>
          <w:tcPr>
            <w:tcW w:type="dxa" w:w="6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DOCX</w:t>
            </w:r>
          </w:p>
        </w:tc>
        <w:tc>
          <w:tcPr>
            <w:tcW w:type="dxa" w:w="78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v1.0</w:t>
            </w:r>
          </w:p>
        </w:tc>
        <w:tc>
          <w:tcPr>
            <w:tcW w:type="dxa" w:w="9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41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Positions HUF as governance state observer in control-theory framework.</w:t>
            </w:r>
          </w:p>
        </w:tc>
      </w:tr>
      <w:tr>
        <w:tc>
          <w:tcPr>
            <w:tcW w:type="dxa" w:w="288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HUF_Vol3_CaseStudyD1_ExhibitA_v2.docx</w:t>
            </w:r>
          </w:p>
        </w:tc>
        <w:tc>
          <w:tcPr>
            <w:tcW w:type="dxa" w:w="6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DOCX</w:t>
            </w:r>
          </w:p>
        </w:tc>
        <w:tc>
          <w:tcPr>
            <w:tcW w:type="dxa" w:w="78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v2.0</w:t>
            </w:r>
          </w:p>
        </w:tc>
        <w:tc>
          <w:tcPr>
            <w:tcW w:type="dxa" w:w="9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41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Sourdough bread case study. System A confirmed. Exhibit A complete.</w:t>
            </w:r>
          </w:p>
        </w:tc>
      </w:tr>
      <w:tr>
        <w:tc>
          <w:tcPr>
            <w:tcW w:type="dxa" w:w="288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HUF_Vol3_CaseStudyD2_ExhibitB_v1.docx</w:t>
            </w:r>
          </w:p>
        </w:tc>
        <w:tc>
          <w:tcPr>
            <w:tcW w:type="dxa" w:w="6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DOCX</w:t>
            </w:r>
          </w:p>
        </w:tc>
        <w:tc>
          <w:tcPr>
            <w:tcW w:type="dxa" w:w="78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v1.0</w:t>
            </w:r>
          </w:p>
        </w:tc>
        <w:tc>
          <w:tcPr>
            <w:tcW w:type="dxa" w:w="9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41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Three-domain confirmation. Systems A+B+C. Exhibit B complete. February 2026.</w:t>
            </w:r>
          </w:p>
        </w:tc>
      </w:tr>
      <w:tr>
        <w:tc>
          <w:tcPr>
            <w:tcW w:type="dxa" w:w="288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HUF_Complete_Reference_Feb2026.docx</w:t>
            </w:r>
          </w:p>
        </w:tc>
        <w:tc>
          <w:tcPr>
            <w:tcW w:type="dxa" w:w="6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DOCX</w:t>
            </w:r>
          </w:p>
        </w:tc>
        <w:tc>
          <w:tcPr>
            <w:tcW w:type="dxa" w:w="78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Feb 2026</w:t>
            </w:r>
          </w:p>
        </w:tc>
        <w:tc>
          <w:tcPr>
            <w:tcW w:type="dxa" w:w="9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41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Master taxonomy. 19 layers + Part II expanded. Single source of truth. February 2026.</w:t>
            </w:r>
          </w:p>
        </w:tc>
      </w:tr>
    </w:tbl>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pStyle w:val="Heading2"/>
        <w:spacing w:before="280" w:after="80"/>
      </w:pPr>
      <w:r>
        <w:rPr>
          <w:rFonts w:ascii="Calibri" w:cs="Calibri" w:eastAsia="Calibri" w:hAnsi="Calibri"/>
          <w:b/>
          <w:bCs/>
          <w:color w:val="0F3460"/>
          <w:sz w:val="26"/>
          <w:szCs w:val="26"/>
        </w:rPr>
        <w:t xml:space="preserve">Operator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60"/>
        <w:gridCol w:w="780"/>
        <w:gridCol w:w="900"/>
        <w:gridCol w:w="4140"/>
      </w:tblGrid>
      <w:tr>
        <w:trPr>
          <w:tblHeader/>
        </w:trPr>
        <w:tc>
          <w:tcPr>
            <w:tcW w:type="dxa" w:w="288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Filename</w:t>
            </w:r>
          </w:p>
        </w:tc>
        <w:tc>
          <w:tcPr>
            <w:tcW w:type="dxa" w:w="66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Format</w:t>
            </w:r>
          </w:p>
        </w:tc>
        <w:tc>
          <w:tcPr>
            <w:tcW w:type="dxa" w:w="78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Version</w:t>
            </w:r>
          </w:p>
        </w:tc>
        <w:tc>
          <w:tcPr>
            <w:tcW w:type="dxa" w:w="90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Status</w:t>
            </w:r>
          </w:p>
        </w:tc>
        <w:tc>
          <w:tcPr>
            <w:tcW w:type="dxa" w:w="414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Role</w:t>
            </w:r>
          </w:p>
        </w:tc>
      </w:tr>
      <w:tr>
        <w:tc>
          <w:tcPr>
            <w:tcW w:type="dxa" w:w="288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HUF_Operator_Decision_Log_v1_2.docx</w:t>
            </w:r>
          </w:p>
        </w:tc>
        <w:tc>
          <w:tcPr>
            <w:tcW w:type="dxa" w:w="6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DOCX</w:t>
            </w:r>
          </w:p>
        </w:tc>
        <w:tc>
          <w:tcPr>
            <w:tcW w:type="dxa" w:w="78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v1.2</w:t>
            </w:r>
          </w:p>
        </w:tc>
        <w:tc>
          <w:tcPr>
            <w:tcW w:type="dxa" w:w="9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41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Decisions D1–D10. All closed/pending/blocked items. Governance record.</w:t>
            </w:r>
          </w:p>
        </w:tc>
      </w:tr>
      <w:tr>
        <w:tc>
          <w:tcPr>
            <w:tcW w:type="dxa" w:w="288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HUF_Package_Register_v1_0.docx</w:t>
            </w:r>
          </w:p>
        </w:tc>
        <w:tc>
          <w:tcPr>
            <w:tcW w:type="dxa" w:w="6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DOCX</w:t>
            </w:r>
          </w:p>
        </w:tc>
        <w:tc>
          <w:tcPr>
            <w:tcW w:type="dxa" w:w="78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v1.0</w:t>
            </w:r>
          </w:p>
        </w:tc>
        <w:tc>
          <w:tcPr>
            <w:tcW w:type="dxa" w:w="9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41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Registry of all HUF packages. Version history.</w:t>
            </w:r>
          </w:p>
        </w:tc>
      </w:tr>
      <w:tr>
        <w:tc>
          <w:tcPr>
            <w:tcW w:type="dxa" w:w="288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collective_trace_report.csv</w:t>
            </w:r>
          </w:p>
        </w:tc>
        <w:tc>
          <w:tcPr>
            <w:tcW w:type="dxa" w:w="6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CSV</w:t>
            </w:r>
          </w:p>
        </w:tc>
        <w:tc>
          <w:tcPr>
            <w:tcW w:type="dxa" w:w="78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v1.0</w:t>
            </w:r>
          </w:p>
        </w:tc>
        <w:tc>
          <w:tcPr>
            <w:tcW w:type="dxa" w:w="9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41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42 AI contributions across 5 rounds. Operator weights. Retain/discard decisions.</w:t>
            </w:r>
          </w:p>
        </w:tc>
      </w:tr>
    </w:tbl>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pStyle w:val="Heading2"/>
        <w:spacing w:before="280" w:after="80"/>
      </w:pPr>
      <w:r>
        <w:rPr>
          <w:rFonts w:ascii="Calibri" w:cs="Calibri" w:eastAsia="Calibri" w:hAnsi="Calibri"/>
          <w:b/>
          <w:bCs/>
          <w:color w:val="0F3460"/>
          <w:sz w:val="26"/>
          <w:szCs w:val="26"/>
        </w:rPr>
        <w:t xml:space="preserve">Croatia Ramsar — Contact and Pilot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60"/>
        <w:gridCol w:w="780"/>
        <w:gridCol w:w="900"/>
        <w:gridCol w:w="4140"/>
      </w:tblGrid>
      <w:tr>
        <w:trPr>
          <w:tblHeader/>
        </w:trPr>
        <w:tc>
          <w:tcPr>
            <w:tcW w:type="dxa" w:w="288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Filename</w:t>
            </w:r>
          </w:p>
        </w:tc>
        <w:tc>
          <w:tcPr>
            <w:tcW w:type="dxa" w:w="66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Format</w:t>
            </w:r>
          </w:p>
        </w:tc>
        <w:tc>
          <w:tcPr>
            <w:tcW w:type="dxa" w:w="78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Version</w:t>
            </w:r>
          </w:p>
        </w:tc>
        <w:tc>
          <w:tcPr>
            <w:tcW w:type="dxa" w:w="90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Status</w:t>
            </w:r>
          </w:p>
        </w:tc>
        <w:tc>
          <w:tcPr>
            <w:tcW w:type="dxa" w:w="414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Role</w:t>
            </w:r>
          </w:p>
        </w:tc>
      </w:tr>
      <w:tr>
        <w:tc>
          <w:tcPr>
            <w:tcW w:type="dxa" w:w="288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ramsar_contact_letter_v15.docx</w:t>
            </w:r>
          </w:p>
        </w:tc>
        <w:tc>
          <w:tcPr>
            <w:tcW w:type="dxa" w:w="6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DOCX</w:t>
            </w:r>
          </w:p>
        </w:tc>
        <w:tc>
          <w:tcPr>
            <w:tcW w:type="dxa" w:w="78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v15</w:t>
            </w:r>
          </w:p>
        </w:tc>
        <w:tc>
          <w:tcPr>
            <w:tcW w:type="dxa" w:w="9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41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Primary contact letter (English + Croatian). Punchline-first format. February 2026.</w:t>
            </w:r>
          </w:p>
        </w:tc>
      </w:tr>
      <w:tr>
        <w:tc>
          <w:tcPr>
            <w:tcW w:type="dxa" w:w="288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ramsar_contact_primer_v12.docx</w:t>
            </w:r>
          </w:p>
        </w:tc>
        <w:tc>
          <w:tcPr>
            <w:tcW w:type="dxa" w:w="6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DOCX</w:t>
            </w:r>
          </w:p>
        </w:tc>
        <w:tc>
          <w:tcPr>
            <w:tcW w:type="dxa" w:w="78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v12</w:t>
            </w:r>
          </w:p>
        </w:tc>
        <w:tc>
          <w:tcPr>
            <w:tcW w:type="dxa" w:w="9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41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Full briefing document for internal Secretariat discussion. Background reading.</w:t>
            </w:r>
          </w:p>
        </w:tc>
      </w:tr>
      <w:tr>
        <w:tc>
          <w:tcPr>
            <w:tcW w:type="dxa" w:w="288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ramsar_huf_demo_v2.py</w:t>
            </w:r>
          </w:p>
        </w:tc>
        <w:tc>
          <w:tcPr>
            <w:tcW w:type="dxa" w:w="6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Python</w:t>
            </w:r>
          </w:p>
        </w:tc>
        <w:tc>
          <w:tcPr>
            <w:tcW w:type="dxa" w:w="78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v2.0</w:t>
            </w:r>
          </w:p>
        </w:tc>
        <w:tc>
          <w:tcPr>
            <w:tcW w:type="dxa" w:w="9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41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Demo script. Produces 4 CSV artifacts from RSIS data. Live-data ready.</w:t>
            </w:r>
          </w:p>
        </w:tc>
      </w:tr>
      <w:tr>
        <w:tc>
          <w:tcPr>
            <w:tcW w:type="dxa" w:w="288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ramsar_huf_demo.py</w:t>
            </w:r>
          </w:p>
        </w:tc>
        <w:tc>
          <w:tcPr>
            <w:tcW w:type="dxa" w:w="6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Python</w:t>
            </w:r>
          </w:p>
        </w:tc>
        <w:tc>
          <w:tcPr>
            <w:tcW w:type="dxa" w:w="78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v1.0</w:t>
            </w:r>
          </w:p>
        </w:tc>
        <w:tc>
          <w:tcPr>
            <w:tcW w:type="dxa" w:w="9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41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v1 demo. Retained for reference. Use v2 for all new work.</w:t>
            </w:r>
          </w:p>
        </w:tc>
      </w:tr>
    </w:tbl>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pStyle w:val="Heading2"/>
        <w:spacing w:before="280" w:after="80"/>
      </w:pPr>
      <w:r>
        <w:rPr>
          <w:rFonts w:ascii="Calibri" w:cs="Calibri" w:eastAsia="Calibri" w:hAnsi="Calibri"/>
          <w:b/>
          <w:bCs/>
          <w:color w:val="0F3460"/>
          <w:sz w:val="26"/>
          <w:szCs w:val="26"/>
        </w:rPr>
        <w:t xml:space="preserve">Wiki and Supporting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Filename</w:t>
            </w:r>
          </w:p>
        </w:tc>
        <w:tc>
          <w:tcPr>
            <w:tcW w:type="dxa" w:w="636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Role</w:t>
            </w:r>
          </w:p>
        </w:tc>
      </w:tr>
      <w:tr>
        <w:tc>
          <w:tcPr>
            <w:tcW w:type="dxa" w:w="30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wiki_huf_taxonomy_complete.md</w:t>
            </w:r>
          </w:p>
        </w:tc>
        <w:tc>
          <w:tcPr>
            <w:tcW w:type="dxa" w:w="63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Full 19-layer taxonomy in markdown. Source file for HUF_Complete_Reference. Update this before rebuilding the Reference.</w:t>
            </w:r>
          </w:p>
        </w:tc>
      </w:tr>
      <w:tr>
        <w:tc>
          <w:tcPr>
            <w:tcW w:type="dxa" w:w="30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wiki_fourth_monitoring_category_expanded.md</w:t>
            </w:r>
          </w:p>
        </w:tc>
        <w:tc>
          <w:tcPr>
            <w:tcW w:type="dxa" w:w="63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Seven-section deep treatment of MC-4. Parts I–VII. Source for Part II of Complete Reference.</w:t>
            </w:r>
          </w:p>
        </w:tc>
      </w:tr>
      <w:tr>
        <w:tc>
          <w:tcPr>
            <w:tcW w:type="dxa" w:w="30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wiki_ramsar_case_home.md</w:t>
            </w:r>
          </w:p>
        </w:tc>
        <w:tc>
          <w:tcPr>
            <w:tcW w:type="dxa" w:w="63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Ramsar pilot home page. Overview and navigation for the Croatia case.</w:t>
            </w:r>
          </w:p>
        </w:tc>
      </w:tr>
      <w:tr>
        <w:tc>
          <w:tcPr>
            <w:tcW w:type="dxa" w:w="30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wiki_ramsar_primer_v10.md</w:t>
            </w:r>
          </w:p>
        </w:tc>
        <w:tc>
          <w:tcPr>
            <w:tcW w:type="dxa" w:w="63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Primer v10 in markdown. Development history reference.</w:t>
            </w:r>
          </w:p>
        </w:tc>
      </w:tr>
      <w:tr>
        <w:tc>
          <w:tcPr>
            <w:tcW w:type="dxa" w:w="30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wiki_ramsar_scope_boundary.md</w:t>
            </w:r>
          </w:p>
        </w:tc>
        <w:tc>
          <w:tcPr>
            <w:tcW w:type="dxa" w:w="63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Scope boundary document. What the pilot does and does not claim.</w:t>
            </w:r>
          </w:p>
        </w:tc>
      </w:tr>
      <w:tr>
        <w:tc>
          <w:tcPr>
            <w:tcW w:type="dxa" w:w="30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wiki_what_huf_finds.md</w:t>
            </w:r>
          </w:p>
        </w:tc>
        <w:tc>
          <w:tcPr>
            <w:tcW w:type="dxa" w:w="63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Plain-language explanation of HUF outputs for non-technical audiences.</w:t>
            </w:r>
          </w:p>
        </w:tc>
      </w:tr>
      <w:tr>
        <w:tc>
          <w:tcPr>
            <w:tcW w:type="dxa" w:w="30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wiki_huf_concepts_operations.md</w:t>
            </w:r>
          </w:p>
        </w:tc>
        <w:tc>
          <w:tcPr>
            <w:tcW w:type="dxa" w:w="63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Concepts and operations guide. Bridge between theory and practice.</w:t>
            </w:r>
          </w:p>
        </w:tc>
      </w:tr>
      <w:tr>
        <w:tc>
          <w:tcPr>
            <w:tcW w:type="dxa" w:w="30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wiki_operator_entry_points.md</w:t>
            </w:r>
          </w:p>
        </w:tc>
        <w:tc>
          <w:tcPr>
            <w:tcW w:type="dxa" w:w="63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Fuji Japan and Nordson Dage manufacturing entry paths. Electronics assembly context.</w:t>
            </w:r>
          </w:p>
        </w:tc>
      </w:tr>
      <w:tr>
        <w:tc>
          <w:tcPr>
            <w:tcW w:type="dxa" w:w="30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wiki_manufacturing_electronics_assembly.md</w:t>
            </w:r>
          </w:p>
        </w:tc>
        <w:tc>
          <w:tcPr>
            <w:tcW w:type="dxa" w:w="63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Domain-native electronics assembly application. Dage X-ray as highest-Q element.</w:t>
            </w:r>
          </w:p>
        </w:tc>
      </w:tr>
      <w:tr>
        <w:tc>
          <w:tcPr>
            <w:tcW w:type="dxa" w:w="30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wiki_bastion_a_scope_boundary.md</w:t>
            </w:r>
          </w:p>
        </w:tc>
        <w:tc>
          <w:tcPr>
            <w:tcW w:type="dxa" w:w="63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Scope boundary defences against common objections.</w:t>
            </w:r>
          </w:p>
        </w:tc>
      </w:tr>
      <w:tr>
        <w:tc>
          <w:tcPr>
            <w:tcW w:type="dxa" w:w="30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wiki_bastion_b_skeptic_qa.md</w:t>
            </w:r>
          </w:p>
        </w:tc>
        <w:tc>
          <w:tcPr>
            <w:tcW w:type="dxa" w:w="63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Q&amp;A document for skeptical audiences. Pre-emptive objection handling.</w:t>
            </w:r>
          </w:p>
        </w:tc>
      </w:tr>
      <w:tr>
        <w:tc>
          <w:tcPr>
            <w:tcW w:type="dxa" w:w="30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wiki_bastion_c_demo_artifact_trail.md</w:t>
            </w:r>
          </w:p>
        </w:tc>
        <w:tc>
          <w:tcPr>
            <w:tcW w:type="dxa" w:w="63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Artifact trail for demo sessions. What each output shows and why it matters.</w:t>
            </w:r>
          </w:p>
        </w:tc>
      </w:tr>
      <w:tr>
        <w:tc>
          <w:tcPr>
            <w:tcW w:type="dxa" w:w="30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wiki_bread_real_data.md</w:t>
            </w:r>
          </w:p>
        </w:tc>
        <w:tc>
          <w:tcPr>
            <w:tcW w:type="dxa" w:w="63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Sourdough bread real-data analysis. System A narrative.</w:t>
            </w:r>
          </w:p>
        </w:tc>
      </w:tr>
      <w:tr>
        <w:tc>
          <w:tcPr>
            <w:tcW w:type="dxa" w:w="30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wiki_huf_origin_complete.md</w:t>
            </w:r>
          </w:p>
        </w:tc>
        <w:tc>
          <w:tcPr>
            <w:tcW w:type="dxa" w:w="63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Origin of HUF. From Rogue Wave Audio acoustic research to governance framework.</w:t>
            </w:r>
          </w:p>
        </w:tc>
      </w:tr>
      <w:tr>
        <w:tc>
          <w:tcPr>
            <w:tcW w:type="dxa" w:w="30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jaes_seed_bidirectional_flow.md</w:t>
            </w:r>
          </w:p>
        </w:tc>
        <w:tc>
          <w:tcPr>
            <w:tcW w:type="dxa" w:w="63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JAES paper seed. Bidirectional flow argument. Academic draft starting point.</w:t>
            </w:r>
          </w:p>
        </w:tc>
      </w:tr>
    </w:tbl>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pStyle w:val="Heading2"/>
        <w:spacing w:before="280" w:after="80"/>
      </w:pPr>
      <w:r>
        <w:rPr>
          <w:rFonts w:ascii="Calibri" w:cs="Calibri" w:eastAsia="Calibri" w:hAnsi="Calibri"/>
          <w:b/>
          <w:bCs/>
          <w:color w:val="0F3460"/>
          <w:sz w:val="26"/>
          <w:szCs w:val="26"/>
        </w:rPr>
        <w:t xml:space="preserve">Mathematics Learning Track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Filename</w:t>
            </w:r>
          </w:p>
        </w:tc>
        <w:tc>
          <w:tcPr>
            <w:tcW w:type="dxa" w:w="636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Role</w:t>
            </w:r>
          </w:p>
        </w:tc>
      </w:tr>
      <w:tr>
        <w:tc>
          <w:tcPr>
            <w:tcW w:type="dxa" w:w="30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HUF_Vol1_Mathematics_LearningTrack_v0_1_0.docx</w:t>
            </w:r>
          </w:p>
        </w:tc>
        <w:tc>
          <w:tcPr>
            <w:tcW w:type="dxa" w:w="63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Guided mathematical introduction. For readers approaching HUF from policy background. Non-technical entry point to Vol 2.</w:t>
            </w:r>
          </w:p>
        </w:tc>
      </w:tr>
      <w:tr>
        <w:tc>
          <w:tcPr>
            <w:tcW w:type="dxa" w:w="30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huf_math_foundations_v2_1.docx</w:t>
            </w:r>
          </w:p>
        </w:tc>
        <w:tc>
          <w:tcPr>
            <w:tcW w:type="dxa" w:w="63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Mathematics foundations v2.1. Working document — superseded by Vol 2 Compendium for final reference.</w:t>
            </w:r>
          </w:p>
        </w:tc>
      </w:tr>
      <w:tr>
        <w:tc>
          <w:tcPr>
            <w:tcW w:type="dxa" w:w="30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appendix_d1_inserts_v3.docx</w:t>
            </w:r>
          </w:p>
        </w:tc>
        <w:tc>
          <w:tcPr>
            <w:tcW w:type="dxa" w:w="63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Appendix inserts for Case Study D.1. Additional supporting material for Exhibit A.</w:t>
            </w:r>
          </w:p>
        </w:tc>
      </w:tr>
    </w:tbl>
    <w:p>
      <w:pPr>
        <w:spacing w:before="0" w:after="160" w:line="284"/>
        <w:jc w:val="left"/>
      </w:pPr>
      <w:r>
        <w:rPr>
          <w:rFonts w:ascii="Calibri" w:cs="Calibri" w:eastAsia="Calibri" w:hAnsi="Calibri"/>
          <w:b w:val="false"/>
          <w:bCs w:val="false"/>
          <w:i w:val="false"/>
          <w:iCs w:val="false"/>
          <w:caps w:val="false"/>
          <w:color w:val="1A1A1A"/>
          <w:sz w:val="22"/>
          <w:szCs w:val="22"/>
        </w:rPr>
        <w:t xml:space="preserve"/>
      </w:r>
    </w:p>
    <w:p>
      <w:r>
        <w:br w:type="page"/>
      </w:r>
    </w:p>
    <w:p>
      <w:pPr>
        <w:pStyle w:val="Heading1"/>
        <w:pBdr>
          <w:bottom w:val="single" w:color="1A1A2E" w:sz="8" w:space="8"/>
        </w:pBdr>
        <w:spacing w:before="360" w:after="100"/>
      </w:pPr>
      <w:r>
        <w:rPr>
          <w:rFonts w:ascii="Calibri" w:cs="Calibri" w:eastAsia="Calibri" w:hAnsi="Calibri"/>
          <w:b/>
          <w:bCs/>
          <w:color w:val="1A1A2E"/>
          <w:sz w:val="32"/>
          <w:szCs w:val="32"/>
        </w:rPr>
        <w:t xml:space="preserve">Section 5</w:t>
      </w:r>
      <w:r>
        <w:rPr>
          <w:rFonts w:ascii="Calibri" w:cs="Calibri" w:eastAsia="Calibri" w:hAnsi="Calibri"/>
          <w:color w:val="7A8A99"/>
          <w:sz w:val="20"/>
          <w:szCs w:val="20"/>
        </w:rPr>
        <w:t xml:space="preserve">   Index of Learning</w:t>
      </w:r>
    </w:p>
    <w:p>
      <w:pPr>
        <w:spacing w:before="0" w:after="130" w:line="284"/>
        <w:jc w:val="left"/>
      </w:pPr>
      <w:r>
        <w:rPr>
          <w:rFonts w:ascii="Calibri" w:cs="Calibri" w:eastAsia="Calibri" w:hAnsi="Calibri"/>
          <w:b w:val="false"/>
          <w:bCs w:val="false"/>
          <w:i w:val="false"/>
          <w:iCs w:val="false"/>
          <w:caps w:val="false"/>
          <w:color w:val="1A1A1A"/>
          <w:sz w:val="22"/>
          <w:szCs w:val="22"/>
        </w:rPr>
        <w:t xml:space="preserve">This index maps the educational path through HUF — from first encounter to full implementation. Use it to onboard new collaborators, brief institutional partners, or orient an AI session. Three tracks are provided: the policy track, the technical track, and the mathematics track.</w:t>
      </w:r>
    </w:p>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pStyle w:val="Heading2"/>
        <w:spacing w:before="280" w:after="80"/>
      </w:pPr>
      <w:r>
        <w:rPr>
          <w:rFonts w:ascii="Calibri" w:cs="Calibri" w:eastAsia="Calibri" w:hAnsi="Calibri"/>
          <w:b/>
          <w:bCs/>
          <w:color w:val="0F3460"/>
          <w:sz w:val="26"/>
          <w:szCs w:val="26"/>
        </w:rPr>
        <w:t xml:space="preserve">Track 1 — Policy and Governance (Ramsar Secretariat / Croatian Ministry)</w:t>
      </w:r>
    </w:p>
    <w:p>
      <w:pPr>
        <w:spacing w:before="0" w:after="130" w:line="284"/>
        <w:jc w:val="left"/>
      </w:pPr>
      <w:r>
        <w:rPr>
          <w:rFonts w:ascii="Calibri" w:cs="Calibri" w:eastAsia="Calibri" w:hAnsi="Calibri"/>
          <w:b w:val="false"/>
          <w:bCs w:val="false"/>
          <w:i w:val="false"/>
          <w:iCs w:val="false"/>
          <w:caps w:val="false"/>
          <w:color w:val="1A1A1A"/>
          <w:sz w:val="22"/>
          <w:szCs w:val="22"/>
        </w:rPr>
        <w:t xml:space="preserve">Estimated reading time: 2–4 hours to core competency. No mathematics required.</w:t>
      </w:r>
    </w:p>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360"/>
        <w:gridCol w:w="2520"/>
        <w:gridCol w:w="4320"/>
        <w:gridCol w:w="600"/>
      </w:tblGrid>
      <w:tr>
        <w:trPr>
          <w:tblHeader/>
        </w:trPr>
        <w:tc>
          <w:tcPr>
            <w:tcW w:type="dxa" w:w="36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Step</w:t>
            </w:r>
          </w:p>
        </w:tc>
        <w:tc>
          <w:tcPr>
            <w:tcW w:type="dxa" w:w="252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Read / do this</w:t>
            </w:r>
          </w:p>
        </w:tc>
        <w:tc>
          <w:tcPr>
            <w:tcW w:type="dxa" w:w="432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What you learn</w:t>
            </w:r>
          </w:p>
        </w:tc>
        <w:tc>
          <w:tcPr>
            <w:tcW w:type="dxa" w:w="60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Time</w:t>
            </w:r>
          </w:p>
        </w:tc>
      </w:tr>
      <w:tr>
        <w:tc>
          <w:tcPr>
            <w:tcW w:type="dxa" w:w="3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1</w:t>
            </w:r>
          </w:p>
        </w:tc>
        <w:tc>
          <w:tcPr>
            <w:tcW w:type="dxa" w:w="25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ramsar_contact_letter_v15.docx</w:t>
            </w:r>
          </w:p>
        </w:tc>
        <w:tc>
          <w:tcPr>
            <w:tcW w:type="dxa" w:w="43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The punchline: Crna Mlaka's leverage and what Silent Drift means for the portfolio. Why the current toolset has a gap.</w:t>
            </w:r>
          </w:p>
        </w:tc>
        <w:tc>
          <w:tcPr>
            <w:tcW w:type="dxa" w:w="6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10 min</w:t>
            </w:r>
          </w:p>
        </w:tc>
      </w:tr>
      <w:tr>
        <w:tc>
          <w:tcPr>
            <w:tcW w:type="dxa" w:w="3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2</w:t>
            </w:r>
          </w:p>
        </w:tc>
        <w:tc>
          <w:tcPr>
            <w:tcW w:type="dxa" w:w="25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wiki_what_huf_finds.md</w:t>
            </w:r>
          </w:p>
        </w:tc>
        <w:tc>
          <w:tcPr>
            <w:tcW w:type="dxa" w:w="43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Plain-language explanation of all four HUF outputs. What each CSV shows and why it matters for governance.</w:t>
            </w:r>
          </w:p>
        </w:tc>
        <w:tc>
          <w:tcPr>
            <w:tcW w:type="dxa" w:w="6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20 min</w:t>
            </w:r>
          </w:p>
        </w:tc>
      </w:tr>
      <w:tr>
        <w:tc>
          <w:tcPr>
            <w:tcW w:type="dxa" w:w="3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3</w:t>
            </w:r>
          </w:p>
        </w:tc>
        <w:tc>
          <w:tcPr>
            <w:tcW w:type="dxa" w:w="25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ramsar_contact_primer_v12.docx</w:t>
            </w:r>
          </w:p>
        </w:tc>
        <w:tc>
          <w:tcPr>
            <w:tcW w:type="dxa" w:w="43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Full briefing. The four monitoring categories, the six failure modes, the pilot proposal. Policy-level depth.</w:t>
            </w:r>
          </w:p>
        </w:tc>
        <w:tc>
          <w:tcPr>
            <w:tcW w:type="dxa" w:w="6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45 min</w:t>
            </w:r>
          </w:p>
        </w:tc>
      </w:tr>
      <w:tr>
        <w:tc>
          <w:tcPr>
            <w:tcW w:type="dxa" w:w="3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4</w:t>
            </w:r>
          </w:p>
        </w:tc>
        <w:tc>
          <w:tcPr>
            <w:tcW w:type="dxa" w:w="25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Section 1 of this package</w:t>
            </w:r>
          </w:p>
        </w:tc>
        <w:tc>
          <w:tcPr>
            <w:tcW w:type="dxa" w:w="43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Croatia site reference. The actual numbers. Leverage values, portfolio shares, data age warnings.</w:t>
            </w:r>
          </w:p>
        </w:tc>
        <w:tc>
          <w:tcPr>
            <w:tcW w:type="dxa" w:w="6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20 min</w:t>
            </w:r>
          </w:p>
        </w:tc>
      </w:tr>
      <w:tr>
        <w:tc>
          <w:tcPr>
            <w:tcW w:type="dxa" w:w="3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5</w:t>
            </w:r>
          </w:p>
        </w:tc>
        <w:tc>
          <w:tcPr>
            <w:tcW w:type="dxa" w:w="25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Run ramsar_huf_demo_v2.py (or ask a technician to run it)</w:t>
            </w:r>
          </w:p>
        </w:tc>
        <w:tc>
          <w:tcPr>
            <w:tcW w:type="dxa" w:w="43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Live outputs from the demo. See the portfolio share table and trace report before real data is available.</w:t>
            </w:r>
          </w:p>
        </w:tc>
        <w:tc>
          <w:tcPr>
            <w:tcW w:type="dxa" w:w="6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30 min</w:t>
            </w:r>
          </w:p>
        </w:tc>
      </w:tr>
      <w:tr>
        <w:tc>
          <w:tcPr>
            <w:tcW w:type="dxa" w:w="3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6</w:t>
            </w:r>
          </w:p>
        </w:tc>
        <w:tc>
          <w:tcPr>
            <w:tcW w:type="dxa" w:w="25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wiki_ramsar_scope_boundary.md</w:t>
            </w:r>
          </w:p>
        </w:tc>
        <w:tc>
          <w:tcPr>
            <w:tcW w:type="dxa" w:w="43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What HUF does not claim. Scope boundaries. Honest statement of limits.</w:t>
            </w:r>
          </w:p>
        </w:tc>
        <w:tc>
          <w:tcPr>
            <w:tcW w:type="dxa" w:w="6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15 min</w:t>
            </w:r>
          </w:p>
        </w:tc>
      </w:tr>
      <w:tr>
        <w:tc>
          <w:tcPr>
            <w:tcW w:type="dxa" w:w="3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7</w:t>
            </w:r>
          </w:p>
        </w:tc>
        <w:tc>
          <w:tcPr>
            <w:tcW w:type="dxa" w:w="25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HUF_Complete_Reference — Part II only (Sections I–VII)</w:t>
            </w:r>
          </w:p>
        </w:tc>
        <w:tc>
          <w:tcPr>
            <w:tcW w:type="dxa" w:w="43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Deep treatment of why the fourth monitoring category is epistemologically coherent. For sceptical readers.</w:t>
            </w:r>
          </w:p>
        </w:tc>
        <w:tc>
          <w:tcPr>
            <w:tcW w:type="dxa" w:w="6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60 min</w:t>
            </w:r>
          </w:p>
        </w:tc>
      </w:tr>
    </w:tbl>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pStyle w:val="Heading2"/>
        <w:spacing w:before="280" w:after="80"/>
      </w:pPr>
      <w:r>
        <w:rPr>
          <w:rFonts w:ascii="Calibri" w:cs="Calibri" w:eastAsia="Calibri" w:hAnsi="Calibri"/>
          <w:b/>
          <w:bCs/>
          <w:color w:val="0F3460"/>
          <w:sz w:val="26"/>
          <w:szCs w:val="26"/>
        </w:rPr>
        <w:t xml:space="preserve">Track 2 — Technical and Implementation (Pilot Manager / Data Officer)</w:t>
      </w:r>
    </w:p>
    <w:p>
      <w:pPr>
        <w:spacing w:before="0" w:after="130" w:line="284"/>
        <w:jc w:val="left"/>
      </w:pPr>
      <w:r>
        <w:rPr>
          <w:rFonts w:ascii="Calibri" w:cs="Calibri" w:eastAsia="Calibri" w:hAnsi="Calibri"/>
          <w:b w:val="false"/>
          <w:bCs w:val="false"/>
          <w:i w:val="false"/>
          <w:iCs w:val="false"/>
          <w:caps w:val="false"/>
          <w:color w:val="1A1A1A"/>
          <w:sz w:val="22"/>
          <w:szCs w:val="22"/>
        </w:rPr>
        <w:t xml:space="preserve">Estimated time to implementation-ready: 4–6 hours. Python familiarity helpful but not required to understand outputs.</w:t>
      </w:r>
    </w:p>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360"/>
        <w:gridCol w:w="2520"/>
        <w:gridCol w:w="4320"/>
        <w:gridCol w:w="600"/>
      </w:tblGrid>
      <w:tr>
        <w:trPr>
          <w:tblHeader/>
        </w:trPr>
        <w:tc>
          <w:tcPr>
            <w:tcW w:type="dxa" w:w="36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Step</w:t>
            </w:r>
          </w:p>
        </w:tc>
        <w:tc>
          <w:tcPr>
            <w:tcW w:type="dxa" w:w="252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Read / do this</w:t>
            </w:r>
          </w:p>
        </w:tc>
        <w:tc>
          <w:tcPr>
            <w:tcW w:type="dxa" w:w="432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What you learn</w:t>
            </w:r>
          </w:p>
        </w:tc>
        <w:tc>
          <w:tcPr>
            <w:tcW w:type="dxa" w:w="60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Time</w:t>
            </w:r>
          </w:p>
        </w:tc>
      </w:tr>
      <w:tr>
        <w:tc>
          <w:tcPr>
            <w:tcW w:type="dxa" w:w="3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1</w:t>
            </w:r>
          </w:p>
        </w:tc>
        <w:tc>
          <w:tcPr>
            <w:tcW w:type="dxa" w:w="25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wiki_huf_concepts_operations.md</w:t>
            </w:r>
          </w:p>
        </w:tc>
        <w:tc>
          <w:tcPr>
            <w:tcW w:type="dxa" w:w="43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Core concepts: budget ceiling, share, leverage, PROOF line, Q-factor. The operational vocabulary.</w:t>
            </w:r>
          </w:p>
        </w:tc>
        <w:tc>
          <w:tcPr>
            <w:tcW w:type="dxa" w:w="6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30 min</w:t>
            </w:r>
          </w:p>
        </w:tc>
      </w:tr>
      <w:tr>
        <w:tc>
          <w:tcPr>
            <w:tcW w:type="dxa" w:w="3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2</w:t>
            </w:r>
          </w:p>
        </w:tc>
        <w:tc>
          <w:tcPr>
            <w:tcW w:type="dxa" w:w="25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HUF_Vol1_Handbook_v1_2_0.docx — Chapters 1–7</w:t>
            </w:r>
          </w:p>
        </w:tc>
        <w:tc>
          <w:tcPr>
            <w:tcW w:type="dxa" w:w="43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The framework in detail. Unity constraint, declared weights, drift classification, artifacts A-1 to A-4.</w:t>
            </w:r>
          </w:p>
        </w:tc>
        <w:tc>
          <w:tcPr>
            <w:tcW w:type="dxa" w:w="6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90 min</w:t>
            </w:r>
          </w:p>
        </w:tc>
      </w:tr>
      <w:tr>
        <w:tc>
          <w:tcPr>
            <w:tcW w:type="dxa" w:w="3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3</w:t>
            </w:r>
          </w:p>
        </w:tc>
        <w:tc>
          <w:tcPr>
            <w:tcW w:type="dxa" w:w="25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ramsar_huf_demo_v2.py — read the code</w:t>
            </w:r>
          </w:p>
        </w:tc>
        <w:tc>
          <w:tcPr>
            <w:tcW w:type="dxa" w:w="43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How the demo works. What MOCK_RSIS is, what the wrapper does, what each output means. Code is commented.</w:t>
            </w:r>
          </w:p>
        </w:tc>
        <w:tc>
          <w:tcPr>
            <w:tcW w:type="dxa" w:w="6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30 min</w:t>
            </w:r>
          </w:p>
        </w:tc>
      </w:tr>
      <w:tr>
        <w:tc>
          <w:tcPr>
            <w:tcW w:type="dxa" w:w="3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4</w:t>
            </w:r>
          </w:p>
        </w:tc>
        <w:tc>
          <w:tcPr>
            <w:tcW w:type="dxa" w:w="25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Run the demo — produce all 4 CSV outputs</w:t>
            </w:r>
          </w:p>
        </w:tc>
        <w:tc>
          <w:tcPr>
            <w:tcW w:type="dxa" w:w="43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First hands-on contact with real outputs. What portfolio_share_table.csv, trace_report.csv, portfolio_change_log.csv, and coverage_record.csv look like.</w:t>
            </w:r>
          </w:p>
        </w:tc>
        <w:tc>
          <w:tcPr>
            <w:tcW w:type="dxa" w:w="6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30 min</w:t>
            </w:r>
          </w:p>
        </w:tc>
      </w:tr>
      <w:tr>
        <w:tc>
          <w:tcPr>
            <w:tcW w:type="dxa" w:w="3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5</w:t>
            </w:r>
          </w:p>
        </w:tc>
        <w:tc>
          <w:tcPr>
            <w:tcW w:type="dxa" w:w="25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Section 3 of this package</w:t>
            </w:r>
          </w:p>
        </w:tc>
        <w:tc>
          <w:tcPr>
            <w:tcW w:type="dxa" w:w="43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Outlined work. What the pilot needs. Data specifications. What you are responsible for providing.</w:t>
            </w:r>
          </w:p>
        </w:tc>
        <w:tc>
          <w:tcPr>
            <w:tcW w:type="dxa" w:w="6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30 min</w:t>
            </w:r>
          </w:p>
        </w:tc>
      </w:tr>
      <w:tr>
        <w:tc>
          <w:tcPr>
            <w:tcW w:type="dxa" w:w="3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6</w:t>
            </w:r>
          </w:p>
        </w:tc>
        <w:tc>
          <w:tcPr>
            <w:tcW w:type="dxa" w:w="25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wiki_bastion_c_demo_artifact_trail.md</w:t>
            </w:r>
          </w:p>
        </w:tc>
        <w:tc>
          <w:tcPr>
            <w:tcW w:type="dxa" w:w="43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Artifact trail. How to explain each output to a non-technical audience.</w:t>
            </w:r>
          </w:p>
        </w:tc>
        <w:tc>
          <w:tcPr>
            <w:tcW w:type="dxa" w:w="6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20 min</w:t>
            </w:r>
          </w:p>
        </w:tc>
      </w:tr>
      <w:tr>
        <w:tc>
          <w:tcPr>
            <w:tcW w:type="dxa" w:w="3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7</w:t>
            </w:r>
          </w:p>
        </w:tc>
        <w:tc>
          <w:tcPr>
            <w:tcW w:type="dxa" w:w="25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collective_trace_report.csv</w:t>
            </w:r>
          </w:p>
        </w:tc>
        <w:tc>
          <w:tcPr>
            <w:tcW w:type="dxa" w:w="43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How the collective review process worked. What each AI contributed. The operator methodology.</w:t>
            </w:r>
          </w:p>
        </w:tc>
        <w:tc>
          <w:tcPr>
            <w:tcW w:type="dxa" w:w="6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30 min</w:t>
            </w:r>
          </w:p>
        </w:tc>
      </w:tr>
    </w:tbl>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pStyle w:val="Heading2"/>
        <w:spacing w:before="280" w:after="80"/>
      </w:pPr>
      <w:r>
        <w:rPr>
          <w:rFonts w:ascii="Calibri" w:cs="Calibri" w:eastAsia="Calibri" w:hAnsi="Calibri"/>
          <w:b/>
          <w:bCs/>
          <w:color w:val="0F3460"/>
          <w:sz w:val="26"/>
          <w:szCs w:val="26"/>
        </w:rPr>
        <w:t xml:space="preserve">Track 3 — Mathematics (Researchers / Journal Reviewers)</w:t>
      </w:r>
    </w:p>
    <w:p>
      <w:pPr>
        <w:spacing w:before="0" w:after="130" w:line="284"/>
        <w:jc w:val="left"/>
      </w:pPr>
      <w:r>
        <w:rPr>
          <w:rFonts w:ascii="Calibri" w:cs="Calibri" w:eastAsia="Calibri" w:hAnsi="Calibri"/>
          <w:b w:val="false"/>
          <w:bCs w:val="false"/>
          <w:i w:val="false"/>
          <w:iCs w:val="false"/>
          <w:caps w:val="false"/>
          <w:color w:val="1A1A1A"/>
          <w:sz w:val="22"/>
          <w:szCs w:val="22"/>
        </w:rPr>
        <w:t xml:space="preserve">Estimated time to full mathematical competency: 8–12 hours. Requires familiarity with linear algebra, dynamical systems, and basic measure theory.</w:t>
      </w:r>
    </w:p>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360"/>
        <w:gridCol w:w="2520"/>
        <w:gridCol w:w="4320"/>
        <w:gridCol w:w="600"/>
      </w:tblGrid>
      <w:tr>
        <w:trPr>
          <w:tblHeader/>
        </w:trPr>
        <w:tc>
          <w:tcPr>
            <w:tcW w:type="dxa" w:w="36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Step</w:t>
            </w:r>
          </w:p>
        </w:tc>
        <w:tc>
          <w:tcPr>
            <w:tcW w:type="dxa" w:w="252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Read / do this</w:t>
            </w:r>
          </w:p>
        </w:tc>
        <w:tc>
          <w:tcPr>
            <w:tcW w:type="dxa" w:w="432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What you learn</w:t>
            </w:r>
          </w:p>
        </w:tc>
        <w:tc>
          <w:tcPr>
            <w:tcW w:type="dxa" w:w="60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Time</w:t>
            </w:r>
          </w:p>
        </w:tc>
      </w:tr>
      <w:tr>
        <w:tc>
          <w:tcPr>
            <w:tcW w:type="dxa" w:w="3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1</w:t>
            </w:r>
          </w:p>
        </w:tc>
        <w:tc>
          <w:tcPr>
            <w:tcW w:type="dxa" w:w="25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HUF_Vol1_Mathematics_LearningTrack_v0_1_0.docx</w:t>
            </w:r>
          </w:p>
        </w:tc>
        <w:tc>
          <w:tcPr>
            <w:tcW w:type="dxa" w:w="43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Non-technical bridge from policy concepts to mathematical formulation. Required if coming from policy track.</w:t>
            </w:r>
          </w:p>
        </w:tc>
        <w:tc>
          <w:tcPr>
            <w:tcW w:type="dxa" w:w="6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60 min</w:t>
            </w:r>
          </w:p>
        </w:tc>
      </w:tr>
      <w:tr>
        <w:tc>
          <w:tcPr>
            <w:tcW w:type="dxa" w:w="3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2</w:t>
            </w:r>
          </w:p>
        </w:tc>
        <w:tc>
          <w:tcPr>
            <w:tcW w:type="dxa" w:w="25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huf_math_foundations_v2_1.docx</w:t>
            </w:r>
          </w:p>
        </w:tc>
        <w:tc>
          <w:tcPr>
            <w:tcW w:type="dxa" w:w="43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Working mathematics. Unity constraint formal derivation, share dynamics, convergence setup.</w:t>
            </w:r>
          </w:p>
        </w:tc>
        <w:tc>
          <w:tcPr>
            <w:tcW w:type="dxa" w:w="6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90 min</w:t>
            </w:r>
          </w:p>
        </w:tc>
      </w:tr>
      <w:tr>
        <w:tc>
          <w:tcPr>
            <w:tcW w:type="dxa" w:w="3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3</w:t>
            </w:r>
          </w:p>
        </w:tc>
        <w:tc>
          <w:tcPr>
            <w:tcW w:type="dxa" w:w="25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HUF_Vol2_Mathematics_Compendium_v1_0.docx</w:t>
            </w:r>
          </w:p>
        </w:tc>
        <w:tc>
          <w:tcPr>
            <w:tcW w:type="dxa" w:w="43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Full formal treatment. Propositions 7.1–7.5. Q-factor derivation. Lyapunov stability setup. All proofs.</w:t>
            </w:r>
          </w:p>
        </w:tc>
        <w:tc>
          <w:tcPr>
            <w:tcW w:type="dxa" w:w="6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180 min</w:t>
            </w:r>
          </w:p>
        </w:tc>
      </w:tr>
      <w:tr>
        <w:tc>
          <w:tcPr>
            <w:tcW w:type="dxa" w:w="3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4</w:t>
            </w:r>
          </w:p>
        </w:tc>
        <w:tc>
          <w:tcPr>
            <w:tcW w:type="dxa" w:w="25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HUF_Complete_Reference — Layer 15 (Q-Factor Derivation)</w:t>
            </w:r>
          </w:p>
        </w:tc>
        <w:tc>
          <w:tcPr>
            <w:tcW w:type="dxa" w:w="43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Q = T/B formal derivation. Domain examples. Grok endorsement.</w:t>
            </w:r>
          </w:p>
        </w:tc>
        <w:tc>
          <w:tcPr>
            <w:tcW w:type="dxa" w:w="6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20 min</w:t>
            </w:r>
          </w:p>
        </w:tc>
      </w:tr>
      <w:tr>
        <w:tc>
          <w:tcPr>
            <w:tcW w:type="dxa" w:w="3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5</w:t>
            </w:r>
          </w:p>
        </w:tc>
        <w:tc>
          <w:tcPr>
            <w:tcW w:type="dxa" w:w="25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HUF_Complete_Reference — Layer 13 (Grok Conjectures)</w:t>
            </w:r>
          </w:p>
        </w:tc>
        <w:tc>
          <w:tcPr>
            <w:tcW w:type="dxa" w:w="43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13 open conjectures. Which are tractable. What the non-linear convergence problem requires.</w:t>
            </w:r>
          </w:p>
        </w:tc>
        <w:tc>
          <w:tcPr>
            <w:tcW w:type="dxa" w:w="6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30 min</w:t>
            </w:r>
          </w:p>
        </w:tc>
      </w:tr>
      <w:tr>
        <w:tc>
          <w:tcPr>
            <w:tcW w:type="dxa" w:w="3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6</w:t>
            </w:r>
          </w:p>
        </w:tc>
        <w:tc>
          <w:tcPr>
            <w:tcW w:type="dxa" w:w="25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HUF_Vol3_GovernanceStateObserver.docx</w:t>
            </w:r>
          </w:p>
        </w:tc>
        <w:tc>
          <w:tcPr>
            <w:tcW w:type="dxa" w:w="43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Control-theory interpretation. Luenberger observer formulation. Bridge between mathematics and governance.</w:t>
            </w:r>
          </w:p>
        </w:tc>
        <w:tc>
          <w:tcPr>
            <w:tcW w:type="dxa" w:w="6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60 min</w:t>
            </w:r>
          </w:p>
        </w:tc>
      </w:tr>
      <w:tr>
        <w:tc>
          <w:tcPr>
            <w:tcW w:type="dxa" w:w="3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7</w:t>
            </w:r>
          </w:p>
        </w:tc>
        <w:tc>
          <w:tcPr>
            <w:tcW w:type="dxa" w:w="25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jaes_seed_bidirectional_flow.md</w:t>
            </w:r>
          </w:p>
        </w:tc>
        <w:tc>
          <w:tcPr>
            <w:tcW w:type="dxa" w:w="43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JAES paper seed. Where the mathematics paper needs to go for publication.</w:t>
            </w:r>
          </w:p>
        </w:tc>
        <w:tc>
          <w:tcPr>
            <w:tcW w:type="dxa" w:w="6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30 min</w:t>
            </w:r>
          </w:p>
        </w:tc>
      </w:tr>
    </w:tbl>
    <w:p>
      <w:pPr>
        <w:spacing w:before="0" w:after="160" w:line="284"/>
        <w:jc w:val="left"/>
      </w:pPr>
      <w:r>
        <w:rPr>
          <w:rFonts w:ascii="Calibri" w:cs="Calibri" w:eastAsia="Calibri" w:hAnsi="Calibri"/>
          <w:b w:val="false"/>
          <w:bCs w:val="false"/>
          <w:i w:val="false"/>
          <w:iCs w:val="false"/>
          <w:caps w:val="false"/>
          <w:color w:val="1A1A1A"/>
          <w:sz w:val="22"/>
          <w:szCs w:val="22"/>
        </w:rPr>
        <w:t xml:space="preserve"/>
      </w:r>
    </w:p>
    <w:p>
      <w:r>
        <w:br w:type="page"/>
      </w:r>
    </w:p>
    <w:p>
      <w:pPr>
        <w:pStyle w:val="Heading1"/>
        <w:pBdr>
          <w:bottom w:val="single" w:color="1A1A2E" w:sz="8" w:space="8"/>
        </w:pBdr>
        <w:spacing w:before="360" w:after="100"/>
      </w:pPr>
      <w:r>
        <w:rPr>
          <w:rFonts w:ascii="Calibri" w:cs="Calibri" w:eastAsia="Calibri" w:hAnsi="Calibri"/>
          <w:b/>
          <w:bCs/>
          <w:color w:val="1A1A2E"/>
          <w:sz w:val="32"/>
          <w:szCs w:val="32"/>
        </w:rPr>
        <w:t xml:space="preserve">Section 6</w:t>
      </w:r>
      <w:r>
        <w:rPr>
          <w:rFonts w:ascii="Calibri" w:cs="Calibri" w:eastAsia="Calibri" w:hAnsi="Calibri"/>
          <w:color w:val="7A8A99"/>
          <w:sz w:val="20"/>
          <w:szCs w:val="20"/>
        </w:rPr>
        <w:t xml:space="preserve">   ChatGPT Handoff</w:t>
      </w:r>
    </w:p>
    <w:p>
      <w:pPr>
        <w:spacing w:before="0" w:after="130" w:line="284"/>
        <w:jc w:val="left"/>
      </w:pPr>
      <w:r>
        <w:rPr>
          <w:rFonts w:ascii="Calibri" w:cs="Calibri" w:eastAsia="Calibri" w:hAnsi="Calibri"/>
          <w:b w:val="false"/>
          <w:bCs w:val="false"/>
          <w:i w:val="false"/>
          <w:iCs w:val="false"/>
          <w:caps w:val="false"/>
          <w:color w:val="1A1A1A"/>
          <w:sz w:val="22"/>
          <w:szCs w:val="22"/>
        </w:rPr>
        <w:t xml:space="preserve">This section is written for ChatGPT. It provides the session-start context, scope boundaries, active tasks, and the operator's working methodology. Read this section before beginning any ChatGPT session on HUF or the Croatia pilot.</w:t>
      </w:r>
    </w:p>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pStyle w:val="Heading2"/>
        <w:spacing w:before="280" w:after="80"/>
      </w:pPr>
      <w:r>
        <w:rPr>
          <w:rFonts w:ascii="Calibri" w:cs="Calibri" w:eastAsia="Calibri" w:hAnsi="Calibri"/>
          <w:b/>
          <w:bCs/>
          <w:color w:val="0F3460"/>
          <w:sz w:val="26"/>
          <w:szCs w:val="26"/>
        </w:rPr>
        <w:t xml:space="preserve">Session-Start Prompt — Paste This First</w:t>
      </w:r>
    </w:p>
    <w:p>
      <w:pPr>
        <w:shd w:fill="F0F4F8" w:val="clear"/>
        <w:spacing w:before="0" w:after="0" w:line="240"/>
        <w:ind w:left="360"/>
      </w:pPr>
      <w:r>
        <w:rPr>
          <w:rFonts w:ascii="Courier New" w:cs="Courier New" w:eastAsia="Courier New" w:hAnsi="Courier New"/>
          <w:color w:val="2C3E50"/>
          <w:sz w:val="18"/>
          <w:szCs w:val="18"/>
        </w:rPr>
        <w:t xml:space="preserve">You are joining the HUF Collective Review — a multi-AI collaborative research programme</w:t>
      </w:r>
    </w:p>
    <w:p>
      <w:pPr>
        <w:shd w:fill="F0F4F8" w:val="clear"/>
        <w:spacing w:before="0" w:after="0" w:line="240"/>
        <w:ind w:left="360"/>
      </w:pPr>
      <w:r>
        <w:rPr>
          <w:rFonts w:ascii="Courier New" w:cs="Courier New" w:eastAsia="Courier New" w:hAnsi="Courier New"/>
          <w:color w:val="2C3E50"/>
          <w:sz w:val="18"/>
          <w:szCs w:val="18"/>
        </w:rPr>
        <w:t xml:space="preserve">managed by Peter Higgins (Rogue Wave Audio, Markham Ontario). The framework under</w:t>
      </w:r>
    </w:p>
    <w:p>
      <w:pPr>
        <w:shd w:fill="F0F4F8" w:val="clear"/>
        <w:spacing w:before="0" w:after="0" w:line="240"/>
        <w:ind w:left="360"/>
      </w:pPr>
      <w:r>
        <w:rPr>
          <w:rFonts w:ascii="Courier New" w:cs="Courier New" w:eastAsia="Courier New" w:hAnsi="Courier New"/>
          <w:color w:val="2C3E50"/>
          <w:sz w:val="18"/>
          <w:szCs w:val="18"/>
        </w:rPr>
        <w:t xml:space="preserve">development is the Higgins Unity Framework (HUF v1.2.0), a governance diagnostic tool</w:t>
      </w:r>
    </w:p>
    <w:p>
      <w:pPr>
        <w:shd w:fill="F0F4F8" w:val="clear"/>
        <w:spacing w:before="0" w:after="0" w:line="240"/>
        <w:ind w:left="360"/>
      </w:pPr>
      <w:r>
        <w:rPr>
          <w:rFonts w:ascii="Courier New" w:cs="Courier New" w:eastAsia="Courier New" w:hAnsi="Courier New"/>
          <w:color w:val="2C3E50"/>
          <w:sz w:val="18"/>
          <w:szCs w:val="18"/>
        </w:rPr>
        <w:t xml:space="preserve">that applies ratio state monitoring to finite-budget systems.</w:t>
      </w:r>
    </w:p>
    <w:p>
      <w:pPr>
        <w:shd w:fill="F0F4F8" w:val="clear"/>
        <w:spacing w:before="0" w:after="0" w:line="240"/>
        <w:ind w:left="360"/>
      </w:pPr>
      <w:r>
        <w:rPr>
          <w:rFonts w:ascii="Courier New" w:cs="Courier New" w:eastAsia="Courier New" w:hAnsi="Courier New"/>
          <w:color w:val="2C3E50"/>
          <w:sz w:val="18"/>
          <w:szCs w:val="18"/>
        </w:rPr>
        <w:t xml:space="preserve"/>
      </w:r>
    </w:p>
    <w:p>
      <w:pPr>
        <w:shd w:fill="F0F4F8" w:val="clear"/>
        <w:spacing w:before="0" w:after="0" w:line="240"/>
        <w:ind w:left="360"/>
      </w:pPr>
      <w:r>
        <w:rPr>
          <w:rFonts w:ascii="Courier New" w:cs="Courier New" w:eastAsia="Courier New" w:hAnsi="Courier New"/>
          <w:color w:val="2C3E50"/>
          <w:sz w:val="18"/>
          <w:szCs w:val="18"/>
        </w:rPr>
        <w:t xml:space="preserve">Your role: accurate, precise analysis of concepts and content. The operator's working</w:t>
      </w:r>
    </w:p>
    <w:p>
      <w:pPr>
        <w:shd w:fill="F0F4F8" w:val="clear"/>
        <w:spacing w:before="0" w:after="0" w:line="240"/>
        <w:ind w:left="360"/>
      </w:pPr>
      <w:r>
        <w:rPr>
          <w:rFonts w:ascii="Courier New" w:cs="Courier New" w:eastAsia="Courier New" w:hAnsi="Courier New"/>
          <w:color w:val="2C3E50"/>
          <w:sz w:val="18"/>
          <w:szCs w:val="18"/>
        </w:rPr>
        <w:t xml:space="preserve">methodology is critical to success — any of us can drift. When in doubt, ask the operator</w:t>
      </w:r>
    </w:p>
    <w:p>
      <w:pPr>
        <w:shd w:fill="F0F4F8" w:val="clear"/>
        <w:spacing w:before="0" w:after="0" w:line="240"/>
        <w:ind w:left="360"/>
      </w:pPr>
      <w:r>
        <w:rPr>
          <w:rFonts w:ascii="Courier New" w:cs="Courier New" w:eastAsia="Courier New" w:hAnsi="Courier New"/>
          <w:color w:val="2C3E50"/>
          <w:sz w:val="18"/>
          <w:szCs w:val="18"/>
        </w:rPr>
        <w:t xml:space="preserve">to clarify scope before proceeding.</w:t>
      </w:r>
    </w:p>
    <w:p>
      <w:pPr>
        <w:shd w:fill="F0F4F8" w:val="clear"/>
        <w:spacing w:before="0" w:after="0" w:line="240"/>
        <w:ind w:left="360"/>
      </w:pPr>
      <w:r>
        <w:rPr>
          <w:rFonts w:ascii="Courier New" w:cs="Courier New" w:eastAsia="Courier New" w:hAnsi="Courier New"/>
          <w:color w:val="2C3E50"/>
          <w:sz w:val="18"/>
          <w:szCs w:val="18"/>
        </w:rPr>
        <w:t xml:space="preserve"/>
      </w:r>
    </w:p>
    <w:p>
      <w:pPr>
        <w:shd w:fill="F0F4F8" w:val="clear"/>
        <w:spacing w:before="0" w:after="0" w:line="240"/>
        <w:ind w:left="360"/>
      </w:pPr>
      <w:r>
        <w:rPr>
          <w:rFonts w:ascii="Courier New" w:cs="Courier New" w:eastAsia="Courier New" w:hAnsi="Courier New"/>
          <w:color w:val="2C3E50"/>
          <w:sz w:val="18"/>
          <w:szCs w:val="18"/>
        </w:rPr>
        <w:t xml:space="preserve">What is complete: three-domain structural invariance confirmed (Exhibit B); Ratio State</w:t>
      </w:r>
    </w:p>
    <w:p>
      <w:pPr>
        <w:shd w:fill="F0F4F8" w:val="clear"/>
        <w:spacing w:before="0" w:after="0" w:line="240"/>
        <w:ind w:left="360"/>
      </w:pPr>
      <w:r>
        <w:rPr>
          <w:rFonts w:ascii="Courier New" w:cs="Courier New" w:eastAsia="Courier New" w:hAnsi="Courier New"/>
          <w:color w:val="2C3E50"/>
          <w:sz w:val="18"/>
          <w:szCs w:val="18"/>
        </w:rPr>
        <w:t xml:space="preserve">Monitoring named as MC-4 canonical name (LOCKED); mathematics compendium v1.0 complete;</w:t>
      </w:r>
    </w:p>
    <w:p>
      <w:pPr>
        <w:shd w:fill="F0F4F8" w:val="clear"/>
        <w:spacing w:before="0" w:after="0" w:line="240"/>
        <w:ind w:left="360"/>
      </w:pPr>
      <w:r>
        <w:rPr>
          <w:rFonts w:ascii="Courier New" w:cs="Courier New" w:eastAsia="Courier New" w:hAnsi="Courier New"/>
          <w:color w:val="2C3E50"/>
          <w:sz w:val="18"/>
          <w:szCs w:val="18"/>
        </w:rPr>
        <w:t xml:space="preserve">Croatia demo script ready to run; contact letter v15 ready to send.</w:t>
      </w:r>
    </w:p>
    <w:p>
      <w:pPr>
        <w:shd w:fill="F0F4F8" w:val="clear"/>
        <w:spacing w:before="0" w:after="0" w:line="240"/>
        <w:ind w:left="360"/>
      </w:pPr>
      <w:r>
        <w:rPr>
          <w:rFonts w:ascii="Courier New" w:cs="Courier New" w:eastAsia="Courier New" w:hAnsi="Courier New"/>
          <w:color w:val="2C3E50"/>
          <w:sz w:val="18"/>
          <w:szCs w:val="18"/>
        </w:rPr>
        <w:t xml:space="preserve"/>
      </w:r>
    </w:p>
    <w:p>
      <w:pPr>
        <w:shd w:fill="F0F4F8" w:val="clear"/>
        <w:spacing w:before="0" w:after="0" w:line="240"/>
        <w:ind w:left="360"/>
      </w:pPr>
      <w:r>
        <w:rPr>
          <w:rFonts w:ascii="Courier New" w:cs="Courier New" w:eastAsia="Courier New" w:hAnsi="Courier New"/>
          <w:color w:val="2C3E50"/>
          <w:sz w:val="18"/>
          <w:szCs w:val="18"/>
        </w:rPr>
        <w:t xml:space="preserve">Active priority: Croatia pilot — either (a) send ramsar_contact_letter_v15.docx and</w:t>
      </w:r>
    </w:p>
    <w:p>
      <w:pPr>
        <w:shd w:fill="F0F4F8" w:val="clear"/>
        <w:spacing w:before="0" w:after="0" w:line="240"/>
        <w:ind w:left="360"/>
      </w:pPr>
      <w:r>
        <w:rPr>
          <w:rFonts w:ascii="Courier New" w:cs="Courier New" w:eastAsia="Courier New" w:hAnsi="Courier New"/>
          <w:color w:val="2C3E50"/>
          <w:sz w:val="18"/>
          <w:szCs w:val="18"/>
        </w:rPr>
        <w:t xml:space="preserve">await response, or (b) retrieve live RSIS export and run ramsar_huf_demo_v2.py on real</w:t>
      </w:r>
    </w:p>
    <w:p>
      <w:pPr>
        <w:shd w:fill="F0F4F8" w:val="clear"/>
        <w:spacing w:before="0" w:after="0" w:line="240"/>
        <w:ind w:left="360"/>
      </w:pPr>
      <w:r>
        <w:rPr>
          <w:rFonts w:ascii="Courier New" w:cs="Courier New" w:eastAsia="Courier New" w:hAnsi="Courier New"/>
          <w:color w:val="2C3E50"/>
          <w:sz w:val="18"/>
          <w:szCs w:val="18"/>
        </w:rPr>
        <w:t xml:space="preserve">data to produce pilot baseline artifacts.</w:t>
      </w:r>
    </w:p>
    <w:p>
      <w:pPr>
        <w:shd w:fill="F0F4F8" w:val="clear"/>
        <w:spacing w:before="0" w:after="0" w:line="240"/>
        <w:ind w:left="360"/>
      </w:pPr>
      <w:r>
        <w:rPr>
          <w:rFonts w:ascii="Courier New" w:cs="Courier New" w:eastAsia="Courier New" w:hAnsi="Courier New"/>
          <w:color w:val="2C3E50"/>
          <w:sz w:val="18"/>
          <w:szCs w:val="18"/>
        </w:rPr>
        <w:t xml:space="preserve"/>
      </w:r>
    </w:p>
    <w:p>
      <w:pPr>
        <w:shd w:fill="F0F4F8" w:val="clear"/>
        <w:spacing w:before="0" w:after="0" w:line="240"/>
        <w:ind w:left="360"/>
      </w:pPr>
      <w:r>
        <w:rPr>
          <w:rFonts w:ascii="Courier New" w:cs="Courier New" w:eastAsia="Courier New" w:hAnsi="Courier New"/>
          <w:color w:val="2C3E50"/>
          <w:sz w:val="18"/>
          <w:szCs w:val="18"/>
        </w:rPr>
        <w:t xml:space="preserve">Key constraint: nothing claims more than the artifacts support. Do not extrapolate beyond</w:t>
      </w:r>
    </w:p>
    <w:p>
      <w:pPr>
        <w:shd w:fill="F0F4F8" w:val="clear"/>
        <w:spacing w:before="0" w:after="0" w:line="240"/>
        <w:ind w:left="360"/>
      </w:pPr>
      <w:r>
        <w:rPr>
          <w:rFonts w:ascii="Courier New" w:cs="Courier New" w:eastAsia="Courier New" w:hAnsi="Courier New"/>
          <w:color w:val="2C3E50"/>
          <w:sz w:val="18"/>
          <w:szCs w:val="18"/>
        </w:rPr>
        <w:t xml:space="preserve">what the data shows. All speculative claims are labeled [CONJECTURAL].</w:t>
      </w:r>
    </w:p>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pStyle w:val="Heading2"/>
        <w:spacing w:before="280" w:after="80"/>
      </w:pPr>
      <w:r>
        <w:rPr>
          <w:rFonts w:ascii="Calibri" w:cs="Calibri" w:eastAsia="Calibri" w:hAnsi="Calibri"/>
          <w:b/>
          <w:bCs/>
          <w:color w:val="0F3460"/>
          <w:sz w:val="26"/>
          <w:szCs w:val="26"/>
        </w:rPr>
        <w:t xml:space="preserve">What ChatGPT Should Focus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720"/>
        <w:gridCol w:w="6240"/>
      </w:tblGrid>
      <w:tr>
        <w:trPr>
          <w:tblHeader/>
        </w:trPr>
        <w:tc>
          <w:tcPr>
            <w:tcW w:type="dxa" w:w="240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Task</w:t>
            </w:r>
          </w:p>
        </w:tc>
        <w:tc>
          <w:tcPr>
            <w:tcW w:type="dxa" w:w="72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Priority</w:t>
            </w:r>
          </w:p>
        </w:tc>
        <w:tc>
          <w:tcPr>
            <w:tcW w:type="dxa" w:w="624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Instructions</w:t>
            </w:r>
          </w:p>
        </w:tc>
      </w:tr>
      <w:tr>
        <w:tc>
          <w:tcPr>
            <w:tcW w:type="dxa" w:w="24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Retrieve live RSIS export data for Croatia's 5 sites</w:t>
            </w:r>
          </w:p>
        </w:tc>
        <w:tc>
          <w:tcPr>
            <w:tcW w:type="dxa" w:w="7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P1</w:t>
            </w:r>
          </w:p>
        </w:tc>
        <w:tc>
          <w:tcPr>
            <w:tcW w:type="dxa" w:w="62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Download from rsis.ramsar.org. Sites: 582, 583, 584, 587, 869. Record filename and download date as provenance.</w:t>
            </w:r>
          </w:p>
        </w:tc>
      </w:tr>
      <w:tr>
        <w:tc>
          <w:tcPr>
            <w:tcW w:type="dxa" w:w="24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Run ramsar_huf_demo_v2.py with live data</w:t>
            </w:r>
          </w:p>
        </w:tc>
        <w:tc>
          <w:tcPr>
            <w:tcW w:type="dxa" w:w="7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P1</w:t>
            </w:r>
          </w:p>
        </w:tc>
        <w:tc>
          <w:tcPr>
            <w:tcW w:type="dxa" w:w="62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Replace MOCK_RSIS constant with pd.read_csv() pointing to live export. Run. Produce all 4 CSV artifacts. Review outputs.</w:t>
            </w:r>
          </w:p>
        </w:tc>
      </w:tr>
      <w:tr>
        <w:tc>
          <w:tcPr>
            <w:tcW w:type="dxa" w:w="24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Draft JAES abstract</w:t>
            </w:r>
          </w:p>
        </w:tc>
        <w:tc>
          <w:tcPr>
            <w:tcW w:type="dxa" w:w="7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P2</w:t>
            </w:r>
          </w:p>
        </w:tc>
        <w:tc>
          <w:tcPr>
            <w:tcW w:type="dxa" w:w="62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Use Exhibit B confirmation sentence as basis. Three-domain confirmation complete. See Section 3.5 of this package for section status.</w:t>
            </w:r>
          </w:p>
        </w:tc>
      </w:tr>
      <w:tr>
        <w:tc>
          <w:tcPr>
            <w:tcW w:type="dxa" w:w="24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Verify Neretva endemism data age</w:t>
            </w:r>
          </w:p>
        </w:tc>
        <w:tc>
          <w:tcPr>
            <w:tcW w:type="dxa" w:w="7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P2</w:t>
            </w:r>
          </w:p>
        </w:tc>
        <w:tc>
          <w:tcPr>
            <w:tcW w:type="dxa" w:w="62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Check RSIS for Site 587 post-2018 update. If not found, flag and apply data-age penalty in share computation.</w:t>
            </w:r>
          </w:p>
        </w:tc>
      </w:tr>
      <w:tr>
        <w:tc>
          <w:tcPr>
            <w:tcW w:type="dxa" w:w="24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Prepare Secretariat follow-up response template</w:t>
            </w:r>
          </w:p>
        </w:tc>
        <w:tc>
          <w:tcPr>
            <w:tcW w:type="dxa" w:w="7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P3</w:t>
            </w:r>
          </w:p>
        </w:tc>
        <w:tc>
          <w:tcPr>
            <w:tcW w:type="dxa" w:w="62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Once contact letter is sent, draft template response for: (a) yes-interest, (b) no-not-aligned. Both responses need a next step.</w:t>
            </w:r>
          </w:p>
        </w:tc>
      </w:tr>
    </w:tbl>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pStyle w:val="Heading2"/>
        <w:spacing w:before="280" w:after="80"/>
      </w:pPr>
      <w:r>
        <w:rPr>
          <w:rFonts w:ascii="Calibri" w:cs="Calibri" w:eastAsia="Calibri" w:hAnsi="Calibri"/>
          <w:b/>
          <w:bCs/>
          <w:color w:val="0F3460"/>
          <w:sz w:val="26"/>
          <w:szCs w:val="26"/>
        </w:rPr>
        <w:t xml:space="preserve">What ChatGPT Should NOT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rPr>
          <w:tblHeader/>
        </w:trPr>
        <w:tc>
          <w:tcPr>
            <w:tcW w:type="dxa" w:w="252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Do not</w:t>
            </w:r>
          </w:p>
        </w:tc>
        <w:tc>
          <w:tcPr>
            <w:tcW w:type="dxa" w:w="684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Reason</w:t>
            </w:r>
          </w:p>
        </w:tc>
      </w:tr>
      <w:tr>
        <w:tc>
          <w:tcPr>
            <w:tcW w:type="dxa" w:w="25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Invent RSIS data or cite figures without retrieval</w:t>
            </w:r>
          </w:p>
        </w:tc>
        <w:tc>
          <w:tcPr>
            <w:tcW w:type="dxa" w:w="68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All provenance claims require real source filename and retrieval date. Mock data is for demo only.</w:t>
            </w:r>
          </w:p>
        </w:tc>
      </w:tr>
      <w:tr>
        <w:tc>
          <w:tcPr>
            <w:tcW w:type="dxa" w:w="25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Change the canonical name MC-4 / Ratio State Monitoring</w:t>
            </w:r>
          </w:p>
        </w:tc>
        <w:tc>
          <w:tcPr>
            <w:tcW w:type="dxa" w:w="68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Locked February 2026. Name change requires operator decision and full corpus update.</w:t>
            </w:r>
          </w:p>
        </w:tc>
      </w:tr>
      <w:tr>
        <w:tc>
          <w:tcPr>
            <w:tcW w:type="dxa" w:w="25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Add new framework claims not in the taxonomy</w:t>
            </w:r>
          </w:p>
        </w:tc>
        <w:tc>
          <w:tcPr>
            <w:tcW w:type="dxa" w:w="68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All new conjectures go to Layer 13 labeled [CONJECTURAL]. No claim enters the main framework without operator approval.</w:t>
            </w:r>
          </w:p>
        </w:tc>
      </w:tr>
      <w:tr>
        <w:tc>
          <w:tcPr>
            <w:tcW w:type="dxa" w:w="25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Drift from scope into manufacturing or AI governance topics unless directed</w:t>
            </w:r>
          </w:p>
        </w:tc>
        <w:tc>
          <w:tcPr>
            <w:tcW w:type="dxa" w:w="68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The Croatia pilot is the active front. Manufacturing and AI governance paths are documented in wiki_operator_entry_points.md — return to them when directed.</w:t>
            </w:r>
          </w:p>
        </w:tc>
      </w:tr>
      <w:tr>
        <w:tc>
          <w:tcPr>
            <w:tcW w:type="dxa" w:w="25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Reproduce the primer verbatim in new documents</w:t>
            </w:r>
          </w:p>
        </w:tc>
        <w:tc>
          <w:tcPr>
            <w:tcW w:type="dxa" w:w="68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The primer (v12) is background reading. The contact letter (v15) is the active send document. Do not create v16 without operator instruction.</w:t>
            </w:r>
          </w:p>
        </w:tc>
      </w:tr>
    </w:tbl>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pStyle w:val="Heading2"/>
        <w:spacing w:before="280" w:after="80"/>
      </w:pPr>
      <w:r>
        <w:rPr>
          <w:rFonts w:ascii="Calibri" w:cs="Calibri" w:eastAsia="Calibri" w:hAnsi="Calibri"/>
          <w:b/>
          <w:bCs/>
          <w:color w:val="0F3460"/>
          <w:sz w:val="26"/>
          <w:szCs w:val="26"/>
        </w:rPr>
        <w:t xml:space="preserve">Operator Working Methodology</w:t>
      </w:r>
    </w:p>
    <w:p>
      <w:pPr>
        <w:spacing w:before="0" w:after="130" w:line="284"/>
        <w:jc w:val="left"/>
      </w:pPr>
      <w:r>
        <w:rPr>
          <w:rFonts w:ascii="Calibri" w:cs="Calibri" w:eastAsia="Calibri" w:hAnsi="Calibri"/>
          <w:b w:val="false"/>
          <w:bCs w:val="false"/>
          <w:i w:val="false"/>
          <w:iCs w:val="false"/>
          <w:caps w:val="false"/>
          <w:color w:val="1A1A1A"/>
          <w:sz w:val="22"/>
          <w:szCs w:val="22"/>
        </w:rPr>
        <w:t xml:space="preserve">Peter Higgins manages the collective review process using a documented methodology. New AI collaborators should understand the following before beginning work:</w:t>
      </w:r>
    </w:p>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Principle</w:t>
            </w:r>
          </w:p>
        </w:tc>
        <w:tc>
          <w:tcPr>
            <w:tcW w:type="dxa" w:w="696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What it means in practice</w:t>
            </w:r>
          </w:p>
        </w:tc>
      </w:tr>
      <w:tr>
        <w:tc>
          <w:tcPr>
            <w:tcW w:type="dxa" w:w="24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Work backwards from the primary contact</w:t>
            </w:r>
          </w:p>
        </w:tc>
        <w:tc>
          <w:tcPr>
            <w:tcW w:type="dxa" w:w="69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The Ramsar family member contact is the active entry point. All work should support the moment of contact, not add to the queue of things to prepare.</w:t>
            </w:r>
          </w:p>
        </w:tc>
      </w:tr>
      <w:tr>
        <w:tc>
          <w:tcPr>
            <w:tcW w:type="dxa" w:w="24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HUF is the show</w:t>
            </w:r>
          </w:p>
        </w:tc>
        <w:tc>
          <w:tcPr>
            <w:tcW w:type="dxa" w:w="69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The operator's background is context. The framework is the subject. Do not centre personal biography unless it directly supports a claim.</w:t>
            </w:r>
          </w:p>
        </w:tc>
      </w:tr>
      <w:tr>
        <w:tc>
          <w:tcPr>
            <w:tcW w:type="dxa" w:w="24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Nothing claims more than the artifacts support</w:t>
            </w:r>
          </w:p>
        </w:tc>
        <w:tc>
          <w:tcPr>
            <w:tcW w:type="dxa" w:w="69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Every claim must be traceable to a produced artifact (CSV, docx, or confirmed computation). Speculation is welcome but must be labeled.</w:t>
            </w:r>
          </w:p>
        </w:tc>
      </w:tr>
      <w:tr>
        <w:tc>
          <w:tcPr>
            <w:tcW w:type="dxa" w:w="24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Operator retains/discards — AI proposes</w:t>
            </w:r>
          </w:p>
        </w:tc>
        <w:tc>
          <w:tcPr>
            <w:tcW w:type="dxa" w:w="69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AI contributions are proposals. The operator decides what enters the record. Record retain/discard decisions in the trace report.</w:t>
            </w:r>
          </w:p>
        </w:tc>
      </w:tr>
      <w:tr>
        <w:tc>
          <w:tcPr>
            <w:tcW w:type="dxa" w:w="24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One drift, one correction</w:t>
            </w:r>
          </w:p>
        </w:tc>
        <w:tc>
          <w:tcPr>
            <w:tcW w:type="dxa" w:w="696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When a session drifts off scope, the operator names it and corrects it. Do not interpret scope drift as permission to continue.</w:t>
            </w:r>
          </w:p>
        </w:tc>
      </w:tr>
      <w:tr>
        <w:tc>
          <w:tcPr>
            <w:tcW w:type="dxa" w:w="24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The collective makes us better</w:t>
            </w:r>
          </w:p>
        </w:tc>
        <w:tc>
          <w:tcPr>
            <w:tcW w:type="dxa" w:w="696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Different AI systems have different strengths. Contradictions between AI verdicts are informative. Document them — do not resolve them without operator instruction.</w:t>
            </w:r>
          </w:p>
        </w:tc>
      </w:tr>
    </w:tbl>
    <w:p>
      <w:pPr>
        <w:spacing w:before="0" w:after="160" w:line="284"/>
        <w:jc w:val="left"/>
      </w:pPr>
      <w:r>
        <w:rPr>
          <w:rFonts w:ascii="Calibri" w:cs="Calibri" w:eastAsia="Calibri" w:hAnsi="Calibri"/>
          <w:b w:val="false"/>
          <w:bCs w:val="false"/>
          <w:i w:val="false"/>
          <w:iCs w:val="false"/>
          <w:caps w:val="false"/>
          <w:color w:val="1A1A1A"/>
          <w:sz w:val="22"/>
          <w:szCs w:val="22"/>
        </w:rPr>
        <w:t xml:space="preserve"/>
      </w:r>
    </w:p>
    <w:p>
      <w:r>
        <w:br w:type="page"/>
      </w:r>
    </w:p>
    <w:p>
      <w:pPr>
        <w:pStyle w:val="Heading1"/>
        <w:pBdr>
          <w:bottom w:val="single" w:color="1A1A2E" w:sz="8" w:space="8"/>
        </w:pBdr>
        <w:spacing w:before="360" w:after="100"/>
      </w:pPr>
      <w:r>
        <w:rPr>
          <w:rFonts w:ascii="Calibri" w:cs="Calibri" w:eastAsia="Calibri" w:hAnsi="Calibri"/>
          <w:b/>
          <w:bCs/>
          <w:color w:val="1A1A2E"/>
          <w:sz w:val="32"/>
          <w:szCs w:val="32"/>
        </w:rPr>
        <w:t xml:space="preserve">Section 7</w:t>
      </w:r>
      <w:r>
        <w:rPr>
          <w:rFonts w:ascii="Calibri" w:cs="Calibri" w:eastAsia="Calibri" w:hAnsi="Calibri"/>
          <w:color w:val="7A8A99"/>
          <w:sz w:val="20"/>
          <w:szCs w:val="20"/>
        </w:rPr>
        <w:t xml:space="preserve">   Links Registry</w:t>
      </w:r>
    </w:p>
    <w:p>
      <w:pPr>
        <w:spacing w:before="0" w:after="130" w:line="284"/>
        <w:jc w:val="left"/>
      </w:pPr>
      <w:r>
        <w:rPr>
          <w:rFonts w:ascii="Calibri" w:cs="Calibri" w:eastAsia="Calibri" w:hAnsi="Calibri"/>
          <w:b w:val="false"/>
          <w:bCs w:val="false"/>
          <w:i w:val="false"/>
          <w:iCs w:val="false"/>
          <w:caps w:val="false"/>
          <w:color w:val="1A1A1A"/>
          <w:sz w:val="22"/>
          <w:szCs w:val="22"/>
        </w:rPr>
        <w:t xml:space="preserve">Fill in all fields marked [INSERT] before dispatching the package to Secretariat contact, Croatian Ministry, or any external partner. Fields marked [COMPLETE] are already confirmed.</w:t>
      </w:r>
    </w:p>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pStyle w:val="Heading2"/>
        <w:spacing w:before="280" w:after="80"/>
      </w:pPr>
      <w:r>
        <w:rPr>
          <w:rFonts w:ascii="Calibri" w:cs="Calibri" w:eastAsia="Calibri" w:hAnsi="Calibri"/>
          <w:b/>
          <w:bCs/>
          <w:color w:val="0F3460"/>
          <w:sz w:val="26"/>
          <w:szCs w:val="26"/>
        </w:rPr>
        <w:t xml:space="preserve">HUF Public Resources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1200"/>
        <w:gridCol w:w="5640"/>
      </w:tblGrid>
      <w:tr>
        <w:trPr>
          <w:tblHeader/>
        </w:trPr>
        <w:tc>
          <w:tcPr>
            <w:tcW w:type="dxa" w:w="252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Resource</w:t>
            </w:r>
          </w:p>
        </w:tc>
        <w:tc>
          <w:tcPr>
            <w:tcW w:type="dxa" w:w="120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Status</w:t>
            </w:r>
          </w:p>
        </w:tc>
        <w:tc>
          <w:tcPr>
            <w:tcW w:type="dxa" w:w="564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URL</w:t>
            </w:r>
          </w:p>
        </w:tc>
      </w:tr>
      <w:tr>
        <w:tc>
          <w:tcPr>
            <w:tcW w:type="dxa" w:w="25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GitHub repository — code and releases</w:t>
            </w:r>
          </w:p>
        </w:tc>
        <w:tc>
          <w:tcPr>
            <w:tcW w:type="dxa" w:w="12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6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github.com/PeterHiggins19/huf_core</w:t>
            </w:r>
          </w:p>
        </w:tc>
      </w:tr>
      <w:tr>
        <w:tc>
          <w:tcPr>
            <w:tcW w:type="dxa" w:w="25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GitHub Pages documentation site</w:t>
            </w:r>
          </w:p>
        </w:tc>
        <w:tc>
          <w:tcPr>
            <w:tcW w:type="dxa" w:w="12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6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[INSERT: peterhiggins19.github.io/huf_core — confirm live before sending]</w:t>
            </w:r>
          </w:p>
        </w:tc>
      </w:tr>
      <w:tr>
        <w:tc>
          <w:tcPr>
            <w:tcW w:type="dxa" w:w="25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Wiki — collective review record</w:t>
            </w:r>
          </w:p>
        </w:tc>
        <w:tc>
          <w:tcPr>
            <w:tcW w:type="dxa" w:w="12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6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[INSERT: github.com/PeterHiggins19/huf_core/wiki — confirm populated before sending]</w:t>
            </w:r>
          </w:p>
        </w:tc>
      </w:tr>
      <w:tr>
        <w:tc>
          <w:tcPr>
            <w:tcW w:type="dxa" w:w="25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Demo script — direct link</w:t>
            </w:r>
          </w:p>
        </w:tc>
        <w:tc>
          <w:tcPr>
            <w:tcW w:type="dxa" w:w="12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6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[INSERT: github.com/PeterHiggins19/huf_core/blob/main/ramsar_huf_demo_v2.py]</w:t>
            </w:r>
          </w:p>
        </w:tc>
      </w:tr>
      <w:tr>
        <w:tc>
          <w:tcPr>
            <w:tcW w:type="dxa" w:w="25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Rogue Wave Audio website</w:t>
            </w:r>
          </w:p>
        </w:tc>
        <w:tc>
          <w:tcPr>
            <w:tcW w:type="dxa" w:w="12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6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[INSERT: roguewaveaudio.com — confirm live before sending]</w:t>
            </w:r>
          </w:p>
        </w:tc>
      </w:tr>
    </w:tbl>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pStyle w:val="Heading2"/>
        <w:spacing w:before="280" w:after="80"/>
      </w:pPr>
      <w:r>
        <w:rPr>
          <w:rFonts w:ascii="Calibri" w:cs="Calibri" w:eastAsia="Calibri" w:hAnsi="Calibri"/>
          <w:b/>
          <w:bCs/>
          <w:color w:val="0F3460"/>
          <w:sz w:val="26"/>
          <w:szCs w:val="26"/>
        </w:rPr>
        <w:t xml:space="preserve">Ramsar Institutional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1200"/>
        <w:gridCol w:w="5640"/>
      </w:tblGrid>
      <w:tr>
        <w:trPr>
          <w:tblHeader/>
        </w:trPr>
        <w:tc>
          <w:tcPr>
            <w:tcW w:type="dxa" w:w="252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Contact</w:t>
            </w:r>
          </w:p>
        </w:tc>
        <w:tc>
          <w:tcPr>
            <w:tcW w:type="dxa" w:w="120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Status</w:t>
            </w:r>
          </w:p>
        </w:tc>
        <w:tc>
          <w:tcPr>
            <w:tcW w:type="dxa" w:w="564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Details</w:t>
            </w:r>
          </w:p>
        </w:tc>
      </w:tr>
      <w:tr>
        <w:tc>
          <w:tcPr>
            <w:tcW w:type="dxa" w:w="25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Ramsar Secretariat — primary contact name</w:t>
            </w:r>
          </w:p>
        </w:tc>
        <w:tc>
          <w:tcPr>
            <w:tcW w:type="dxa" w:w="12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6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[NOT IN THIS DOCUMENT — maintain in operator's private file]</w:t>
            </w:r>
          </w:p>
        </w:tc>
      </w:tr>
      <w:tr>
        <w:tc>
          <w:tcPr>
            <w:tcW w:type="dxa" w:w="25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Family member contact — name and role within Ramsar</w:t>
            </w:r>
          </w:p>
        </w:tc>
        <w:tc>
          <w:tcPr>
            <w:tcW w:type="dxa" w:w="12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6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[NOT IN THIS DOCUMENT — maintain in operator's private file]</w:t>
            </w:r>
          </w:p>
        </w:tc>
      </w:tr>
      <w:tr>
        <w:tc>
          <w:tcPr>
            <w:tcW w:type="dxa" w:w="25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Croatian Ramsar focal point — Ministry of Economy and Sustainable Development</w:t>
            </w:r>
          </w:p>
        </w:tc>
        <w:tc>
          <w:tcPr>
            <w:tcW w:type="dxa" w:w="12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6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[INSERT: retrieve from official Ramsar Contracting Party list at ramsar.org]</w:t>
            </w:r>
          </w:p>
        </w:tc>
      </w:tr>
      <w:tr>
        <w:tc>
          <w:tcPr>
            <w:tcW w:type="dxa" w:w="25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MedWet Regional Initiative contact</w:t>
            </w:r>
          </w:p>
        </w:tc>
        <w:tc>
          <w:tcPr>
            <w:tcW w:type="dxa" w:w="12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6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[INSERT: retrieve from medwet.org contact directory]</w:t>
            </w:r>
          </w:p>
        </w:tc>
      </w:tr>
      <w:tr>
        <w:tc>
          <w:tcPr>
            <w:tcW w:type="dxa" w:w="25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HAOP — Croatian Environment and Nature Agency</w:t>
            </w:r>
          </w:p>
        </w:tc>
        <w:tc>
          <w:tcPr>
            <w:tcW w:type="dxa" w:w="12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6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HAOP: Radnička cesta 80, Zagreb. haop.hr — confirm current Ramsar desk contact.</w:t>
            </w:r>
          </w:p>
        </w:tc>
      </w:tr>
    </w:tbl>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pStyle w:val="Heading2"/>
        <w:spacing w:before="280" w:after="80"/>
      </w:pPr>
      <w:r>
        <w:rPr>
          <w:rFonts w:ascii="Calibri" w:cs="Calibri" w:eastAsia="Calibri" w:hAnsi="Calibri"/>
          <w:b/>
          <w:bCs/>
          <w:color w:val="0F3460"/>
          <w:sz w:val="26"/>
          <w:szCs w:val="26"/>
        </w:rPr>
        <w:t xml:space="preserve">RSIS Data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1200"/>
        <w:gridCol w:w="5640"/>
      </w:tblGrid>
      <w:tr>
        <w:trPr>
          <w:tblHeader/>
        </w:trPr>
        <w:tc>
          <w:tcPr>
            <w:tcW w:type="dxa" w:w="252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Resource</w:t>
            </w:r>
          </w:p>
        </w:tc>
        <w:tc>
          <w:tcPr>
            <w:tcW w:type="dxa" w:w="120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Status</w:t>
            </w:r>
          </w:p>
        </w:tc>
        <w:tc>
          <w:tcPr>
            <w:tcW w:type="dxa" w:w="564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URL / notes</w:t>
            </w:r>
          </w:p>
        </w:tc>
      </w:tr>
      <w:tr>
        <w:tc>
          <w:tcPr>
            <w:tcW w:type="dxa" w:w="25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RSIS — Ramsar Sites Information Service</w:t>
            </w:r>
          </w:p>
        </w:tc>
        <w:tc>
          <w:tcPr>
            <w:tcW w:type="dxa" w:w="12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6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rsis.ramsar.org — main portal for site data and RSIS exports</w:t>
            </w:r>
          </w:p>
        </w:tc>
      </w:tr>
      <w:tr>
        <w:tc>
          <w:tcPr>
            <w:tcW w:type="dxa" w:w="25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RSIS annotated summary — Croatia 2024</w:t>
            </w:r>
          </w:p>
        </w:tc>
        <w:tc>
          <w:tcPr>
            <w:tcW w:type="dxa" w:w="12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6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Available at rsis.ramsar.org — search Croatia — download annotated summary PDF</w:t>
            </w:r>
          </w:p>
        </w:tc>
      </w:tr>
      <w:tr>
        <w:tc>
          <w:tcPr>
            <w:tcW w:type="dxa" w:w="25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Site 582 — Crna Mlaka</w:t>
            </w:r>
          </w:p>
        </w:tc>
        <w:tc>
          <w:tcPr>
            <w:tcW w:type="dxa" w:w="12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6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rsis.ramsar.org/ris/582 — confirm current RIS version date</w:t>
            </w:r>
          </w:p>
        </w:tc>
      </w:tr>
      <w:tr>
        <w:tc>
          <w:tcPr>
            <w:tcW w:type="dxa" w:w="25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Site 583 — Kopački Rit</w:t>
            </w:r>
          </w:p>
        </w:tc>
        <w:tc>
          <w:tcPr>
            <w:tcW w:type="dxa" w:w="12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6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rsis.ramsar.org/ris/583</w:t>
            </w:r>
          </w:p>
        </w:tc>
      </w:tr>
      <w:tr>
        <w:tc>
          <w:tcPr>
            <w:tcW w:type="dxa" w:w="25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Site 584 — Lonjsko Polje</w:t>
            </w:r>
          </w:p>
        </w:tc>
        <w:tc>
          <w:tcPr>
            <w:tcW w:type="dxa" w:w="12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6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rsis.ramsar.org/ris/584</w:t>
            </w:r>
          </w:p>
        </w:tc>
      </w:tr>
      <w:tr>
        <w:tc>
          <w:tcPr>
            <w:tcW w:type="dxa" w:w="25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Site 587 — Lower Neretva Valley</w:t>
            </w:r>
          </w:p>
        </w:tc>
        <w:tc>
          <w:tcPr>
            <w:tcW w:type="dxa" w:w="12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6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rsis.ramsar.org/ris/587 — endemism data 2018. Check for post-2018 update before pilot.</w:t>
            </w:r>
          </w:p>
        </w:tc>
      </w:tr>
      <w:tr>
        <w:tc>
          <w:tcPr>
            <w:tcW w:type="dxa" w:w="25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Site 869 — Vransko Lake</w:t>
            </w:r>
          </w:p>
        </w:tc>
        <w:tc>
          <w:tcPr>
            <w:tcW w:type="dxa" w:w="12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6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rsis.ramsar.org/ris/869</w:t>
            </w:r>
          </w:p>
        </w:tc>
      </w:tr>
    </w:tbl>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pStyle w:val="Heading2"/>
        <w:spacing w:before="280" w:after="80"/>
      </w:pPr>
      <w:r>
        <w:rPr>
          <w:rFonts w:ascii="Calibri" w:cs="Calibri" w:eastAsia="Calibri" w:hAnsi="Calibri"/>
          <w:b/>
          <w:bCs/>
          <w:color w:val="0F3460"/>
          <w:sz w:val="26"/>
          <w:szCs w:val="26"/>
        </w:rPr>
        <w:t xml:space="preserve">Journal Submission — When Ready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1200"/>
        <w:gridCol w:w="5640"/>
      </w:tblGrid>
      <w:tr>
        <w:trPr>
          <w:tblHeader/>
        </w:trPr>
        <w:tc>
          <w:tcPr>
            <w:tcW w:type="dxa" w:w="252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Journal</w:t>
            </w:r>
          </w:p>
        </w:tc>
        <w:tc>
          <w:tcPr>
            <w:tcW w:type="dxa" w:w="120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Status</w:t>
            </w:r>
          </w:p>
        </w:tc>
        <w:tc>
          <w:tcPr>
            <w:tcW w:type="dxa" w:w="5640"/>
            <w:shd w:fill="1A1A2E" w:val="clear"/>
            <w:tcMar>
              <w:top w:type="dxa" w:w="80"/>
              <w:left w:type="dxa" w:w="110"/>
              <w:bottom w:type="dxa" w:w="80"/>
              <w:right w:type="dxa" w:w="110"/>
            </w:tcMar>
            <w:vAlign w:val="top"/>
          </w:tcPr>
          <w:p>
            <w:pPr>
              <w:spacing w:before="40" w:after="40"/>
            </w:pPr>
            <w:r>
              <w:rPr>
                <w:rFonts w:ascii="Calibri" w:cs="Calibri" w:eastAsia="Calibri" w:hAnsi="Calibri"/>
                <w:b/>
                <w:bCs/>
                <w:i w:val="false"/>
                <w:iCs w:val="false"/>
                <w:color w:val="FFFFFF"/>
                <w:sz w:val="19"/>
                <w:szCs w:val="19"/>
              </w:rPr>
              <w:t xml:space="preserve">URL / notes</w:t>
            </w:r>
          </w:p>
        </w:tc>
      </w:tr>
      <w:tr>
        <w:tc>
          <w:tcPr>
            <w:tcW w:type="dxa" w:w="25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Journal of Applied Ecological Statistics (JAES)</w:t>
            </w:r>
          </w:p>
        </w:tc>
        <w:tc>
          <w:tcPr>
            <w:tcW w:type="dxa" w:w="12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6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[INSERT: journal homepage and submission portal URL — confirm scope and author guidelines]</w:t>
            </w:r>
          </w:p>
        </w:tc>
      </w:tr>
      <w:tr>
        <w:tc>
          <w:tcPr>
            <w:tcW w:type="dxa" w:w="252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Alternative: Ecological Indicators</w:t>
            </w:r>
          </w:p>
        </w:tc>
        <w:tc>
          <w:tcPr>
            <w:tcW w:type="dxa" w:w="120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640"/>
            <w:shd w:fill="FFFFFF"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[INSERT: confirm scope alignment for governance/monitoring methodology papers]</w:t>
            </w:r>
          </w:p>
        </w:tc>
      </w:tr>
      <w:tr>
        <w:tc>
          <w:tcPr>
            <w:tcW w:type="dxa" w:w="252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Alternative: One Ecosystem</w:t>
            </w:r>
          </w:p>
        </w:tc>
        <w:tc>
          <w:tcPr>
            <w:tcW w:type="dxa" w:w="120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[object Object]</w:t>
            </w:r>
          </w:p>
        </w:tc>
        <w:tc>
          <w:tcPr>
            <w:tcW w:type="dxa" w:w="5640"/>
            <w:shd w:fill="F2F6FC" w:val="clear"/>
            <w:tcMar>
              <w:top w:type="dxa" w:w="80"/>
              <w:left w:type="dxa" w:w="110"/>
              <w:bottom w:type="dxa" w:w="80"/>
              <w:right w:type="dxa" w:w="110"/>
            </w:tcMar>
            <w:vAlign w:val="top"/>
          </w:tcPr>
          <w:p>
            <w:pPr>
              <w:spacing w:before="40" w:after="40"/>
            </w:pPr>
            <w:r>
              <w:rPr>
                <w:rFonts w:ascii="Calibri" w:cs="Calibri" w:eastAsia="Calibri" w:hAnsi="Calibri"/>
                <w:b w:val="false"/>
                <w:bCs w:val="false"/>
                <w:i w:val="false"/>
                <w:iCs w:val="false"/>
                <w:color w:val="1A1A1A"/>
                <w:sz w:val="20"/>
                <w:szCs w:val="20"/>
              </w:rPr>
              <w:t xml:space="preserve">pensoft.net/journals/oneeco — open-access option; known for governance and policy-ecology interface papers</w:t>
            </w:r>
          </w:p>
        </w:tc>
      </w:tr>
    </w:tbl>
    <w:p>
      <w:pPr>
        <w:spacing w:before="0" w:after="160" w:line="284"/>
        <w:jc w:val="left"/>
      </w:pPr>
      <w:r>
        <w:rPr>
          <w:rFonts w:ascii="Calibri" w:cs="Calibri" w:eastAsia="Calibri" w:hAnsi="Calibri"/>
          <w:b w:val="false"/>
          <w:bCs w:val="false"/>
          <w:i w:val="false"/>
          <w:iCs w:val="false"/>
          <w:caps w:val="false"/>
          <w:color w:val="1A1A1A"/>
          <w:sz w:val="22"/>
          <w:szCs w:val="22"/>
        </w:rPr>
        <w:t xml:space="preserve"/>
      </w:r>
    </w:p>
    <w:p>
      <w:pPr>
        <w:spacing w:before="0" w:after="320" w:line="284"/>
        <w:jc w:val="left"/>
      </w:pPr>
      <w:r>
        <w:rPr>
          <w:rFonts w:ascii="Calibri" w:cs="Calibri" w:eastAsia="Calibri" w:hAnsi="Calibri"/>
          <w:b w:val="false"/>
          <w:bCs w:val="false"/>
          <w:i w:val="false"/>
          <w:iCs w:val="false"/>
          <w:caps w:val="false"/>
          <w:color w:val="1A1A1A"/>
          <w:sz w:val="22"/>
          <w:szCs w:val="22"/>
        </w:rPr>
        <w:t xml:space="preserve"/>
      </w:r>
    </w:p>
    <w:p>
      <w:pPr>
        <w:pBdr>
          <w:top w:val="single" w:color="C8D4E0" w:sz="4" w:space="8"/>
        </w:pBdr>
        <w:spacing w:before="0" w:after="20"/>
        <w:jc w:val="center"/>
      </w:pPr>
      <w:r>
        <w:rPr>
          <w:rFonts w:ascii="Calibri" w:cs="Calibri" w:eastAsia="Calibri" w:hAnsi="Calibri"/>
          <w:i/>
          <w:iCs/>
          <w:color w:val="2C3E50"/>
          <w:sz w:val="22"/>
          <w:szCs w:val="22"/>
        </w:rPr>
        <w:t xml:space="preserve">Nothing claims more than the artifacts support.</w:t>
      </w:r>
    </w:p>
    <w:p>
      <w:pPr>
        <w:spacing w:before="0" w:after="80" w:line="284"/>
        <w:jc w:val="left"/>
      </w:pPr>
      <w:r>
        <w:rPr>
          <w:rFonts w:ascii="Calibri" w:cs="Calibri" w:eastAsia="Calibri" w:hAnsi="Calibri"/>
          <w:b w:val="false"/>
          <w:bCs w:val="false"/>
          <w:i w:val="false"/>
          <w:iCs w:val="false"/>
          <w:caps w:val="false"/>
          <w:color w:val="1A1A1A"/>
          <w:sz w:val="22"/>
          <w:szCs w:val="22"/>
        </w:rPr>
        <w:t xml:space="preserve"/>
      </w:r>
    </w:p>
    <w:p>
      <w:pPr>
        <w:spacing w:before="0" w:after="16"/>
        <w:jc w:val="center"/>
      </w:pPr>
      <w:r>
        <w:rPr>
          <w:rFonts w:ascii="Calibri" w:cs="Calibri" w:eastAsia="Calibri" w:hAnsi="Calibri"/>
          <w:color w:val="7A8A99"/>
          <w:sz w:val="19"/>
          <w:szCs w:val="19"/>
        </w:rPr>
        <w:t xml:space="preserve">Peter Higgins  ·  Rogue Wave Audio  ·  Markham, Ontario  ·  roguewaveaudio.com</w:t>
      </w:r>
    </w:p>
    <w:p>
      <w:pPr>
        <w:spacing w:before="0" w:after="16"/>
        <w:jc w:val="center"/>
      </w:pPr>
      <w:r>
        <w:rPr>
          <w:rFonts w:ascii="Calibri" w:cs="Calibri" w:eastAsia="Calibri" w:hAnsi="Calibri"/>
          <w:color w:val="7A8A99"/>
          <w:sz w:val="19"/>
          <w:szCs w:val="19"/>
        </w:rPr>
        <w:t xml:space="preserve">HUF v1.2.0  ·  MIT License  ·  February 2026</w:t>
      </w:r>
    </w:p>
    <w:p>
      <w:pPr>
        <w:spacing w:before="0" w:after="0"/>
        <w:jc w:val="center"/>
      </w:pPr>
      <w:r>
        <w:rPr>
          <w:rFonts w:ascii="Calibri" w:cs="Calibri" w:eastAsia="Calibri" w:hAnsi="Calibri"/>
          <w:color w:val="7A8A99"/>
          <w:sz w:val="18"/>
          <w:szCs w:val="18"/>
        </w:rPr>
        <w:t xml:space="preserve">Collective contributions: Claude · Copilot · Gemini · ChatGPT · Grok</w:t>
      </w:r>
    </w:p>
    <w:sectPr>
      <w:headerReference w:type="default" r:id="rId6"/>
      <w:footerReference w:type="default" r:id="rId7"/>
      <w:pgSz w:w="11906" w:h="16838" w:orient="portrait"/>
      <w:pgMar w:top="1260" w:right="120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D4E0" w:sz="2" w:space="4"/>
      </w:pBdr>
      <w:tabs>
        <w:tab w:val="right" w:pos="9360"/>
      </w:tabs>
      <w:spacing w:before="0" w:after="0"/>
    </w:pPr>
    <w:r>
      <w:rPr>
        <w:rFonts w:ascii="Calibri" w:cs="Calibri" w:eastAsia="Calibri" w:hAnsi="Calibri"/>
        <w:color w:val="7A8A99"/>
        <w:sz w:val="16"/>
        <w:szCs w:val="16"/>
      </w:rPr>
      <w:t xml:space="preserve">Rogue Wave Audio  ·  roguewaveaudio.com</w:t>
    </w:r>
    <w:r>
      <w:rPr>
        <w:rFonts w:ascii="Calibri" w:cs="Calibri" w:eastAsia="Calibri" w:hAnsi="Calibri"/>
        <w:sz w:val="16"/>
        <w:szCs w:val="16"/>
      </w:rPr>
      <w:t xml:space="preserve">	</w:t>
    </w:r>
    <w:r>
      <w:rPr>
        <w:rFonts w:ascii="Calibri" w:cs="Calibri" w:eastAsia="Calibri" w:hAnsi="Calibri"/>
        <w:color w:val="7A8A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4E0" w:sz="4" w:space="6"/>
      </w:pBdr>
      <w:spacing w:before="0" w:after="0"/>
    </w:pPr>
    <w:r>
      <w:rPr>
        <w:rFonts w:ascii="Calibri" w:cs="Calibri" w:eastAsia="Calibri" w:hAnsi="Calibri"/>
        <w:caps/>
        <w:color w:val="7A8A99"/>
        <w:sz w:val="16"/>
        <w:szCs w:val="16"/>
      </w:rPr>
      <w:t xml:space="preserve">RAMSAR CROATIA PILOT  ·  COMPLETE HANDOFF PACKAGE</w:t>
    </w:r>
    <w:r>
      <w:rPr>
        <w:rFonts w:ascii="Calibri" w:cs="Calibri" w:eastAsia="Calibri" w:hAnsi="Calibri"/>
        <w:color w:val="7A8A99"/>
        <w:sz w:val="16"/>
        <w:szCs w:val="16"/>
      </w:rPr>
      <w:t xml:space="preserve">   ·   HUF v1.2.0  ·  February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00"/>
      <w:outlineLvl w:val="0"/>
    </w:pPr>
    <w:rPr>
      <w:rFonts w:ascii="Calibri" w:cs="Calibri" w:eastAsia="Calibri" w:hAnsi="Calibri"/>
      <w:b/>
      <w:bCs/>
      <w:sz w:val="32"/>
      <w:szCs w:val="32"/>
    </w:rPr>
  </w:style>
  <w:style w:type="paragraph" w:styleId="Heading2">
    <w:name w:val="Heading 2"/>
    <w:basedOn w:val="Normal"/>
    <w:next w:val="Normal"/>
    <w:qFormat/>
    <w:pPr>
      <w:spacing w:before="280" w:after="80"/>
      <w:outlineLvl w:val="1"/>
    </w:pPr>
    <w:rPr>
      <w:rFonts w:ascii="Calibri" w:cs="Calibri" w:eastAsia="Calibri" w:hAnsi="Calibri"/>
      <w:b/>
      <w:bCs/>
      <w:sz w:val="26"/>
      <w:szCs w:val="26"/>
    </w:rPr>
  </w:style>
  <w:style w:type="paragraph" w:styleId="Heading3">
    <w:name w:val="Heading 3"/>
    <w:basedOn w:val="Normal"/>
    <w:next w:val="Normal"/>
    <w:qFormat/>
    <w:pPr>
      <w:spacing w:before="200" w:after="70"/>
      <w:outlineLvl w:val="2"/>
    </w:pPr>
    <w:rPr>
      <w:rFonts w:ascii="Calibri" w:cs="Calibri" w:eastAsia="Calibri" w:hAnsi="Calibri"/>
      <w:b/>
      <w:bCs/>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2026-02-28T22:29:08.586Z</dcterms:created>
  <dcterms:modified xsi:type="dcterms:W3CDTF">2026-02-28T22:29:08.588Z</dcterms:modified>
</cp:coreProperties>
</file>

<file path=docProps/custom.xml><?xml version="1.0" encoding="utf-8"?>
<Properties xmlns="http://schemas.openxmlformats.org/officeDocument/2006/custom-properties" xmlns:vt="http://schemas.openxmlformats.org/officeDocument/2006/docPropsVTypes"/>
</file>