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CODES: RMS, PRIMER | ART: CM, AS, TR, EB | EVID:E1 | POSTURE:OP | WEIGHTS: OP=0.80 TOOL=0.20 PEER=0.00 | CAP: OP_MIN=0.51 TOOL_MAX=0.49 | CANON:notes/current_documents/staged/HUF.DRAFT.PARTNER.PRIMER.RAMSAR_CONTACT_PRIMER_V12/ramsar_contact_primer_v12.docx</w:t>
      </w:r>
    </w:p>
    <w:p>
      <w:r>
        <w:t>HUF-DOC: HUF.DRAFT.PARTNER.PRIMER.RAMSAR_CONTACT_PRIMER_V12 | HUF:1.1.8 | DOC:v12 | STATUS:draft | LANE:draft | RO:Peter Higgins</w:t>
      </w:r>
    </w:p>
    <w:p/>
    <w:p>
      <w:pPr>
        <w:spacing w:before="0" w:after="120" w:line="276"/>
        <w:jc w:val="both"/>
      </w:pPr>
      <w:r>
        <w:rPr>
          <w:rFonts w:ascii="Georgia" w:cs="Georgia" w:eastAsia="Georgia" w:hAnsi="Georgia"/>
          <w:b w:val="false"/>
          <w:bCs w:val="false"/>
          <w:i w:val="false"/>
          <w:iCs w:val="false"/>
          <w:color w:val="000000"/>
          <w:sz w:val="24"/>
          <w:szCs w:val="24"/>
        </w:rPr>
        <w:t xml:space="preserve"/>
      </w:r>
    </w:p>
    <w:p>
      <w:pPr>
        <w:spacing w:before="0" w:after="40" w:line="276"/>
        <w:jc w:val="center"/>
      </w:pPr>
      <w:r>
        <w:rPr>
          <w:rFonts w:ascii="Arial" w:cs="Arial" w:eastAsia="Arial" w:hAnsi="Arial"/>
          <w:b w:val="false"/>
          <w:bCs w:val="false"/>
          <w:i/>
          <w:iCs/>
          <w:color w:val="666666"/>
          <w:sz w:val="20"/>
          <w:szCs w:val="20"/>
        </w:rPr>
        <w:t xml:space="preserve">A Briefing for Internal Discussion</w:t>
      </w:r>
    </w:p>
    <w:p>
      <w:pPr>
        <w:spacing w:before="0" w:after="80" w:line="276"/>
        <w:jc w:val="center"/>
      </w:pPr>
      <w:r>
        <w:rPr>
          <w:rFonts w:ascii="Arial" w:cs="Arial" w:eastAsia="Arial" w:hAnsi="Arial"/>
          <w:b/>
          <w:bCs/>
          <w:i w:val="false"/>
          <w:iCs w:val="false"/>
          <w:color w:val="1A3A2A"/>
          <w:sz w:val="32"/>
          <w:szCs w:val="32"/>
        </w:rPr>
        <w:t xml:space="preserve">Introducing the Higgins Unity Framework</w:t>
      </w:r>
    </w:p>
    <w:p>
      <w:pPr>
        <w:spacing w:before="0" w:after="20" w:line="276"/>
        <w:jc w:val="center"/>
      </w:pPr>
      <w:r>
        <w:rPr>
          <w:rFonts w:ascii="Arial" w:cs="Arial" w:eastAsia="Arial" w:hAnsi="Arial"/>
          <w:b w:val="false"/>
          <w:bCs w:val="false"/>
          <w:i/>
          <w:iCs/>
          <w:color w:val="2A5A3A"/>
          <w:sz w:val="28"/>
          <w:szCs w:val="28"/>
        </w:rPr>
        <w:t xml:space="preserve">A decision-support layer for portfolio coherence</w:t>
      </w:r>
    </w:p>
    <w:p>
      <w:pPr>
        <w:spacing w:before="0" w:after="320" w:line="276"/>
        <w:jc w:val="center"/>
      </w:pPr>
      <w:r>
        <w:rPr>
          <w:rFonts w:ascii="Arial" w:cs="Arial" w:eastAsia="Arial" w:hAnsi="Arial"/>
          <w:b w:val="false"/>
          <w:bCs w:val="false"/>
          <w:i/>
          <w:iCs/>
          <w:color w:val="666666"/>
          <w:sz w:val="24"/>
          <w:szCs w:val="24"/>
        </w:rPr>
        <w:t xml:space="preserve">What it shows · What it adds to existing tools · What we are asking you to consider</w:t>
      </w:r>
    </w:p>
    <w:p>
      <w:pPr>
        <w:spacing w:before="0" w:after="120" w:line="276"/>
        <w:jc w:val="both"/>
      </w:pPr>
      <w:r>
        <w:rPr>
          <w:rFonts w:ascii="Georgia" w:cs="Georgia" w:eastAsia="Georgia" w:hAnsi="Georgia"/>
          <w:b w:val="false"/>
          <w:bCs w:val="false"/>
          <w:i w:val="false"/>
          <w:iCs w:val="false"/>
          <w:color w:val="000000"/>
          <w:sz w:val="24"/>
          <w:szCs w:val="24"/>
        </w:rPr>
        <w:t xml:space="preserve"/>
      </w:r>
    </w:p>
    <w:p>
      <w:pPr>
        <w:pBdr>
          <w:left w:val="single" w:color="2A5A3A" w:sz="8" w:space="12"/>
        </w:pBdr>
        <w:spacing w:before="120" w:after="120" w:line="276"/>
        <w:ind w:left="360" w:right="360"/>
        <w:jc w:val="both"/>
      </w:pPr>
      <w:r>
        <w:rPr>
          <w:rFonts w:ascii="Arial" w:cs="Arial" w:eastAsia="Arial" w:hAnsi="Arial"/>
          <w:b w:val="false"/>
          <w:bCs w:val="false"/>
          <w:i/>
          <w:iCs/>
          <w:color w:val="2A5A3A"/>
          <w:sz w:val="26"/>
          <w:szCs w:val="26"/>
        </w:rPr>
        <w:t xml:space="preserve">Every reporting cycle, a National Report may present acceptable site-level results while underlying patterns of monitoring effort or resource allocation shift toward a small number of high-visibility sites. The Higgins Unity Framework (HUF) provides a way to make such cross-cycle changes visible in a consistent, traceable format.</w:t>
      </w:r>
    </w:p>
    <w:p>
      <w:pPr>
        <w:spacing w:before="0" w:after="120" w:line="276"/>
        <w:jc w:val="both"/>
      </w:pPr>
      <w:r>
        <w:rPr>
          <w:rFonts w:ascii="Georgia" w:cs="Georgia" w:eastAsia="Georgia" w:hAnsi="Georgia"/>
          <w:b w:val="false"/>
          <w:bCs w:val="false"/>
          <w:i w:val="false"/>
          <w:iCs w:val="false"/>
          <w:color w:val="000000"/>
          <w:sz w:val="24"/>
          <w:szCs w:val="24"/>
        </w:rPr>
        <w:t xml:space="preserve"/>
      </w:r>
    </w:p>
    <w:p>
      <w:pPr>
        <w:pStyle w:val="Heading1"/>
        <w:pBdr>
          <w:bottom w:val="single" w:color="1A3A2A" w:sz="4" w:space="6"/>
        </w:pBdr>
        <w:spacing w:before="360" w:after="160"/>
      </w:pPr>
      <w:r>
        <w:rPr>
          <w:rFonts w:ascii="Arial" w:cs="Arial" w:eastAsia="Arial" w:hAnsi="Arial"/>
          <w:b/>
          <w:bCs/>
          <w:i w:val="false"/>
          <w:iCs w:val="false"/>
          <w:color w:val="1A3A2A"/>
          <w:sz w:val="32"/>
          <w:szCs w:val="32"/>
        </w:rPr>
        <w:t xml:space="preserve">The drift that does not appear in any single report</w:t>
      </w:r>
    </w:p>
    <w:p>
      <w:pPr>
        <w:spacing w:before="0" w:after="160" w:line="276"/>
        <w:jc w:val="both"/>
      </w:pPr>
      <w:r>
        <w:rPr>
          <w:rFonts w:ascii="Georgia" w:cs="Georgia" w:eastAsia="Georgia" w:hAnsi="Georgia"/>
          <w:b w:val="false"/>
          <w:bCs w:val="false"/>
          <w:i w:val="false"/>
          <w:iCs w:val="false"/>
          <w:color w:val="000000"/>
          <w:sz w:val="24"/>
          <w:szCs w:val="24"/>
        </w:rPr>
        <w:t xml:space="preserve">Contracting Parties submit National Reports every three years. Site managers complete RIS forms and METT scorecards. These instruments provide information on site-level management. The challenge arises when changes occur not at the site level, but in the distribution of attention across a portfolio.</w:t>
      </w:r>
    </w:p>
    <w:p>
      <w:pPr>
        <w:spacing w:before="0" w:after="120" w:line="276"/>
        <w:jc w:val="both"/>
      </w:pPr>
      <w:r>
        <w:rPr>
          <w:rFonts w:ascii="Georgia" w:cs="Georgia" w:eastAsia="Georgia" w:hAnsi="Georgia"/>
          <w:b w:val="false"/>
          <w:bCs w:val="false"/>
          <w:i w:val="false"/>
          <w:iCs w:val="false"/>
          <w:color w:val="000000"/>
          <w:sz w:val="24"/>
          <w:szCs w:val="24"/>
        </w:rPr>
        <w:t xml:space="preserve"/>
      </w:r>
    </w:p>
    <w:p>
      <w:pPr>
        <w:spacing w:before="0" w:after="160" w:line="276"/>
        <w:jc w:val="both"/>
      </w:pPr>
      <w:r>
        <w:rPr>
          <w:rFonts w:ascii="Georgia" w:cs="Georgia" w:eastAsia="Georgia" w:hAnsi="Georgia"/>
          <w:b w:val="false"/>
          <w:bCs w:val="false"/>
          <w:i w:val="false"/>
          <w:iCs w:val="false"/>
          <w:color w:val="000000"/>
          <w:sz w:val="24"/>
          <w:szCs w:val="24"/>
        </w:rPr>
        <w:t xml:space="preserve">Many consequential shifts are gradual: increased focus on transboundary or high-profile wetlands, reduced monitoring in lower-visibility sites with high ecological value, or incremental reallocation of resources without a corresponding policy decision. Each reporting cycle may appear consistent on its own. The pattern becomes visible only when viewed across cycles.</w:t>
      </w:r>
    </w:p>
    <w:p>
      <w:pPr>
        <w:spacing w:before="0" w:after="120" w:line="276"/>
        <w:jc w:val="both"/>
      </w:pPr>
      <w:r>
        <w:rPr>
          <w:rFonts w:ascii="Georgia" w:cs="Georgia" w:eastAsia="Georgia" w:hAnsi="Georgia"/>
          <w:b w:val="false"/>
          <w:bCs w:val="false"/>
          <w:i w:val="false"/>
          <w:iCs w:val="false"/>
          <w:color w:val="000000"/>
          <w:sz w:val="24"/>
          <w:szCs w:val="24"/>
        </w:rPr>
        <w:t xml:space="preserve"/>
      </w:r>
    </w:p>
    <w:p>
      <w:pPr>
        <w:spacing w:before="0" w:after="160" w:line="276"/>
        <w:jc w:val="both"/>
      </w:pPr>
      <w:r>
        <w:rPr>
          <w:rFonts w:ascii="Georgia" w:cs="Georgia" w:eastAsia="Georgia" w:hAnsi="Georgia"/>
          <w:b w:val="false"/>
          <w:bCs w:val="false"/>
          <w:i w:val="false"/>
          <w:iCs w:val="false"/>
          <w:color w:val="000000"/>
          <w:sz w:val="24"/>
          <w:szCs w:val="24"/>
        </w:rPr>
        <w:t xml:space="preserve">Ramsar guidance asks Parties to report adverse change in ecological character and to use traceable indicators that support governance accountability.</w:t>
      </w:r>
    </w:p>
    <w:p>
      <w:pPr>
        <w:spacing w:before="0" w:after="120" w:line="276"/>
        <w:jc w:val="both"/>
      </w:pPr>
      <w:r>
        <w:rPr>
          <w:rFonts w:ascii="Georgia" w:cs="Georgia" w:eastAsia="Georgia" w:hAnsi="Georgia"/>
          <w:b w:val="false"/>
          <w:bCs w:val="false"/>
          <w:i w:val="false"/>
          <w:iCs w:val="false"/>
          <w:color w:val="000000"/>
          <w:sz w:val="24"/>
          <w:szCs w:val="24"/>
        </w:rPr>
        <w:t xml:space="preserve"/>
      </w:r>
    </w:p>
    <w:p>
      <w:pPr>
        <w:pBdr>
          <w:left w:val="single" w:color="2A5A3A" w:sz="8" w:space="12"/>
        </w:pBdr>
        <w:spacing w:before="120" w:after="120" w:line="276"/>
        <w:ind w:left="360" w:right="360"/>
        <w:jc w:val="both"/>
      </w:pPr>
      <w:r>
        <w:rPr>
          <w:rFonts w:ascii="Arial" w:cs="Arial" w:eastAsia="Arial" w:hAnsi="Arial"/>
          <w:b w:val="false"/>
          <w:bCs w:val="false"/>
          <w:i/>
          <w:iCs/>
          <w:color w:val="2A5A3A"/>
          <w:sz w:val="26"/>
          <w:szCs w:val="26"/>
        </w:rPr>
        <w:t xml:space="preserve">The issue is not sudden decline. It is slow reweighting that remains unreported because no mechanism currently tracks it.</w:t>
      </w:r>
    </w:p>
    <w:p>
      <w:pPr>
        <w:spacing w:before="0" w:after="120" w:line="276"/>
        <w:jc w:val="both"/>
      </w:pPr>
      <w:r>
        <w:rPr>
          <w:rFonts w:ascii="Georgia" w:cs="Georgia" w:eastAsia="Georgia" w:hAnsi="Georgia"/>
          <w:b w:val="false"/>
          <w:bCs w:val="false"/>
          <w:i w:val="false"/>
          <w:iCs w:val="false"/>
          <w:color w:val="000000"/>
          <w:sz w:val="24"/>
          <w:szCs w:val="24"/>
        </w:rPr>
        <w:t xml:space="preserve"/>
      </w:r>
    </w:p>
    <w:p>
      <w:pPr>
        <w:pStyle w:val="Heading1"/>
        <w:pBdr>
          <w:bottom w:val="single" w:color="1A3A2A" w:sz="4" w:space="6"/>
        </w:pBdr>
        <w:spacing w:before="360" w:after="160"/>
      </w:pPr>
      <w:r>
        <w:rPr>
          <w:rFonts w:ascii="Arial" w:cs="Arial" w:eastAsia="Arial" w:hAnsi="Arial"/>
          <w:b/>
          <w:bCs/>
          <w:i w:val="false"/>
          <w:iCs w:val="false"/>
          <w:color w:val="1A3A2A"/>
          <w:sz w:val="32"/>
          <w:szCs w:val="32"/>
        </w:rPr>
        <w:t xml:space="preserve">What this framework adds to tools you already use</w:t>
      </w:r>
    </w:p>
    <w:p>
      <w:pPr>
        <w:spacing w:before="0" w:after="160" w:line="276"/>
        <w:jc w:val="both"/>
      </w:pPr>
      <w:r>
        <w:rPr>
          <w:rFonts w:ascii="Georgia" w:cs="Georgia" w:eastAsia="Georgia" w:hAnsi="Georgia"/>
          <w:b w:val="false"/>
          <w:bCs w:val="false"/>
          <w:i w:val="false"/>
          <w:iCs w:val="false"/>
          <w:color w:val="000000"/>
          <w:sz w:val="24"/>
          <w:szCs w:val="24"/>
        </w:rPr>
        <w:t xml:space="preserve">The Higgins Unity Framework is a traceability layer. It does not replace METT, RAPPAM, or the Site Assessment Tool (SAT). It uses outputs already produced — site scores, biodiversity data, area, endemism rates, ecosystem service values — and organises them into a shared portfolio view in which each site's proportional share is explicit and comparable across cycles.</w:t>
      </w:r>
    </w:p>
    <w:p>
      <w:pPr>
        <w:spacing w:before="0" w:after="120" w:line="276"/>
        <w:jc w:val="both"/>
      </w:pPr>
      <w:r>
        <w:rPr>
          <w:rFonts w:ascii="Georgia" w:cs="Georgia" w:eastAsia="Georgia" w:hAnsi="Georgia"/>
          <w:b w:val="false"/>
          <w:bCs w:val="false"/>
          <w:i w:val="false"/>
          <w:iCs w:val="false"/>
          <w:color w:val="000000"/>
          <w:sz w:val="24"/>
          <w:szCs w:val="24"/>
        </w:rPr>
        <w:t xml:space="preserve"/>
      </w:r>
    </w:p>
    <w:p>
      <w:pPr>
        <w:spacing w:before="0" w:after="160" w:line="276"/>
        <w:jc w:val="both"/>
      </w:pPr>
      <w:r>
        <w:rPr>
          <w:rFonts w:ascii="Georgia" w:cs="Georgia" w:eastAsia="Georgia" w:hAnsi="Georgia"/>
          <w:b w:val="false"/>
          <w:bCs w:val="false"/>
          <w:i w:val="false"/>
          <w:iCs w:val="false"/>
          <w:color w:val="000000"/>
          <w:sz w:val="24"/>
          <w:szCs w:val="24"/>
        </w:rPr>
        <w:t xml:space="preserve">HUF does not determine which ecological metrics are most important. Those decisions remain with national scientific teams. The framework records the weightings those teams apply and preserves them across reporting cycles. When portfolio shares shift, the shift is visible and attributable. Administrative pressures are not altered; their effects become legible.</w:t>
      </w:r>
    </w:p>
    <w:p>
      <w:pPr>
        <w:spacing w:before="0" w:after="120" w:line="276"/>
        <w:jc w:val="both"/>
      </w:pPr>
      <w:r>
        <w:rPr>
          <w:rFonts w:ascii="Georgia" w:cs="Georgia" w:eastAsia="Georgia" w:hAnsi="Georgia"/>
          <w:b w:val="false"/>
          <w:bCs w:val="false"/>
          <w:i w:val="false"/>
          <w:iCs w:val="false"/>
          <w:color w:val="000000"/>
          <w:sz w:val="24"/>
          <w:szCs w:val="24"/>
        </w:rPr>
        <w:t xml:space="preserve"/>
      </w:r>
    </w:p>
    <w:p>
      <w:pPr>
        <w:spacing w:before="0" w:after="160" w:line="276"/>
        <w:jc w:val="both"/>
      </w:pPr>
      <w:r>
        <w:rPr>
          <w:rFonts w:ascii="Georgia" w:cs="Georgia" w:eastAsia="Georgia" w:hAnsi="Georgia"/>
          <w:b w:val="false"/>
          <w:bCs w:val="false"/>
          <w:i w:val="false"/>
          <w:iCs w:val="false"/>
          <w:color w:val="000000"/>
          <w:sz w:val="24"/>
          <w:szCs w:val="24"/>
        </w:rPr>
        <w:t xml:space="preserve">In practical terms, the framework distinguishes between intentional reweighting — a documented policy or management decision — and silent reweighting — a shift occurring without a recorded decision. Whether a portfolio is concentrating or fragmenting, the framework detects both directions of change and records the decision context, converting ambiguity into clear, actionable transparency.</w:t>
      </w:r>
    </w:p>
    <w:p>
      <w:pPr>
        <w:spacing w:before="0" w:after="120" w:line="276"/>
        <w:jc w:val="both"/>
      </w:pPr>
      <w:r>
        <w:rPr>
          <w:rFonts w:ascii="Georgia" w:cs="Georgia" w:eastAsia="Georgia" w:hAnsi="Georgia"/>
          <w:b w:val="false"/>
          <w:bCs w:val="false"/>
          <w:i w:val="false"/>
          <w:iCs w:val="false"/>
          <w:color w:val="000000"/>
          <w:sz w:val="24"/>
          <w:szCs w:val="24"/>
        </w:rPr>
        <w:t xml:space="preserve"/>
      </w:r>
    </w:p>
    <w:p>
      <w:pPr>
        <w:pBdr>
          <w:left w:val="single" w:color="2A5A3A" w:sz="8" w:space="12"/>
        </w:pBdr>
        <w:spacing w:before="120" w:after="120" w:line="276"/>
        <w:ind w:left="360" w:right="360"/>
        <w:jc w:val="both"/>
      </w:pPr>
      <w:r>
        <w:rPr>
          <w:rFonts w:ascii="Arial" w:cs="Arial" w:eastAsia="Arial" w:hAnsi="Arial"/>
          <w:b w:val="false"/>
          <w:bCs w:val="false"/>
          <w:i/>
          <w:iCs/>
          <w:color w:val="2A5A3A"/>
          <w:sz w:val="26"/>
          <w:szCs w:val="26"/>
        </w:rPr>
        <w:t xml:space="preserve">METT does exactly what it was designed to do. So does this framework — for a different question.</w:t>
      </w:r>
    </w:p>
    <w:p>
      <w:pPr>
        <w:spacing w:before="0" w:after="120" w:line="276"/>
        <w:jc w:val="both"/>
      </w:pPr>
      <w:r>
        <w:rPr>
          <w:rFonts w:ascii="Georgia" w:cs="Georgia" w:eastAsia="Georgia" w:hAnsi="Georgia"/>
          <w:b w:val="false"/>
          <w:bCs w:val="false"/>
          <w:i w:val="false"/>
          <w:iCs w:val="false"/>
          <w:color w:val="000000"/>
          <w:sz w:val="24"/>
          <w:szCs w:val="24"/>
        </w:rPr>
        <w:t xml:space="preserve"/>
      </w:r>
    </w:p>
    <w:p>
      <w:pPr>
        <w:spacing w:before="0" w:after="160" w:line="276"/>
        <w:jc w:val="both"/>
      </w:pPr>
      <w:r>
        <w:rPr>
          <w:rFonts w:ascii="Georgia" w:cs="Georgia" w:eastAsia="Georgia" w:hAnsi="Georgia"/>
          <w:b w:val="false"/>
          <w:bCs w:val="false"/>
          <w:i w:val="false"/>
          <w:iCs w:val="false"/>
          <w:color w:val="000000"/>
          <w:sz w:val="24"/>
          <w:szCs w:val="24"/>
        </w:rPr>
        <w:t xml:space="preserve">METT, RAPPAM, and SAT assess management quality at a point in time. They do so effectively. The gap HUF addresses is different: whether the distribution of attention across a portfolio remains proportional over time. This is outside the scope of existing tools.</w:t>
      </w:r>
    </w:p>
    <w:p>
      <w:pPr>
        <w:spacing w:before="0" w:after="120" w:line="276"/>
        <w:jc w:val="both"/>
      </w:pPr>
      <w:r>
        <w:rPr>
          <w:rFonts w:ascii="Georgia" w:cs="Georgia" w:eastAsia="Georgia" w:hAnsi="Georgia"/>
          <w:b w:val="false"/>
          <w:bCs w:val="false"/>
          <w:i w:val="false"/>
          <w:iCs w:val="false"/>
          <w:color w:val="000000"/>
          <w:sz w:val="24"/>
          <w:szCs w:val="24"/>
        </w:rPr>
        <w:t xml:space="preserve"/>
      </w:r>
    </w:p>
    <w:p>
      <w:pPr>
        <w:spacing w:before="0" w:after="160" w:line="276"/>
        <w:jc w:val="both"/>
      </w:pPr>
      <w:r>
        <w:rPr>
          <w:rFonts w:ascii="Georgia" w:cs="Georgia" w:eastAsia="Georgia" w:hAnsi="Georgia"/>
          <w:b w:val="false"/>
          <w:bCs w:val="false"/>
          <w:i w:val="false"/>
          <w:iCs w:val="false"/>
          <w:color w:val="000000"/>
          <w:sz w:val="24"/>
          <w:szCs w:val="24"/>
        </w:rPr>
        <w:t xml:space="preserve">The framework's outputs are designed to attach to documents Parties already produce:</w:t>
      </w:r>
    </w:p>
    <w:p>
      <w:pPr>
        <w:spacing w:before="0" w:after="120" w:line="276"/>
        <w:jc w:val="both"/>
      </w:pPr>
      <w:r>
        <w:rPr>
          <w:rFonts w:ascii="Georgia" w:cs="Georgia" w:eastAsia="Georgia" w:hAnsi="Georgia"/>
          <w:b w:val="false"/>
          <w:bCs w:val="false"/>
          <w:i w:val="false"/>
          <w:iCs w:val="false"/>
          <w:color w:val="000000"/>
          <w:sz w:val="24"/>
          <w:szCs w:val="24"/>
        </w:rPr>
        <w:t xml:space="preserve"/>
      </w:r>
    </w:p>
    <w:p>
      <w:pPr>
        <w:pStyle w:val="ListParagraph"/>
        <w:numPr>
          <w:ilvl w:val="0"/>
          <w:numId w:val="1"/>
        </w:numPr>
        <w:spacing w:before="40" w:after="40" w:line="260"/>
        <w:ind w:left="720" w:hanging="360"/>
      </w:pPr>
      <w:r>
        <w:rPr>
          <w:rFonts w:ascii="Georgia" w:cs="Georgia" w:eastAsia="Georgia" w:hAnsi="Georgia"/>
          <w:b w:val="false"/>
          <w:bCs w:val="false"/>
          <w:i w:val="false"/>
          <w:iCs w:val="false"/>
          <w:color w:val="000000"/>
          <w:sz w:val="24"/>
          <w:szCs w:val="24"/>
        </w:rPr>
        <w:t xml:space="preserve">Portfolio share table → allocation view suitable for National Report annexes</w:t>
      </w:r>
    </w:p>
    <w:p>
      <w:pPr>
        <w:pStyle w:val="ListParagraph"/>
        <w:numPr>
          <w:ilvl w:val="0"/>
          <w:numId w:val="1"/>
        </w:numPr>
        <w:spacing w:before="40" w:after="40" w:line="260"/>
        <w:ind w:left="720" w:hanging="360"/>
      </w:pPr>
      <w:r>
        <w:rPr>
          <w:rFonts w:ascii="Georgia" w:cs="Georgia" w:eastAsia="Georgia" w:hAnsi="Georgia"/>
          <w:b w:val="false"/>
          <w:bCs w:val="false"/>
          <w:i w:val="false"/>
          <w:iCs w:val="false"/>
          <w:color w:val="000000"/>
          <w:sz w:val="24"/>
          <w:szCs w:val="24"/>
        </w:rPr>
        <w:t xml:space="preserve">Trace report → line-item explanation of why shares sit where they do</w:t>
      </w:r>
    </w:p>
    <w:p>
      <w:pPr>
        <w:pStyle w:val="ListParagraph"/>
        <w:numPr>
          <w:ilvl w:val="0"/>
          <w:numId w:val="1"/>
        </w:numPr>
        <w:spacing w:before="40" w:after="40" w:line="260"/>
        <w:ind w:left="720" w:hanging="360"/>
      </w:pPr>
      <w:r>
        <w:rPr>
          <w:rFonts w:ascii="Georgia" w:cs="Georgia" w:eastAsia="Georgia" w:hAnsi="Georgia"/>
          <w:b w:val="false"/>
          <w:bCs w:val="false"/>
          <w:i w:val="false"/>
          <w:iCs w:val="false"/>
          <w:color w:val="000000"/>
          <w:sz w:val="24"/>
          <w:szCs w:val="24"/>
        </w:rPr>
        <w:t xml:space="preserve">Portfolio change log → evidence distinguishing deliberate policy shifts from unexplained movement</w:t>
      </w:r>
    </w:p>
    <w:p>
      <w:pPr>
        <w:pStyle w:val="ListParagraph"/>
        <w:numPr>
          <w:ilvl w:val="0"/>
          <w:numId w:val="1"/>
        </w:numPr>
        <w:spacing w:before="40" w:after="40" w:line="260"/>
        <w:ind w:left="720" w:hanging="360"/>
      </w:pPr>
      <w:r>
        <w:rPr>
          <w:rFonts w:ascii="Georgia" w:cs="Georgia" w:eastAsia="Georgia" w:hAnsi="Georgia"/>
          <w:b w:val="false"/>
          <w:bCs w:val="false"/>
          <w:i w:val="false"/>
          <w:iCs w:val="false"/>
          <w:color w:val="000000"/>
          <w:sz w:val="24"/>
          <w:szCs w:val="24"/>
        </w:rPr>
        <w:t xml:space="preserve">Coverage record → documentation of what received reduced focus and the criteria involved</w:t>
      </w:r>
    </w:p>
    <w:p>
      <w:pPr>
        <w:spacing w:before="0" w:after="120" w:line="276"/>
        <w:jc w:val="both"/>
      </w:pPr>
      <w:r>
        <w:rPr>
          <w:rFonts w:ascii="Georgia" w:cs="Georgia" w:eastAsia="Georgia" w:hAnsi="Georgia"/>
          <w:b w:val="false"/>
          <w:bCs w:val="false"/>
          <w:i w:val="false"/>
          <w:iCs w:val="false"/>
          <w:color w:val="000000"/>
          <w:sz w:val="24"/>
          <w:szCs w:val="24"/>
        </w:rPr>
        <w:t xml:space="preserve"/>
      </w:r>
    </w:p>
    <w:p>
      <w:pPr>
        <w:spacing w:before="0" w:after="160" w:line="276"/>
        <w:jc w:val="both"/>
      </w:pPr>
      <w:r>
        <w:rPr>
          <w:rFonts w:ascii="Georgia" w:cs="Georgia" w:eastAsia="Georgia" w:hAnsi="Georgia"/>
          <w:b w:val="false"/>
          <w:bCs w:val="false"/>
          <w:i w:val="false"/>
          <w:iCs w:val="false"/>
          <w:color w:val="000000"/>
          <w:sz w:val="24"/>
          <w:szCs w:val="24"/>
        </w:rPr>
        <w:t xml:space="preserve">These are standard CSV outputs. They attach to existing reporting structures. They do not require site managers to change how they work.</w:t>
      </w:r>
    </w:p>
    <w:p>
      <w:pPr>
        <w:spacing w:before="0" w:after="120" w:line="276"/>
        <w:jc w:val="both"/>
      </w:pPr>
      <w:r>
        <w:rPr>
          <w:rFonts w:ascii="Georgia" w:cs="Georgia" w:eastAsia="Georgia" w:hAnsi="Georgia"/>
          <w:b w:val="false"/>
          <w:bCs w:val="false"/>
          <w:i w:val="false"/>
          <w:iCs w:val="false"/>
          <w:color w:val="000000"/>
          <w:sz w:val="24"/>
          <w:szCs w:val="24"/>
        </w:rPr>
        <w:t xml:space="preserve"/>
      </w:r>
    </w:p>
    <w:p>
      <w:pPr>
        <w:spacing w:before="0" w:after="160" w:line="276"/>
        <w:jc w:val="both"/>
      </w:pPr>
      <w:r>
        <w:rPr>
          <w:rFonts w:ascii="Georgia" w:cs="Georgia" w:eastAsia="Georgia" w:hAnsi="Georgia"/>
          <w:b w:val="false"/>
          <w:bCs w:val="false"/>
          <w:i w:val="false"/>
          <w:iCs w:val="false"/>
          <w:color w:val="000000"/>
          <w:sz w:val="24"/>
          <w:szCs w:val="24"/>
        </w:rPr>
        <w:t xml:space="preserve">A Party able to demonstrate proportional allocation — or to document that any departure reflected a deliberate choice — is better positioned to demonstrate consistent governance across cycles. For transboundary sites such as the Neretva Delta — shared between Croatia and Bosnia-Herzegovina and noted for very high fish endemism (figures from public RSIS data; verification required) — cross-cycle traceability aligns with Regional Initiative cooperation obligations under MedWet.</w:t>
      </w:r>
    </w:p>
    <w:p>
      <w:pPr>
        <w:spacing w:before="0" w:after="120" w:line="276"/>
        <w:jc w:val="both"/>
      </w:pPr>
      <w:r>
        <w:rPr>
          <w:rFonts w:ascii="Georgia" w:cs="Georgia" w:eastAsia="Georgia" w:hAnsi="Georgia"/>
          <w:b w:val="false"/>
          <w:bCs w:val="false"/>
          <w:i w:val="false"/>
          <w:iCs w:val="false"/>
          <w:color w:val="000000"/>
          <w:sz w:val="24"/>
          <w:szCs w:val="24"/>
        </w:rPr>
        <w:t xml:space="preserve"/>
      </w:r>
    </w:p>
    <w:p>
      <w:pPr>
        <w:pStyle w:val="Heading1"/>
        <w:pBdr>
          <w:bottom w:val="single" w:color="1A3A2A" w:sz="4" w:space="6"/>
        </w:pBdr>
        <w:spacing w:before="360" w:after="160"/>
      </w:pPr>
      <w:r>
        <w:rPr>
          <w:rFonts w:ascii="Arial" w:cs="Arial" w:eastAsia="Arial" w:hAnsi="Arial"/>
          <w:b/>
          <w:bCs/>
          <w:i w:val="false"/>
          <w:iCs w:val="false"/>
          <w:color w:val="1A3A2A"/>
          <w:sz w:val="32"/>
          <w:szCs w:val="32"/>
        </w:rPr>
        <w:t xml:space="preserve">What a pilot could look like</w:t>
      </w:r>
    </w:p>
    <w:p>
      <w:pPr>
        <w:spacing w:before="0" w:after="160" w:line="276"/>
        <w:jc w:val="both"/>
      </w:pPr>
      <w:r>
        <w:rPr>
          <w:rFonts w:ascii="Georgia" w:cs="Georgia" w:eastAsia="Georgia" w:hAnsi="Georgia"/>
          <w:b w:val="false"/>
          <w:bCs w:val="false"/>
          <w:i w:val="false"/>
          <w:iCs w:val="false"/>
          <w:color w:val="000000"/>
          <w:sz w:val="24"/>
          <w:szCs w:val="24"/>
        </w:rPr>
        <w:t xml:space="preserve">A potential pilot could focus on Croatia's five Ramsar sites: Kopački Rit, Lonjsko Polje and Mokro Polje, Crna Mlaka, Lower Neretva Valley, and Vransko Lake Nature Park and Crkvine Wetland — totalling 93,590 hectares (RSIS Annotated Summary, Croatia, 2024).</w:t>
      </w:r>
    </w:p>
    <w:p>
      <w:pPr>
        <w:spacing w:before="0" w:after="120" w:line="276"/>
        <w:jc w:val="both"/>
      </w:pPr>
      <w:r>
        <w:rPr>
          <w:rFonts w:ascii="Georgia" w:cs="Georgia" w:eastAsia="Georgia" w:hAnsi="Georgia"/>
          <w:b w:val="false"/>
          <w:bCs w:val="false"/>
          <w:i w:val="false"/>
          <w:iCs w:val="false"/>
          <w:color w:val="000000"/>
          <w:sz w:val="24"/>
          <w:szCs w:val="24"/>
        </w:rPr>
        <w:t xml:space="preserve"/>
      </w:r>
    </w:p>
    <w:p>
      <w:pPr>
        <w:spacing w:before="0" w:after="160" w:line="276"/>
        <w:jc w:val="both"/>
      </w:pPr>
      <w:r>
        <w:rPr>
          <w:rFonts w:ascii="Georgia" w:cs="Georgia" w:eastAsia="Georgia" w:hAnsi="Georgia"/>
          <w:b w:val="false"/>
          <w:bCs w:val="false"/>
          <w:i w:val="false"/>
          <w:iCs w:val="false"/>
          <w:color w:val="000000"/>
          <w:sz w:val="24"/>
          <w:szCs w:val="24"/>
        </w:rPr>
        <w:t xml:space="preserve">The underlying data already exists. The gap is the absence of a mechanism to trace whether administrative gravity produces unreported reweighting across the portfolio.</w:t>
      </w:r>
    </w:p>
    <w:p>
      <w:pPr>
        <w:spacing w:before="0" w:after="120" w:line="276"/>
        <w:jc w:val="both"/>
      </w:pPr>
      <w:r>
        <w:rPr>
          <w:rFonts w:ascii="Georgia" w:cs="Georgia" w:eastAsia="Georgia" w:hAnsi="Georgia"/>
          <w:b w:val="false"/>
          <w:bCs w:val="false"/>
          <w:i w:val="false"/>
          <w:iCs w:val="false"/>
          <w:color w:val="000000"/>
          <w:sz w:val="24"/>
          <w:szCs w:val="24"/>
        </w:rPr>
        <w:t xml:space="preserve"/>
      </w:r>
    </w:p>
    <w:p>
      <w:pPr>
        <w:spacing w:before="0" w:after="160" w:line="276"/>
        <w:jc w:val="both"/>
      </w:pPr>
      <w:r>
        <w:rPr>
          <w:rFonts w:ascii="Georgia" w:cs="Georgia" w:eastAsia="Georgia" w:hAnsi="Georgia"/>
          <w:b w:val="false"/>
          <w:bCs w:val="false"/>
          <w:i w:val="false"/>
          <w:iCs w:val="false"/>
          <w:color w:val="000000"/>
          <w:sz w:val="24"/>
          <w:szCs w:val="24"/>
        </w:rPr>
        <w:t xml:space="preserve">A pilot could be structured over approximately 18 months: establish a steering group with the Croatian Ministry and local partners; collect and verify baseline data from public RSIS exports; run the framework on site metrics and produce baseline artifacts; and prepare a final report for internal review and potential further use. Funding pathways can be discussed separately. All code is open-source. Outputs are standard CSV files.</w:t>
      </w:r>
    </w:p>
    <w:p>
      <w:pPr>
        <w:spacing w:before="0" w:after="120" w:line="276"/>
        <w:jc w:val="both"/>
      </w:pPr>
      <w:r>
        <w:rPr>
          <w:rFonts w:ascii="Georgia" w:cs="Georgia" w:eastAsia="Georgia" w:hAnsi="Georgia"/>
          <w:b w:val="false"/>
          <w:bCs w:val="false"/>
          <w:i w:val="false"/>
          <w:iCs w:val="false"/>
          <w:color w:val="000000"/>
          <w:sz w:val="24"/>
          <w:szCs w:val="24"/>
        </w:rPr>
        <w:t xml:space="preserve"/>
      </w:r>
    </w:p>
    <w:p>
      <w:pPr>
        <w:spacing w:before="0" w:after="160" w:line="276"/>
        <w:jc w:val="both"/>
      </w:pPr>
      <w:r>
        <w:rPr>
          <w:rFonts w:ascii="Georgia" w:cs="Georgia" w:eastAsia="Georgia" w:hAnsi="Georgia"/>
          <w:b w:val="false"/>
          <w:bCs w:val="false"/>
          <w:i w:val="false"/>
          <w:iCs w:val="false"/>
          <w:color w:val="000000"/>
          <w:sz w:val="24"/>
          <w:szCs w:val="24"/>
        </w:rPr>
        <w:t xml:space="preserve">A demonstration using Croatia's public RSIS data can be produced prior to any pilot decision. The framework accommodates asynchronous data; synchronised reporting windows are not required. The demonstration will show how declared changes in scientific priorities are recorded as intentional decisions. A substantial drop in a site's share is not necessarily a systemic failure — it can be a mathematically sound reflection of the scientific team's declared priorities. The demonstration will make that distinction explicit by producing the portfolio share table, trace report, portfolio change log, and coverage record for review.</w:t>
      </w:r>
    </w:p>
    <w:p>
      <w:pPr>
        <w:spacing w:before="0" w:after="120" w:line="276"/>
        <w:jc w:val="both"/>
      </w:pPr>
      <w:r>
        <w:rPr>
          <w:rFonts w:ascii="Georgia" w:cs="Georgia" w:eastAsia="Georgia" w:hAnsi="Georgia"/>
          <w:b w:val="false"/>
          <w:bCs w:val="false"/>
          <w:i w:val="false"/>
          <w:iCs w:val="false"/>
          <w:color w:val="000000"/>
          <w:sz w:val="24"/>
          <w:szCs w:val="24"/>
        </w:rPr>
        <w:t xml:space="preserve"/>
      </w:r>
    </w:p>
    <w:p>
      <w:pPr>
        <w:pBdr>
          <w:left w:val="single" w:color="2A5A3A" w:sz="8" w:space="12"/>
        </w:pBdr>
        <w:spacing w:before="120" w:after="120" w:line="276"/>
        <w:ind w:left="360" w:right="360"/>
        <w:jc w:val="both"/>
      </w:pPr>
      <w:r>
        <w:rPr>
          <w:rFonts w:ascii="Arial" w:cs="Arial" w:eastAsia="Arial" w:hAnsi="Arial"/>
          <w:b w:val="false"/>
          <w:bCs w:val="false"/>
          <w:i/>
          <w:iCs/>
          <w:color w:val="2A5A3A"/>
          <w:sz w:val="26"/>
          <w:szCs w:val="26"/>
        </w:rPr>
        <w:t xml:space="preserve">The pilot does not ask for endorsement of results. It asks for the opportunity to generate them. If the framework performs as intended, the artifacts will show it. If not, the artifacts will show that as well.</w:t>
      </w:r>
    </w:p>
    <w:p>
      <w:pPr>
        <w:spacing w:before="0" w:after="120" w:line="276"/>
        <w:jc w:val="both"/>
      </w:pPr>
      <w:r>
        <w:rPr>
          <w:rFonts w:ascii="Georgia" w:cs="Georgia" w:eastAsia="Georgia" w:hAnsi="Georgia"/>
          <w:b w:val="false"/>
          <w:bCs w:val="false"/>
          <w:i w:val="false"/>
          <w:iCs w:val="false"/>
          <w:color w:val="000000"/>
          <w:sz w:val="24"/>
          <w:szCs w:val="24"/>
        </w:rPr>
        <w:t xml:space="preserve"/>
      </w:r>
    </w:p>
    <w:p>
      <w:pPr>
        <w:pStyle w:val="Heading1"/>
        <w:pBdr>
          <w:bottom w:val="single" w:color="1A3A2A" w:sz="4" w:space="6"/>
        </w:pBdr>
        <w:spacing w:before="360" w:after="160"/>
      </w:pPr>
      <w:r>
        <w:rPr>
          <w:rFonts w:ascii="Arial" w:cs="Arial" w:eastAsia="Arial" w:hAnsi="Arial"/>
          <w:b/>
          <w:bCs/>
          <w:i w:val="false"/>
          <w:iCs w:val="false"/>
          <w:color w:val="1A3A2A"/>
          <w:sz w:val="32"/>
          <w:szCs w:val="32"/>
        </w:rPr>
        <w:t xml:space="preserve">What we are asking</w:t>
      </w:r>
    </w:p>
    <w:p>
      <w:pPr>
        <w:spacing w:before="0" w:after="160" w:line="276"/>
        <w:jc w:val="both"/>
      </w:pPr>
      <w:r>
        <w:rPr>
          <w:rFonts w:ascii="Georgia" w:cs="Georgia" w:eastAsia="Georgia" w:hAnsi="Georgia"/>
          <w:b w:val="false"/>
          <w:bCs w:val="false"/>
          <w:i w:val="false"/>
          <w:iCs w:val="false"/>
          <w:color w:val="000000"/>
          <w:sz w:val="24"/>
          <w:szCs w:val="24"/>
        </w:rPr>
        <w:t xml:space="preserve">No resources or commitments are being requested. The question for internal discussion is: does the gap this framework addresses — cross-cycle allocation traceability across a site portfolio — correspond to any current Secretariat or Regional Initiative work?</w:t>
      </w:r>
    </w:p>
    <w:p>
      <w:pPr>
        <w:spacing w:before="0" w:after="120" w:line="276"/>
        <w:jc w:val="both"/>
      </w:pPr>
      <w:r>
        <w:rPr>
          <w:rFonts w:ascii="Georgia" w:cs="Georgia" w:eastAsia="Georgia" w:hAnsi="Georgia"/>
          <w:b w:val="false"/>
          <w:bCs w:val="false"/>
          <w:i w:val="false"/>
          <w:iCs w:val="false"/>
          <w:color w:val="000000"/>
          <w:sz w:val="24"/>
          <w:szCs w:val="24"/>
        </w:rPr>
        <w:t xml:space="preserve"/>
      </w:r>
    </w:p>
    <w:p>
      <w:pPr>
        <w:spacing w:before="0" w:after="160" w:line="276"/>
        <w:jc w:val="both"/>
      </w:pPr>
      <w:r>
        <w:rPr>
          <w:rFonts w:ascii="Georgia" w:cs="Georgia" w:eastAsia="Georgia" w:hAnsi="Georgia"/>
          <w:b w:val="false"/>
          <w:bCs w:val="false"/>
          <w:i w:val="false"/>
          <w:iCs w:val="false"/>
          <w:color w:val="000000"/>
          <w:sz w:val="24"/>
          <w:szCs w:val="24"/>
        </w:rPr>
        <w:t xml:space="preserve">If so, an optional short demonstration using Croatia's public RSIS data can be provided. No preparation is required. The resulting portfolio share table and trace report can be reviewed at your convenience.</w:t>
      </w:r>
    </w:p>
    <w:p>
      <w:pPr>
        <w:spacing w:before="0" w:after="120" w:line="276"/>
        <w:jc w:val="both"/>
      </w:pPr>
      <w:r>
        <w:rPr>
          <w:rFonts w:ascii="Georgia" w:cs="Georgia" w:eastAsia="Georgia" w:hAnsi="Georgia"/>
          <w:b w:val="false"/>
          <w:bCs w:val="false"/>
          <w:i w:val="false"/>
          <w:iCs w:val="false"/>
          <w:color w:val="000000"/>
          <w:sz w:val="24"/>
          <w:szCs w:val="24"/>
        </w:rPr>
        <w:t xml:space="preserve"/>
      </w:r>
    </w:p>
    <w:p>
      <w:pPr>
        <w:spacing w:before="0" w:after="160" w:line="276"/>
        <w:jc w:val="both"/>
      </w:pPr>
      <w:r>
        <w:rPr>
          <w:rFonts w:ascii="Georgia" w:cs="Georgia" w:eastAsia="Georgia" w:hAnsi="Georgia"/>
          <w:b w:val="false"/>
          <w:bCs w:val="false"/>
          <w:i w:val="false"/>
          <w:iCs w:val="false"/>
          <w:color w:val="000000"/>
          <w:sz w:val="24"/>
          <w:szCs w:val="24"/>
        </w:rPr>
        <w:t xml:space="preserve">One clarification: the framework does not treat all reweighting as a concern. If increased monitoring at the Neretva Delta reflects a policy priority or transboundary obligation, the portfolio change log records it as a deliberate decision. What appears as unexplained movement is reweighting without a corresponding decision. The framework is designed to make that distinction visible.</w:t>
      </w:r>
    </w:p>
    <w:p>
      <w:pPr>
        <w:spacing w:before="0" w:after="120" w:line="276"/>
        <w:jc w:val="both"/>
      </w:pPr>
      <w:r>
        <w:rPr>
          <w:rFonts w:ascii="Georgia" w:cs="Georgia" w:eastAsia="Georgia" w:hAnsi="Georgia"/>
          <w:b w:val="false"/>
          <w:bCs w:val="false"/>
          <w:i w:val="false"/>
          <w:iCs w:val="false"/>
          <w:color w:val="000000"/>
          <w:sz w:val="24"/>
          <w:szCs w:val="24"/>
        </w:rPr>
        <w:t xml:space="preserve"/>
      </w:r>
    </w:p>
    <w:p>
      <w:pPr>
        <w:spacing w:before="0" w:after="160" w:line="276"/>
        <w:jc w:val="both"/>
      </w:pPr>
      <w:r>
        <w:rPr>
          <w:rFonts w:ascii="Georgia" w:cs="Georgia" w:eastAsia="Georgia" w:hAnsi="Georgia"/>
          <w:b w:val="false"/>
          <w:bCs w:val="false"/>
          <w:i w:val="false"/>
          <w:iCs w:val="false"/>
          <w:color w:val="000000"/>
          <w:sz w:val="24"/>
          <w:szCs w:val="24"/>
        </w:rPr>
        <w:t xml:space="preserve">If the answer is no, that assessment is useful. If yes, the question becomes how this might relate to ongoing work on Strategic Plan Target 15 or National Report comparability across cycles. Either outcome is useful.</w:t>
      </w:r>
    </w:p>
    <w:p>
      <w:pPr>
        <w:spacing w:before="0" w:after="120" w:line="276"/>
        <w:jc w:val="both"/>
      </w:pPr>
      <w:r>
        <w:rPr>
          <w:rFonts w:ascii="Georgia" w:cs="Georgia" w:eastAsia="Georgia" w:hAnsi="Georgia"/>
          <w:b w:val="false"/>
          <w:bCs w:val="false"/>
          <w:i w:val="false"/>
          <w:iCs w:val="false"/>
          <w:color w:val="000000"/>
          <w:sz w:val="24"/>
          <w:szCs w:val="24"/>
        </w:rPr>
        <w:t xml:space="preserve"/>
      </w:r>
    </w:p>
    <w:p>
      <w:pPr>
        <w:pBdr>
          <w:bottom w:val="single" w:color="CCCCCC" w:sz="2"/>
        </w:pBdr>
        <w:spacing w:before="240" w:after="240" w:line="276"/>
        <w:jc w:val="both"/>
      </w:pPr>
      <w:r>
        <w:rPr>
          <w:rFonts w:ascii="Georgia" w:cs="Georgia" w:eastAsia="Georgia" w:hAnsi="Georgia"/>
          <w:b w:val="false"/>
          <w:bCs w:val="false"/>
          <w:i w:val="false"/>
          <w:iCs w:val="false"/>
          <w:color w:val="000000"/>
          <w:sz w:val="4"/>
          <w:szCs w:val="4"/>
        </w:rPr>
        <w:t xml:space="preserve"/>
      </w:r>
    </w:p>
    <w:p>
      <w:pPr>
        <w:spacing w:before="60" w:after="60" w:line="276"/>
        <w:ind w:left="360" w:right="360"/>
        <w:jc w:val="both"/>
      </w:pPr>
      <w:r>
        <w:rPr>
          <w:rFonts w:ascii="Arial" w:cs="Arial" w:eastAsia="Arial" w:hAnsi="Arial"/>
          <w:b/>
          <w:bCs/>
          <w:i w:val="false"/>
          <w:iCs w:val="false"/>
          <w:color w:val="555555"/>
          <w:sz w:val="20"/>
          <w:szCs w:val="20"/>
        </w:rPr>
        <w:t xml:space="preserve">Data provenance:  </w:t>
      </w:r>
      <w:r>
        <w:rPr>
          <w:rFonts w:ascii="Georgia" w:cs="Georgia" w:eastAsia="Georgia" w:hAnsi="Georgia"/>
          <w:b w:val="false"/>
          <w:bCs w:val="false"/>
          <w:i/>
          <w:iCs/>
          <w:color w:val="555555"/>
          <w:sz w:val="20"/>
          <w:szCs w:val="20"/>
        </w:rPr>
        <w:t xml:space="preserve">Where RSIS or other public exports are cited, the specific export filename and retrieval date are recorded in the pilot baseline package.</w:t>
      </w:r>
    </w:p>
    <w:p>
      <w:pPr>
        <w:spacing w:before="0" w:after="120" w:line="276"/>
        <w:jc w:val="both"/>
      </w:pPr>
      <w:r>
        <w:rPr>
          <w:rFonts w:ascii="Georgia" w:cs="Georgia" w:eastAsia="Georgia" w:hAnsi="Georgia"/>
          <w:b w:val="false"/>
          <w:bCs w:val="false"/>
          <w:i w:val="false"/>
          <w:iCs w:val="false"/>
          <w:color w:val="000000"/>
          <w:sz w:val="24"/>
          <w:szCs w:val="24"/>
        </w:rPr>
        <w:t xml:space="preserve"/>
      </w:r>
    </w:p>
    <w:p>
      <w:pPr>
        <w:pStyle w:val="Heading1"/>
        <w:pBdr>
          <w:bottom w:val="single" w:color="1A3A2A" w:sz="4" w:space="6"/>
        </w:pBdr>
        <w:spacing w:before="360" w:after="160"/>
      </w:pPr>
      <w:r>
        <w:rPr>
          <w:rFonts w:ascii="Arial" w:cs="Arial" w:eastAsia="Arial" w:hAnsi="Arial"/>
          <w:b/>
          <w:bCs/>
          <w:i w:val="false"/>
          <w:iCs w:val="false"/>
          <w:color w:val="1A3A2A"/>
          <w:sz w:val="32"/>
          <w:szCs w:val="32"/>
        </w:rPr>
        <w:t xml:space="preserve">Technical resources</w:t>
      </w:r>
    </w:p>
    <w:p>
      <w:pPr>
        <w:spacing w:before="40" w:after="40" w:line="276"/>
        <w:jc w:val="both"/>
      </w:pPr>
      <w:r>
        <w:rPr>
          <w:rFonts w:ascii="Arial" w:cs="Arial" w:eastAsia="Arial" w:hAnsi="Arial"/>
          <w:b/>
          <w:bCs/>
          <w:i w:val="false"/>
          <w:iCs w:val="false"/>
          <w:color w:val="000000"/>
          <w:sz w:val="20"/>
          <w:szCs w:val="20"/>
        </w:rPr>
        <w:t xml:space="preserve">Repository and open-source code: </w:t>
      </w:r>
      <w:hyperlink w:history="1" r:id="rIdadgmp4qumsgli4884glxf">
        <w:r>
          <w:rPr>
            <w:rFonts w:ascii="Arial" w:cs="Arial" w:eastAsia="Arial" w:hAnsi="Arial"/>
            <w:b w:val="false"/>
            <w:bCs w:val="false"/>
            <w:i w:val="false"/>
            <w:iCs w:val="false"/>
            <w:color w:val="1155CC"/>
            <w:sz w:val="20"/>
            <w:szCs w:val="20"/>
          </w:rPr>
          <w:t xml:space="preserve">https://github.com/PeterHiggins19/huf_core</w:t>
        </w:r>
      </w:hyperlink>
    </w:p>
    <w:p>
      <w:pPr>
        <w:spacing w:before="40" w:after="40" w:line="276"/>
        <w:jc w:val="both"/>
      </w:pPr>
      <w:r>
        <w:rPr>
          <w:rFonts w:ascii="Arial" w:cs="Arial" w:eastAsia="Arial" w:hAnsi="Arial"/>
          <w:b/>
          <w:bCs/>
          <w:i w:val="false"/>
          <w:iCs w:val="false"/>
          <w:color w:val="000000"/>
          <w:sz w:val="20"/>
          <w:szCs w:val="20"/>
        </w:rPr>
        <w:t xml:space="preserve">Documentation and field guide: </w:t>
      </w:r>
      <w:hyperlink w:history="1" r:id="rIdkxifagwflxriqgpvkanqa">
        <w:r>
          <w:rPr>
            <w:rFonts w:ascii="Arial" w:cs="Arial" w:eastAsia="Arial" w:hAnsi="Arial"/>
            <w:b w:val="false"/>
            <w:bCs w:val="false"/>
            <w:i w:val="false"/>
            <w:iCs w:val="false"/>
            <w:color w:val="1155CC"/>
            <w:sz w:val="20"/>
            <w:szCs w:val="20"/>
          </w:rPr>
          <w:t xml:space="preserve">https://peterhiggins19.github.io/huf_core</w:t>
        </w:r>
      </w:hyperlink>
    </w:p>
    <w:p>
      <w:pPr>
        <w:spacing w:before="40" w:after="40" w:line="276"/>
        <w:jc w:val="both"/>
      </w:pPr>
      <w:r>
        <w:rPr>
          <w:rFonts w:ascii="Arial" w:cs="Arial" w:eastAsia="Arial" w:hAnsi="Arial"/>
          <w:b/>
          <w:bCs/>
          <w:i w:val="false"/>
          <w:iCs w:val="false"/>
          <w:color w:val="000000"/>
          <w:sz w:val="20"/>
          <w:szCs w:val="20"/>
        </w:rPr>
        <w:t xml:space="preserve">Wiki and collective review record: </w:t>
      </w:r>
      <w:hyperlink w:history="1" r:id="rIdq9mgbfwpzglbxvzcvdxx0">
        <w:r>
          <w:rPr>
            <w:rFonts w:ascii="Arial" w:cs="Arial" w:eastAsia="Arial" w:hAnsi="Arial"/>
            <w:b w:val="false"/>
            <w:bCs w:val="false"/>
            <w:i w:val="false"/>
            <w:iCs w:val="false"/>
            <w:color w:val="1155CC"/>
            <w:sz w:val="20"/>
            <w:szCs w:val="20"/>
          </w:rPr>
          <w:t xml:space="preserve">https://github.com/PeterHiggins19/huf_core/wiki</w:t>
        </w:r>
      </w:hyperlink>
    </w:p>
    <w:p>
      <w:pPr>
        <w:spacing w:before="0" w:after="120" w:line="276"/>
        <w:jc w:val="both"/>
      </w:pPr>
      <w:r>
        <w:rPr>
          <w:rFonts w:ascii="Georgia" w:cs="Georgia" w:eastAsia="Georgia" w:hAnsi="Georgia"/>
          <w:b w:val="false"/>
          <w:bCs w:val="false"/>
          <w:i w:val="false"/>
          <w:iCs w:val="false"/>
          <w:color w:val="000000"/>
          <w:sz w:val="24"/>
          <w:szCs w:val="24"/>
        </w:rPr>
        <w:t xml:space="preserve"/>
      </w:r>
    </w:p>
    <w:p>
      <w:pPr>
        <w:pBdr>
          <w:bottom w:val="single" w:color="CCCCCC" w:sz="2"/>
        </w:pBdr>
        <w:spacing w:before="240" w:after="240" w:line="276"/>
        <w:jc w:val="both"/>
      </w:pPr>
      <w:r>
        <w:rPr>
          <w:rFonts w:ascii="Georgia" w:cs="Georgia" w:eastAsia="Georgia" w:hAnsi="Georgia"/>
          <w:b w:val="false"/>
          <w:bCs w:val="false"/>
          <w:i w:val="false"/>
          <w:iCs w:val="false"/>
          <w:color w:val="000000"/>
          <w:sz w:val="4"/>
          <w:szCs w:val="4"/>
        </w:rPr>
        <w:t xml:space="preserve"/>
      </w:r>
    </w:p>
    <w:p>
      <w:pPr>
        <w:spacing w:before="60" w:after="60" w:line="276"/>
        <w:ind w:left="360" w:right="360"/>
        <w:jc w:val="both"/>
      </w:pPr>
      <w:r>
        <w:rPr>
          <w:rFonts w:ascii="Arial" w:cs="Arial" w:eastAsia="Arial" w:hAnsi="Arial"/>
          <w:b/>
          <w:bCs/>
          <w:i w:val="false"/>
          <w:iCs w:val="false"/>
          <w:color w:val="555555"/>
          <w:sz w:val="20"/>
          <w:szCs w:val="20"/>
        </w:rPr>
        <w:t xml:space="preserve">Ethics:  </w:t>
      </w:r>
      <w:r>
        <w:rPr>
          <w:rFonts w:ascii="Georgia" w:cs="Georgia" w:eastAsia="Georgia" w:hAnsi="Georgia"/>
          <w:b w:val="false"/>
          <w:bCs w:val="false"/>
          <w:i/>
          <w:iCs/>
          <w:color w:val="555555"/>
          <w:sz w:val="20"/>
          <w:szCs w:val="20"/>
        </w:rPr>
        <w:t xml:space="preserve">Prepared with AI-assisted drafting, reviewed and curated by the operator. Claims are stated conservatively and should be treated as hypotheses pending pilot validation.</w:t>
      </w:r>
    </w:p>
    <w:p>
      <w:pPr>
        <w:spacing w:before="0" w:after="120" w:line="276"/>
        <w:jc w:val="both"/>
      </w:pPr>
      <w:r>
        <w:rPr>
          <w:rFonts w:ascii="Georgia" w:cs="Georgia" w:eastAsia="Georgia" w:hAnsi="Georgia"/>
          <w:b w:val="false"/>
          <w:bCs w:val="false"/>
          <w:i w:val="false"/>
          <w:iCs w:val="false"/>
          <w:color w:val="000000"/>
          <w:sz w:val="24"/>
          <w:szCs w:val="24"/>
        </w:rPr>
        <w:t xml:space="preserve"/>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after="160" w:line="276"/>
      <w:jc w:val="center"/>
    </w:pPr>
    <w:r>
      <w:rPr>
        <w:rFonts w:ascii="Arial" w:cs="Arial" w:eastAsia="Arial" w:hAnsi="Arial"/>
        <w:b w:val="false"/>
        <w:bCs w:val="false"/>
        <w:i w:val="false"/>
        <w:iCs w:val="false"/>
        <w:color w:val="888888"/>
        <w:sz w:val="18"/>
        <w:szCs w:val="18"/>
      </w:rPr>
      <w:t xml:space="preserve">Peter Higgins · Rogue Wave Audio · Markham, Ontario · roguewaveaudio.com  ·  HUF v1.2.0 · MIT License · February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before="0" w:after="160" w:line="276"/>
      <w:jc w:val="both"/>
    </w:pPr>
    <w:r>
      <w:rPr>
        <w:rFonts w:ascii="Arial" w:cs="Arial" w:eastAsia="Arial" w:hAnsi="Arial"/>
        <w:b w:val="false"/>
        <w:bCs w:val="false"/>
        <w:i w:val="false"/>
        <w:iCs w:val="false"/>
        <w:color w:val="888888"/>
        <w:sz w:val="18"/>
        <w:szCs w:val="18"/>
      </w:rPr>
      <w:t xml:space="preserve">HIGGINS UNITY FRAMEWORK  ·  RAMSAR CONTACT PRIMER  ·  v12</w:t>
    </w:r>
    <w:r>
      <w:rPr>
        <w:rFonts w:ascii="Arial" w:cs="Arial" w:eastAsia="Arial" w:hAnsi="Arial"/>
        <w:b/>
        <w:bCs/>
        <w:i w:val="false"/>
        <w:iCs w:val="false"/>
        <w:color w:val="AA4400"/>
        <w:sz w:val="18"/>
        <w:szCs w:val="18"/>
      </w:rPr>
      <w:t xml:space="preserve">  |  INTERNAL DISCUSSION DOCUMENT — NOT FOR EXTERNAL DISTRIBUTION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60"/>
      <w:outlineLvl w:val="0"/>
    </w:pPr>
    <w:rPr>
      <w:rFonts w:ascii="Arial" w:cs="Arial" w:eastAsia="Arial" w:hAnsi="Arial"/>
      <w:b/>
      <w:bCs/>
      <w:sz w:val="32"/>
      <w:szCs w:val="32"/>
    </w:rPr>
  </w:style>
  <w:style w:type="paragraph" w:styleId="Heading2">
    <w:name w:val="Heading 2"/>
    <w:basedOn w:val="Normal"/>
    <w:next w:val="Normal"/>
    <w:qFormat/>
    <w:pPr>
      <w:spacing w:before="240" w:after="120"/>
      <w:outlineLvl w:val="1"/>
    </w:pPr>
    <w:rPr>
      <w:rFonts w:ascii="Arial" w:cs="Arial" w:eastAsia="Arial" w:hAnsi="Arial"/>
      <w:b/>
      <w:bCs/>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adgmp4qumsgli4884glxf" Type="http://schemas.openxmlformats.org/officeDocument/2006/relationships/hyperlink" Target="https://github.com/PeterHiggins19/huf_core" TargetMode="External"/><Relationship Id="rIdkxifagwflxriqgpvkanqa" Type="http://schemas.openxmlformats.org/officeDocument/2006/relationships/hyperlink" Target="https://peterhiggins19.github.io/huf_core" TargetMode="External"/><Relationship Id="rIdq9mgbfwpzglbxvzcvdxx0" Type="http://schemas.openxmlformats.org/officeDocument/2006/relationships/hyperlink" Target="https://github.com/PeterHiggins19/huf_core/wiki" TargetMode="External"/><Relationship Id="rId1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2026-02-27T02:37:04.363Z</dcterms:created>
  <dcterms:modified xsi:type="dcterms:W3CDTF">2026-02-27T02:37:04.364Z</dcterms:modified>
</cp:coreProperties>
</file>

<file path=docProps/custom.xml><?xml version="1.0" encoding="utf-8"?>
<Properties xmlns="http://schemas.openxmlformats.org/officeDocument/2006/custom-properties" xmlns:vt="http://schemas.openxmlformats.org/officeDocument/2006/docPropsVTypes"/>
</file>