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CODES: BOOK, OBSERVER | ART: CM, AS, TR, EB | EVID:E0 | POSTURE:OP | WEIGHTS: OP=0.80 TOOL=0.20 PEER=0.00 | CAP: OP_MIN=0.51 TOOL_MAX=0.49 | CANON:notes/current_documents/staged/HUF.DRAFT.BOOK.MANUSCRIPT.HUF_GOVERNANCE_STATE_OBSERVER/huf_governance_state_observer.docx</w:t>
      </w:r>
    </w:p>
    <w:p>
      <w:r>
        <w:t>HUF-DOC: HUF.DRAFT.BOOK.MANUSCRIPT.HUF_GOVERNANCE_STATE_OBSERVER | HUF:1.1.8 | DOC:v0.1.0 | STATUS:draft | LANE:DRAFT | RO:Peter Higgins</w:t>
      </w:r>
    </w:p>
    <w:p/>
    <w:p>
      <w:r>
        <w:rPr>
          <w:sz w:val="24"/>
          <w:szCs w:val="24"/>
        </w:rPr>
        <w:t xml:space="preserve"/>
      </w:r>
    </w:p>
    <w:p>
      <w:r>
        <w:rPr>
          <w:sz w:val="24"/>
          <w:szCs w:val="24"/>
        </w:rPr>
        <w:t xml:space="preserve"/>
      </w:r>
    </w:p>
    <w:p>
      <w:pPr>
        <w:spacing w:before="0" w:after="0"/>
        <w:jc w:val="center"/>
      </w:pPr>
      <w:r>
        <w:rPr>
          <w:rFonts w:ascii="Arial" w:cs="Arial" w:eastAsia="Arial" w:hAnsi="Arial"/>
          <w:b/>
          <w:bCs/>
          <w:i w:val="false"/>
          <w:iCs w:val="false"/>
          <w:color w:val="000000"/>
          <w:sz w:val="36"/>
          <w:szCs w:val="36"/>
        </w:rPr>
        <w:t xml:space="preserve">HUF as a Self-Referential</w:t>
      </w:r>
    </w:p>
    <w:p>
      <w:pPr>
        <w:spacing w:before="0" w:after="120"/>
        <w:jc w:val="center"/>
      </w:pPr>
      <w:r>
        <w:rPr>
          <w:rFonts w:ascii="Arial" w:cs="Arial" w:eastAsia="Arial" w:hAnsi="Arial"/>
          <w:b/>
          <w:bCs/>
          <w:i w:val="false"/>
          <w:iCs w:val="false"/>
          <w:color w:val="000000"/>
          <w:sz w:val="36"/>
          <w:szCs w:val="36"/>
        </w:rPr>
        <w:t xml:space="preserve">Non-Invasive Governance State Observer</w:t>
      </w:r>
    </w:p>
    <w:p>
      <w:r>
        <w:rPr>
          <w:sz w:val="24"/>
          <w:szCs w:val="24"/>
        </w:rPr>
        <w:t xml:space="preserve"/>
      </w:r>
    </w:p>
    <w:p>
      <w:pPr>
        <w:spacing w:before="0" w:after="0"/>
        <w:jc w:val="center"/>
      </w:pPr>
      <w:r>
        <w:rPr>
          <w:rFonts w:ascii="Georgia" w:cs="Georgia" w:eastAsia="Georgia" w:hAnsi="Georgia"/>
          <w:b w:val="false"/>
          <w:bCs w:val="false"/>
          <w:i/>
          <w:iCs/>
          <w:color w:val="333333"/>
          <w:sz w:val="26"/>
          <w:szCs w:val="26"/>
        </w:rPr>
        <w:t xml:space="preserve">Peter Higgins</w:t>
      </w:r>
    </w:p>
    <w:p>
      <w:pPr>
        <w:spacing w:before="0" w:after="0"/>
        <w:jc w:val="center"/>
      </w:pPr>
      <w:r>
        <w:rPr>
          <w:rFonts w:ascii="Georgia" w:cs="Georgia" w:eastAsia="Georgia" w:hAnsi="Georgia"/>
          <w:b w:val="false"/>
          <w:bCs w:val="false"/>
          <w:i w:val="false"/>
          <w:iCs w:val="false"/>
          <w:color w:val="666666"/>
          <w:sz w:val="22"/>
          <w:szCs w:val="22"/>
        </w:rPr>
        <w:t xml:space="preserve">Rogue Wave Audio · Markham, Ontario · roguewaveaudio.com</w:t>
      </w:r>
    </w:p>
    <w:p>
      <w:pPr>
        <w:spacing w:before="0" w:after="240"/>
        <w:jc w:val="center"/>
      </w:pPr>
      <w:r>
        <w:rPr>
          <w:rFonts w:ascii="Georgia" w:cs="Georgia" w:eastAsia="Georgia" w:hAnsi="Georgia"/>
          <w:b w:val="false"/>
          <w:bCs w:val="false"/>
          <w:i w:val="false"/>
          <w:iCs w:val="false"/>
          <w:color w:val="888888"/>
          <w:sz w:val="22"/>
          <w:szCs w:val="22"/>
        </w:rPr>
        <w:t xml:space="preserve">HUF v1.1.8 · MIT License · February 2026</w:t>
      </w:r>
    </w:p>
    <w:p>
      <w:r>
        <w:rPr>
          <w:sz w:val="24"/>
          <w:szCs w:val="24"/>
        </w:rPr>
        <w:t xml:space="preserve"/>
      </w:r>
    </w:p>
    <w:p>
      <w:pPr>
        <w:pStyle w:val="Heading1"/>
        <w:pBdr>
          <w:bottom w:val="single" w:color="333333" w:sz="4" w:space="6"/>
        </w:pBdr>
        <w:spacing w:before="400" w:after="200"/>
      </w:pPr>
      <w:r>
        <w:rPr>
          <w:rFonts w:ascii="Arial" w:cs="Arial" w:eastAsia="Arial" w:hAnsi="Arial"/>
          <w:b/>
          <w:bCs/>
          <w:color w:val="1a1a1a"/>
          <w:sz w:val="32"/>
          <w:szCs w:val="32"/>
        </w:rPr>
        <w:t xml:space="preserve">Abstract</w:t>
      </w:r>
    </w:p>
    <w:p>
      <w:pPr>
        <w:spacing w:before="80" w:after="80" w:line="264"/>
        <w:ind w:left="720" w:right="720"/>
        <w:jc w:val="both"/>
      </w:pPr>
      <w:r>
        <w:rPr>
          <w:rFonts w:ascii="Georgia" w:cs="Georgia" w:eastAsia="Georgia" w:hAnsi="Georgia"/>
          <w:b w:val="false"/>
          <w:bCs w:val="false"/>
          <w:i w:val="false"/>
          <w:iCs w:val="false"/>
          <w:sz w:val="22"/>
          <w:szCs w:val="22"/>
        </w:rPr>
        <w:t xml:space="preserve">We introduce the Hierarchical Unity Framework (HUF) as a fourth category of system monitoring — distinct from passive, mandated, and question-driven monitoring — defined as a self-referential non-invasive governance state observer. The framework applies a dimensionless, reciprocal, non-linear unity constraint to read the internal ratio state of any finite-budget system from that system's own declared outputs, without requiring an external reference, a system model, or modification of the system being observed.</w:t>
      </w:r>
    </w:p>
    <w:p>
      <w:r>
        <w:rPr>
          <w:sz w:val="24"/>
          <w:szCs w:val="24"/>
        </w:rPr>
        <w:t xml:space="preserve"/>
      </w:r>
    </w:p>
    <w:p>
      <w:pPr>
        <w:spacing w:before="80" w:after="80" w:line="264"/>
        <w:ind w:left="720" w:right="720"/>
        <w:jc w:val="both"/>
      </w:pPr>
      <w:r>
        <w:rPr>
          <w:rFonts w:ascii="Georgia" w:cs="Georgia" w:eastAsia="Georgia" w:hAnsi="Georgia"/>
          <w:b w:val="false"/>
          <w:bCs w:val="false"/>
          <w:i w:val="false"/>
          <w:iCs w:val="false"/>
          <w:sz w:val="22"/>
          <w:szCs w:val="22"/>
        </w:rPr>
        <w:t xml:space="preserve">The constraint is non-linear by construction: the reciprocal inversion detects concentration and fragmentation simultaneously under the same formula, distinguishing deliberate allocation change from silent drift across reporting cycles. We derive the framework from the acoustics of in-situ loudspeaker array measurement — a domain governed by the same constraint — and demonstrate its domain-invariance.</w:t>
      </w:r>
    </w:p>
    <w:p>
      <w:r>
        <w:rPr>
          <w:sz w:val="24"/>
          <w:szCs w:val="24"/>
        </w:rPr>
        <w:t xml:space="preserve"/>
      </w:r>
    </w:p>
    <w:p>
      <w:pPr>
        <w:spacing w:before="80" w:after="80" w:line="264"/>
        <w:ind w:left="720" w:right="720"/>
        <w:jc w:val="both"/>
      </w:pPr>
      <w:r>
        <w:rPr>
          <w:rFonts w:ascii="Georgia" w:cs="Georgia" w:eastAsia="Georgia" w:hAnsi="Georgia"/>
          <w:b w:val="false"/>
          <w:bCs w:val="false"/>
          <w:i w:val="false"/>
          <w:iCs w:val="false"/>
          <w:sz w:val="22"/>
          <w:szCs w:val="22"/>
        </w:rPr>
        <w:t xml:space="preserve">We position HUF relative to three existing fields: control theory state observer theory, social-ecological systems monitoring, and ecological monitoring science. We show that no current instrument combines non-invasive observation, non-linear state detection, self-referential drift measurement, and cross-cycle traceability in a single unified constraint. We describe the self-governing target state — the governance analog of the loudspeaker ground state — and propose the system Q factor as the organizing principle for understanding why snapshot-based governance decisions systematically remove high-value low-frequency contributors.</w:t>
      </w:r>
    </w:p>
    <w:p>
      <w:r>
        <w:rPr>
          <w:sz w:val="24"/>
          <w:szCs w:val="24"/>
        </w:rPr>
        <w:t xml:space="preserve"/>
      </w:r>
    </w:p>
    <w:p>
      <w:pPr>
        <w:spacing w:before="80" w:after="80" w:line="264"/>
        <w:ind w:left="720" w:right="720"/>
        <w:jc w:val="both"/>
      </w:pPr>
      <w:r>
        <w:rPr>
          <w:rFonts w:ascii="Georgia" w:cs="Georgia" w:eastAsia="Georgia" w:hAnsi="Georgia"/>
          <w:b w:val="false"/>
          <w:bCs w:val="false"/>
          <w:i/>
          <w:iCs/>
          <w:sz w:val="22"/>
          <w:szCs w:val="22"/>
        </w:rPr>
        <w:t xml:space="preserve">Keywords: governance instrumentation, state observer, non-invasive monitoring, unity constraint, portfolio drift, social-ecological systems, system Q, self-governing systems</w:t>
      </w:r>
    </w:p>
    <w:p>
      <w:r>
        <w:rPr>
          <w:sz w:val="24"/>
          <w:szCs w:val="24"/>
        </w:rPr>
        <w:t xml:space="preserve"/>
      </w:r>
    </w:p>
    <w:p>
      <w:pPr>
        <w:pStyle w:val="Heading1"/>
        <w:pBdr>
          <w:bottom w:val="single" w:color="333333" w:sz="4" w:space="6"/>
        </w:pBdr>
        <w:spacing w:before="400" w:after="200"/>
      </w:pPr>
      <w:r>
        <w:rPr>
          <w:rFonts w:ascii="Arial" w:cs="Arial" w:eastAsia="Arial" w:hAnsi="Arial"/>
          <w:b/>
          <w:bCs/>
          <w:color w:val="1a1a1a"/>
          <w:sz w:val="32"/>
          <w:szCs w:val="32"/>
        </w:rPr>
        <w:t xml:space="preserve">1. Introduction</w:t>
      </w:r>
    </w:p>
    <w:p>
      <w:pPr>
        <w:pStyle w:val="Heading2"/>
        <w:spacing w:before="280" w:after="120"/>
      </w:pPr>
      <w:r>
        <w:rPr>
          <w:rFonts w:ascii="Arial" w:cs="Arial" w:eastAsia="Arial" w:hAnsi="Arial"/>
          <w:b/>
          <w:bCs/>
          <w:color w:val="333333"/>
          <w:sz w:val="28"/>
          <w:szCs w:val="28"/>
        </w:rPr>
        <w:t xml:space="preserve">1.1  The problem with the standard method</w:t>
      </w:r>
    </w:p>
    <w:p>
      <w:pPr>
        <w:spacing w:before="0" w:after="160" w:line="276"/>
        <w:jc w:val="both"/>
      </w:pPr>
      <w:r>
        <w:rPr>
          <w:rFonts w:ascii="Georgia" w:cs="Georgia" w:eastAsia="Georgia" w:hAnsi="Georgia"/>
          <w:b w:val="false"/>
          <w:bCs w:val="false"/>
          <w:i w:val="false"/>
          <w:iCs w:val="false"/>
          <w:sz w:val="24"/>
          <w:szCs w:val="24"/>
        </w:rPr>
        <w:t xml:space="preserve">The standard approach to system evaluation shares a common structure across domains: isolate the component, measure it against a controlled reference, score it, and release it back into the system. In acoustics, this is the anechoic chamber — a room designed to eliminate environmental interaction so that a loudspeaker can be characterized in isolation. In ecology, this is the site-level management effectiveness assessment — a structured evaluation conducted at a point in time, against a standardized criterion. In governance, this is the compliance audit — an examination of whether a system's outputs meet externally defined standards at a moment of observation.</w:t>
      </w:r>
    </w:p>
    <w:p>
      <w:pPr>
        <w:spacing w:before="0" w:after="160" w:line="276"/>
        <w:jc w:val="both"/>
      </w:pPr>
      <w:r>
        <w:rPr>
          <w:rFonts w:ascii="Georgia" w:cs="Georgia" w:eastAsia="Georgia" w:hAnsi="Georgia"/>
          <w:b w:val="false"/>
          <w:bCs w:val="false"/>
          <w:i w:val="false"/>
          <w:iCs w:val="false"/>
          <w:sz w:val="24"/>
          <w:szCs w:val="24"/>
        </w:rPr>
        <w:t xml:space="preserve">Each of these approaches produces a measurement that is accurate in the conditions under which it is taken. Each produces a measurement that tells you almost nothing about how the component performs in relation to everything around it.</w:t>
      </w:r>
    </w:p>
    <w:p>
      <w:pPr>
        <w:spacing w:before="0" w:after="160" w:line="276"/>
        <w:jc w:val="both"/>
      </w:pPr>
      <w:r>
        <w:rPr>
          <w:rFonts w:ascii="Georgia" w:cs="Georgia" w:eastAsia="Georgia" w:hAnsi="Georgia"/>
          <w:b w:val="false"/>
          <w:bCs w:val="false"/>
          <w:i w:val="false"/>
          <w:iCs w:val="false"/>
          <w:sz w:val="24"/>
          <w:szCs w:val="24"/>
        </w:rPr>
        <w:t xml:space="preserve">Real environments are governed by ratios, not absolutes. A loudspeaker in a room produces a response shaped by geometry, reflections, and the positions of other sources relative to the listening position. A site in a national portfolio holds a share of institutional attention that is always relative to the other sites in the same portfolio, under the real conditions of administrative pressure, political cycles, and reporting obligations. An element in any governed system does not have an absolute performance value — it has a ratio position within the system's current allocation state.</w:t>
      </w:r>
    </w:p>
    <w:p>
      <w:pPr>
        <w:spacing w:before="0" w:after="160" w:line="276"/>
        <w:jc w:val="both"/>
      </w:pPr>
      <w:r>
        <w:rPr>
          <w:rFonts w:ascii="Georgia" w:cs="Georgia" w:eastAsia="Georgia" w:hAnsi="Georgia"/>
          <w:b w:val="false"/>
          <w:bCs w:val="false"/>
          <w:i w:val="false"/>
          <w:iCs w:val="false"/>
          <w:sz w:val="24"/>
          <w:szCs w:val="24"/>
        </w:rPr>
        <w:t xml:space="preserve">The anechoic chamber measures the loudspeaker correctly in conditions that never exist in deployment. The standard governance audit measures the site correctly in conditions that never occur in practice. Both produce absolute measurements in the absence of the relationships that actually govern the system's behavior.</w:t>
      </w:r>
    </w:p>
    <w:p>
      <w:pPr>
        <w:pStyle w:val="Heading2"/>
        <w:spacing w:before="280" w:after="120"/>
      </w:pPr>
      <w:r>
        <w:rPr>
          <w:rFonts w:ascii="Arial" w:cs="Arial" w:eastAsia="Arial" w:hAnsi="Arial"/>
          <w:b/>
          <w:bCs/>
          <w:color w:val="333333"/>
          <w:sz w:val="28"/>
          <w:szCs w:val="28"/>
        </w:rPr>
        <w:t xml:space="preserve">1.2  The alternative: measure in place</w:t>
      </w:r>
    </w:p>
    <w:p>
      <w:pPr>
        <w:spacing w:before="0" w:after="160" w:line="276"/>
        <w:jc w:val="both"/>
      </w:pPr>
      <w:r>
        <w:rPr>
          <w:rFonts w:ascii="Georgia" w:cs="Georgia" w:eastAsia="Georgia" w:hAnsi="Georgia"/>
          <w:b w:val="false"/>
          <w:bCs w:val="false"/>
          <w:i w:val="false"/>
          <w:iCs w:val="false"/>
          <w:sz w:val="24"/>
          <w:szCs w:val="24"/>
        </w:rPr>
        <w:t xml:space="preserve">The approach described in this paper emerged from the problem of designing loudspeaker arrays for real acoustic environments. The central decision was to abandon the anechoic reference entirely and measure at the listening position — in the environment as it exists — where all interactions have already occurred.</w:t>
      </w:r>
    </w:p>
    <w:p>
      <w:pPr>
        <w:spacing w:before="0" w:after="160" w:line="276"/>
        <w:jc w:val="both"/>
      </w:pPr>
      <w:r>
        <w:rPr>
          <w:rFonts w:ascii="Georgia" w:cs="Georgia" w:eastAsia="Georgia" w:hAnsi="Georgia"/>
          <w:b w:val="false"/>
          <w:bCs w:val="false"/>
          <w:i w:val="false"/>
          <w:iCs w:val="false"/>
          <w:sz w:val="24"/>
          <w:szCs w:val="24"/>
        </w:rPr>
        <w:t xml:space="preserve">Measuring in place means that the room, boundaries, other sources, and the audience position are all included in the measurement. Not as sources of error to be corrected. As the system. When a change is introduced, the measurement at the listening position captures what happened to every element in response to that change as it propagates through the chain. Each element responds. The system's state shifts. The new state is read in relation to the whole.</w:t>
      </w:r>
    </w:p>
    <w:p>
      <w:pPr>
        <w:spacing w:before="0" w:after="160" w:line="276"/>
        <w:jc w:val="both"/>
      </w:pPr>
      <w:r>
        <w:rPr>
          <w:rFonts w:ascii="Georgia" w:cs="Georgia" w:eastAsia="Georgia" w:hAnsi="Georgia"/>
          <w:b w:val="false"/>
          <w:bCs w:val="false"/>
          <w:i w:val="false"/>
          <w:iCs w:val="false"/>
          <w:sz w:val="24"/>
          <w:szCs w:val="24"/>
        </w:rPr>
        <w:t xml:space="preserve">This observational philosophy produced HUF. Translated into governance terms: measure the system's state at the position where all interactions have already occurred — the portfolio view — using the system's own outputs, without introducing a reference that does not exist in the system's operating environment.</w:t>
      </w:r>
    </w:p>
    <w:p>
      <w:pPr>
        <w:pStyle w:val="Heading2"/>
        <w:spacing w:before="280" w:after="120"/>
      </w:pPr>
      <w:r>
        <w:rPr>
          <w:rFonts w:ascii="Arial" w:cs="Arial" w:eastAsia="Arial" w:hAnsi="Arial"/>
          <w:b/>
          <w:bCs/>
          <w:color w:val="333333"/>
          <w:sz w:val="28"/>
          <w:szCs w:val="28"/>
        </w:rPr>
        <w:t xml:space="preserve">1.3  Scope of this paper</w:t>
      </w:r>
    </w:p>
    <w:p>
      <w:pPr>
        <w:spacing w:before="0" w:after="160" w:line="276"/>
        <w:jc w:val="both"/>
      </w:pPr>
      <w:r>
        <w:rPr>
          <w:rFonts w:ascii="Georgia" w:cs="Georgia" w:eastAsia="Georgia" w:hAnsi="Georgia"/>
          <w:b w:val="false"/>
          <w:bCs w:val="false"/>
          <w:i w:val="false"/>
          <w:iCs w:val="false"/>
          <w:sz w:val="24"/>
          <w:szCs w:val="24"/>
        </w:rPr>
        <w:t xml:space="preserve">This paper makes four claims:</w:t>
      </w:r>
    </w:p>
    <w:p>
      <w:pPr>
        <w:spacing w:before="0" w:after="160" w:line="276"/>
        <w:jc w:val="both"/>
      </w:pPr>
      <w:r>
        <w:rPr>
          <w:rFonts w:ascii="Georgia" w:cs="Georgia" w:eastAsia="Georgia" w:hAnsi="Georgia"/>
          <w:b w:val="false"/>
          <w:bCs w:val="false"/>
          <w:i w:val="false"/>
          <w:iCs w:val="false"/>
          <w:sz w:val="24"/>
          <w:szCs w:val="24"/>
        </w:rPr>
        <w:t xml:space="preserve">1.  HUF is a non-invasive, non-linear governance state observer — a fourth monitoring category not currently defined in control theory, social-ecological systems science, or ecological monitoring science.</w:t>
      </w:r>
    </w:p>
    <w:p>
      <w:pPr>
        <w:spacing w:before="0" w:after="160" w:line="276"/>
        <w:jc w:val="both"/>
      </w:pPr>
      <w:r>
        <w:rPr>
          <w:rFonts w:ascii="Georgia" w:cs="Georgia" w:eastAsia="Georgia" w:hAnsi="Georgia"/>
          <w:b w:val="false"/>
          <w:bCs w:val="false"/>
          <w:i w:val="false"/>
          <w:iCs w:val="false"/>
          <w:sz w:val="24"/>
          <w:szCs w:val="24"/>
        </w:rPr>
        <w:t xml:space="preserve">2.  The unity constraint with reciprocal inversion is sufficient to detect drift in any direction simultaneously in any finite-budget system, without requiring a system model or an external reference.</w:t>
      </w:r>
    </w:p>
    <w:p>
      <w:pPr>
        <w:spacing w:before="0" w:after="160" w:line="276"/>
        <w:jc w:val="both"/>
      </w:pPr>
      <w:r>
        <w:rPr>
          <w:rFonts w:ascii="Georgia" w:cs="Georgia" w:eastAsia="Georgia" w:hAnsi="Georgia"/>
          <w:b w:val="false"/>
          <w:bCs w:val="false"/>
          <w:i w:val="false"/>
          <w:iCs w:val="false"/>
          <w:sz w:val="24"/>
          <w:szCs w:val="24"/>
        </w:rPr>
        <w:t xml:space="preserve">3.  The system Q factor is the organizing principle for understanding why snapshot-based governance decisions systematically remove high-value low-frequency contributors, and why cross-cycle observation is the minimum requirement for avoiding this failure mode.</w:t>
      </w:r>
    </w:p>
    <w:p>
      <w:pPr>
        <w:spacing w:before="0" w:after="160" w:line="276"/>
        <w:jc w:val="both"/>
      </w:pPr>
      <w:r>
        <w:rPr>
          <w:rFonts w:ascii="Georgia" w:cs="Georgia" w:eastAsia="Georgia" w:hAnsi="Georgia"/>
          <w:b w:val="false"/>
          <w:bCs w:val="false"/>
          <w:i w:val="false"/>
          <w:iCs w:val="false"/>
          <w:sz w:val="24"/>
          <w:szCs w:val="24"/>
        </w:rPr>
        <w:t xml:space="preserve">4.  The self-governing target state is a computable condition, not a theoretical ideal, and the unity constraint defines it.</w:t>
      </w:r>
    </w:p>
    <w:p>
      <w:pPr>
        <w:pStyle w:val="Heading1"/>
        <w:pBdr>
          <w:bottom w:val="single" w:color="333333" w:sz="4" w:space="6"/>
        </w:pBdr>
        <w:spacing w:before="400" w:after="200"/>
      </w:pPr>
      <w:r>
        <w:rPr>
          <w:rFonts w:ascii="Arial" w:cs="Arial" w:eastAsia="Arial" w:hAnsi="Arial"/>
          <w:b/>
          <w:bCs/>
          <w:color w:val="1a1a1a"/>
          <w:sz w:val="32"/>
          <w:szCs w:val="32"/>
        </w:rPr>
        <w:t xml:space="preserve">2. Background and Related Work</w:t>
      </w:r>
    </w:p>
    <w:p>
      <w:pPr>
        <w:pStyle w:val="Heading2"/>
        <w:spacing w:before="280" w:after="120"/>
      </w:pPr>
      <w:r>
        <w:rPr>
          <w:rFonts w:ascii="Arial" w:cs="Arial" w:eastAsia="Arial" w:hAnsi="Arial"/>
          <w:b/>
          <w:bCs/>
          <w:color w:val="333333"/>
          <w:sz w:val="28"/>
          <w:szCs w:val="28"/>
        </w:rPr>
        <w:t xml:space="preserve">2.1  State observer theory in control systems</w:t>
      </w:r>
    </w:p>
    <w:p>
      <w:pPr>
        <w:spacing w:before="0" w:after="160" w:line="276"/>
        <w:jc w:val="both"/>
      </w:pPr>
      <w:r>
        <w:rPr>
          <w:rFonts w:ascii="Georgia" w:cs="Georgia" w:eastAsia="Georgia" w:hAnsi="Georgia"/>
          <w:b w:val="false"/>
          <w:bCs w:val="false"/>
          <w:i w:val="false"/>
          <w:iCs w:val="false"/>
          <w:sz w:val="24"/>
          <w:szCs w:val="24"/>
        </w:rPr>
        <w:t xml:space="preserve">In control theory, a state observer — also called a Luenberger observer, state estimator, or Kalman filter — provides an estimate of the internal state of a real system from measurements of its inputs and outputs, without direct observation of the internal state. State observers are non-invasive in a specific sense: they read the system's outputs rather than intervening in its operations.</w:t>
      </w:r>
    </w:p>
    <w:p>
      <w:pPr>
        <w:spacing w:before="0" w:after="160" w:line="276"/>
        <w:jc w:val="both"/>
      </w:pPr>
      <w:r>
        <w:rPr>
          <w:rFonts w:ascii="Georgia" w:cs="Georgia" w:eastAsia="Georgia" w:hAnsi="Georgia"/>
          <w:b w:val="false"/>
          <w:bCs w:val="false"/>
          <w:i w:val="false"/>
          <w:iCs w:val="false"/>
          <w:sz w:val="24"/>
          <w:szCs w:val="24"/>
        </w:rPr>
        <w:t xml:space="preserve">The state observer literature is mathematically rich. Linear observers, sliding mode observers, extended high-gain observers, and Kalman filter variants have been applied across automotive, aerospace, biological, and process control domains. If a system is observable — if its internal state can be fully reconstructed from its output measurements — a state observer can be designed to converge to the true state.</w:t>
      </w:r>
    </w:p>
    <w:p>
      <w:pPr>
        <w:spacing w:before="0" w:after="160" w:line="276"/>
        <w:jc w:val="both"/>
      </w:pPr>
      <w:r>
        <w:rPr>
          <w:rFonts w:ascii="Georgia" w:cs="Georgia" w:eastAsia="Georgia" w:hAnsi="Georgia"/>
          <w:b w:val="false"/>
          <w:bCs w:val="false"/>
          <w:i w:val="false"/>
          <w:iCs w:val="false"/>
          <w:sz w:val="24"/>
          <w:szCs w:val="24"/>
        </w:rPr>
        <w:t xml:space="preserve">However, control theory state observers share a structural requirement that limits their applicability to governance systems: they require a mathematical model of the system being observed. The observer is a parallel computation that updates its estimate based on the difference between the system's observed output and what the model predicts the output should be. Without the model, the observer cannot operate.</w:t>
      </w:r>
    </w:p>
    <w:p>
      <w:pPr>
        <w:spacing w:before="0" w:after="160" w:line="276"/>
        <w:jc w:val="both"/>
      </w:pPr>
      <w:r>
        <w:rPr>
          <w:rFonts w:ascii="Georgia" w:cs="Georgia" w:eastAsia="Georgia" w:hAnsi="Georgia"/>
          <w:b w:val="false"/>
          <w:bCs w:val="false"/>
          <w:i w:val="false"/>
          <w:iCs w:val="false"/>
          <w:sz w:val="24"/>
          <w:szCs w:val="24"/>
        </w:rPr>
        <w:t xml:space="preserve">Governance systems — portfolios of sites, programs, or institutional attention — do not have mathematical models in the control theory sense. Their dynamics emerge from human decisions, political cycles, and institutional memory that cannot be expressed as differential equations. A governance state observer must operate without a system model.</w:t>
      </w:r>
    </w:p>
    <w:p>
      <w:pPr>
        <w:pStyle w:val="Heading2"/>
        <w:spacing w:before="280" w:after="120"/>
      </w:pPr>
      <w:r>
        <w:rPr>
          <w:rFonts w:ascii="Arial" w:cs="Arial" w:eastAsia="Arial" w:hAnsi="Arial"/>
          <w:b/>
          <w:bCs/>
          <w:color w:val="333333"/>
          <w:sz w:val="28"/>
          <w:szCs w:val="28"/>
        </w:rPr>
        <w:t xml:space="preserve">2.2  Social-ecological systems monitoring</w:t>
      </w:r>
    </w:p>
    <w:p>
      <w:pPr>
        <w:spacing w:before="0" w:after="160" w:line="276"/>
        <w:jc w:val="both"/>
      </w:pPr>
      <w:r>
        <w:rPr>
          <w:rFonts w:ascii="Georgia" w:cs="Georgia" w:eastAsia="Georgia" w:hAnsi="Georgia"/>
          <w:b w:val="false"/>
          <w:bCs w:val="false"/>
          <w:i w:val="false"/>
          <w:iCs w:val="false"/>
          <w:sz w:val="24"/>
          <w:szCs w:val="24"/>
        </w:rPr>
        <w:t xml:space="preserve">The social-ecological systems (SES) literature, developed principally through Ostrom's institutional analysis and design framework, provides the most relevant theoretical context for governance monitoring. Ostrom's framework defines a governance system as a set of interactions among resource systems, resource units, governance structures, and actors, with monitoring as a required design principle for long-enduring institutions.</w:t>
      </w:r>
    </w:p>
    <w:p>
      <w:pPr>
        <w:spacing w:before="0" w:after="160" w:line="276"/>
        <w:jc w:val="both"/>
      </w:pPr>
      <w:r>
        <w:rPr>
          <w:rFonts w:ascii="Georgia" w:cs="Georgia" w:eastAsia="Georgia" w:hAnsi="Georgia"/>
          <w:b w:val="false"/>
          <w:bCs w:val="false"/>
          <w:i w:val="false"/>
          <w:iCs w:val="false"/>
          <w:sz w:val="24"/>
          <w:szCs w:val="24"/>
        </w:rPr>
        <w:t xml:space="preserve">The SES monitoring literature has established that effective monitoring requires cross-scale observation and that monitoring must be embedded in the governance system rather than imposed from outside. Recent work on multilayer network monitoring frameworks has extended this to include multilevel observation of ecological, social governance, and social actor layers simultaneously.</w:t>
      </w:r>
    </w:p>
    <w:p>
      <w:pPr>
        <w:spacing w:before="0" w:after="160" w:line="276"/>
        <w:jc w:val="both"/>
      </w:pPr>
      <w:r>
        <w:rPr>
          <w:rFonts w:ascii="Georgia" w:cs="Georgia" w:eastAsia="Georgia" w:hAnsi="Georgia"/>
          <w:b w:val="false"/>
          <w:bCs w:val="false"/>
          <w:i w:val="false"/>
          <w:iCs w:val="false"/>
          <w:sz w:val="24"/>
          <w:szCs w:val="24"/>
        </w:rPr>
        <w:t xml:space="preserve">However, the SES monitoring literature does not provide a standardized instrument for cross-cycle portfolio state observation. Current frameworks describe what should be monitored and at what scales, but they do not provide a constraint that distinguishes deliberate allocation change from silent drift, detects concentration and fragmentation simultaneously, or produces artifacts that travel with the governance record across reporting cycles.</w:t>
      </w:r>
    </w:p>
    <w:p>
      <w:pPr>
        <w:pStyle w:val="Heading2"/>
        <w:spacing w:before="280" w:after="120"/>
      </w:pPr>
      <w:r>
        <w:rPr>
          <w:rFonts w:ascii="Arial" w:cs="Arial" w:eastAsia="Arial" w:hAnsi="Arial"/>
          <w:b/>
          <w:bCs/>
          <w:color w:val="333333"/>
          <w:sz w:val="28"/>
          <w:szCs w:val="28"/>
        </w:rPr>
        <w:t xml:space="preserve">2.3  Ecological monitoring science</w:t>
      </w:r>
    </w:p>
    <w:p>
      <w:pPr>
        <w:spacing w:before="0" w:after="160" w:line="276"/>
        <w:jc w:val="both"/>
      </w:pPr>
      <w:r>
        <w:rPr>
          <w:rFonts w:ascii="Georgia" w:cs="Georgia" w:eastAsia="Georgia" w:hAnsi="Georgia"/>
          <w:b w:val="false"/>
          <w:bCs w:val="false"/>
          <w:i w:val="false"/>
          <w:iCs w:val="false"/>
          <w:sz w:val="24"/>
          <w:szCs w:val="24"/>
        </w:rPr>
        <w:t xml:space="preserve">The ecological monitoring literature classifies long-term monitoring programs into three categories: passive or curiosity-driven monitoring (no specified question or study design), mandated monitoring (data gathered as a legislative requirement, focused on identifying trends), and question-driven monitoring (guided by a conceptual model with rigorous design and testable predictions).</w:t>
      </w:r>
    </w:p>
    <w:p>
      <w:pPr>
        <w:spacing w:before="0" w:after="160" w:line="276"/>
        <w:jc w:val="both"/>
      </w:pPr>
      <w:r>
        <w:rPr>
          <w:rFonts w:ascii="Georgia" w:cs="Georgia" w:eastAsia="Georgia" w:hAnsi="Georgia"/>
          <w:b w:val="false"/>
          <w:bCs w:val="false"/>
          <w:i w:val="false"/>
          <w:iCs w:val="false"/>
          <w:sz w:val="24"/>
          <w:szCs w:val="24"/>
        </w:rPr>
        <w:t xml:space="preserve">Each of these categories is defined by its relationship to an external reference. Passive monitoring has no reference. Mandated monitoring has a legislative reference. Question-driven monitoring has a conceptual model as its reference. All three require something outside the system to define what the monitoring is measuring against.</w:t>
      </w:r>
    </w:p>
    <w:p>
      <w:pPr>
        <w:spacing w:before="0" w:after="160" w:line="276"/>
        <w:jc w:val="both"/>
      </w:pPr>
      <w:r>
        <w:rPr>
          <w:rFonts w:ascii="Georgia" w:cs="Georgia" w:eastAsia="Georgia" w:hAnsi="Georgia"/>
          <w:b w:val="false"/>
          <w:bCs w:val="false"/>
          <w:i w:val="false"/>
          <w:iCs w:val="false"/>
          <w:sz w:val="24"/>
          <w:szCs w:val="24"/>
        </w:rPr>
        <w:t xml:space="preserve">HUF is none of these three. It does not require an external reference, a legislative mandate, or a predefined question or conceptual model. It requires only the system's own declared outputs and the unity constraint. This constitutes a fourth monitoring category that the ecological monitoring literature does not currently define.</w:t>
      </w:r>
    </w:p>
    <w:p>
      <w:pPr>
        <w:pStyle w:val="Heading2"/>
        <w:spacing w:before="280" w:after="120"/>
      </w:pPr>
      <w:r>
        <w:rPr>
          <w:rFonts w:ascii="Arial" w:cs="Arial" w:eastAsia="Arial" w:hAnsi="Arial"/>
          <w:b/>
          <w:bCs/>
          <w:color w:val="333333"/>
          <w:sz w:val="28"/>
          <w:szCs w:val="28"/>
        </w:rPr>
        <w:t xml:space="preserve">2.4  The gap</w:t>
      </w:r>
    </w:p>
    <w:p>
      <w:pPr>
        <w:spacing w:before="0" w:after="160" w:line="276"/>
        <w:jc w:val="both"/>
      </w:pPr>
      <w:r>
        <w:rPr>
          <w:rFonts w:ascii="Georgia" w:cs="Georgia" w:eastAsia="Georgia" w:hAnsi="Georgia"/>
          <w:b w:val="false"/>
          <w:bCs w:val="false"/>
          <w:i w:val="false"/>
          <w:iCs w:val="false"/>
          <w:sz w:val="24"/>
          <w:szCs w:val="24"/>
        </w:rPr>
        <w:t xml:space="preserve">The three fields share a common gap: none provides an instrument that is simultaneously non-invasive (reads the system's own outputs without modifying the system), non-linear (detects drift in multiple directions under the same constraint), self-referential (uses the system's own declared priorities as the reference), and cross-cycle (tracks state change across reporting periods rather than within them).</w:t>
      </w:r>
    </w:p>
    <w:p>
      <w:pPr>
        <w:spacing w:before="0" w:after="160" w:line="276"/>
        <w:jc w:val="both"/>
      </w:pPr>
      <w:r>
        <w:rPr>
          <w:rFonts w:ascii="Georgia" w:cs="Georgia" w:eastAsia="Georgia" w:hAnsi="Georgia"/>
          <w:b w:val="false"/>
          <w:bCs w:val="false"/>
          <w:i w:val="false"/>
          <w:iCs w:val="false"/>
          <w:sz w:val="24"/>
          <w:szCs w:val="24"/>
        </w:rPr>
        <w:t xml:space="preserve">Control theory state observers are non-invasive but require a system model. SES monitoring frameworks are self-referential in their design principles but do not provide a standardized instrument. Ecological monitoring categories are cross-cycle but require external references. HUF fills this gap.</w:t>
      </w:r>
    </w:p>
    <w:p>
      <w:pPr>
        <w:pStyle w:val="Heading1"/>
        <w:pBdr>
          <w:bottom w:val="single" w:color="333333" w:sz="4" w:space="6"/>
        </w:pBdr>
        <w:spacing w:before="400" w:after="200"/>
      </w:pPr>
      <w:r>
        <w:rPr>
          <w:rFonts w:ascii="Arial" w:cs="Arial" w:eastAsia="Arial" w:hAnsi="Arial"/>
          <w:b/>
          <w:bCs/>
          <w:color w:val="1a1a1a"/>
          <w:sz w:val="32"/>
          <w:szCs w:val="32"/>
        </w:rPr>
        <w:t xml:space="preserve">3. The Framework</w:t>
      </w:r>
    </w:p>
    <w:p>
      <w:pPr>
        <w:pStyle w:val="Heading2"/>
        <w:spacing w:before="280" w:after="120"/>
      </w:pPr>
      <w:r>
        <w:rPr>
          <w:rFonts w:ascii="Arial" w:cs="Arial" w:eastAsia="Arial" w:hAnsi="Arial"/>
          <w:b/>
          <w:bCs/>
          <w:color w:val="333333"/>
          <w:sz w:val="28"/>
          <w:szCs w:val="28"/>
        </w:rPr>
        <w:t xml:space="preserve">3.1  The unity constraint</w:t>
      </w:r>
    </w:p>
    <w:p>
      <w:pPr>
        <w:spacing w:before="0" w:after="160" w:line="276"/>
        <w:jc w:val="both"/>
      </w:pPr>
      <w:r>
        <w:rPr>
          <w:rFonts w:ascii="Georgia" w:cs="Georgia" w:eastAsia="Georgia" w:hAnsi="Georgia"/>
          <w:b w:val="false"/>
          <w:bCs w:val="false"/>
          <w:i w:val="false"/>
          <w:iCs w:val="false"/>
          <w:sz w:val="24"/>
          <w:szCs w:val="24"/>
        </w:rPr>
        <w:t xml:space="preserve">The foundational constraint of HUF is the unity budget: all elements of a portfolio sum to 1.0 at all points in time. This is not a normalization operation — it is an accounting constraint. The unity budget requires that every element's share be declared, that the shares sum to the total, and that any change in one element's share produces a corresponding change in the others.</w:t>
      </w:r>
    </w:p>
    <w:p>
      <w:pPr>
        <w:spacing w:before="80" w:after="80" w:line="264"/>
        <w:ind w:left="720" w:right="720"/>
        <w:jc w:val="both"/>
      </w:pPr>
      <w:r>
        <w:rPr>
          <w:rFonts w:ascii="Georgia" w:cs="Georgia" w:eastAsia="Georgia" w:hAnsi="Georgia"/>
          <w:b w:val="false"/>
          <w:bCs w:val="false"/>
          <w:i w:val="false"/>
          <w:iCs w:val="false"/>
          <w:sz w:val="22"/>
          <w:szCs w:val="22"/>
        </w:rPr>
        <w:t xml:space="preserve">∑ᵢ ρᵢ = 1.0</w:t>
      </w:r>
    </w:p>
    <w:p>
      <w:pPr>
        <w:spacing w:before="0" w:after="160" w:line="276"/>
        <w:jc w:val="both"/>
      </w:pPr>
      <w:r>
        <w:rPr>
          <w:rFonts w:ascii="Georgia" w:cs="Georgia" w:eastAsia="Georgia" w:hAnsi="Georgia"/>
          <w:b w:val="false"/>
          <w:bCs w:val="false"/>
          <w:i w:val="false"/>
          <w:iCs w:val="false"/>
          <w:sz w:val="24"/>
          <w:szCs w:val="24"/>
        </w:rPr>
        <w:t xml:space="preserve">where ρᵢ is the share of element i in the portfolio, and the sum is taken over all elements at a given point in time.</w:t>
      </w:r>
    </w:p>
    <w:p>
      <w:pPr>
        <w:spacing w:before="0" w:after="160" w:line="276"/>
        <w:jc w:val="both"/>
      </w:pPr>
      <w:r>
        <w:rPr>
          <w:rFonts w:ascii="Georgia" w:cs="Georgia" w:eastAsia="Georgia" w:hAnsi="Georgia"/>
          <w:b w:val="false"/>
          <w:bCs w:val="false"/>
          <w:i w:val="false"/>
          <w:iCs w:val="false"/>
          <w:sz w:val="24"/>
          <w:szCs w:val="24"/>
        </w:rPr>
        <w:t xml:space="preserve">This constraint is dimensionless. It does not depend on the unit in which the elements are measured — area, score, budget, attention, management effort. The ratio is preserved regardless of the absolute values. This is the property that makes the constraint domain-invariant: a wetland portfolio measured in hectares and a governance portfolio measured in reporting depth are both governed by the same unity constraint when expressed as ratios.</w:t>
      </w:r>
    </w:p>
    <w:p>
      <w:pPr>
        <w:pStyle w:val="Heading2"/>
        <w:spacing w:before="280" w:after="120"/>
      </w:pPr>
      <w:r>
        <w:rPr>
          <w:rFonts w:ascii="Arial" w:cs="Arial" w:eastAsia="Arial" w:hAnsi="Arial"/>
          <w:b/>
          <w:bCs/>
          <w:color w:val="333333"/>
          <w:sz w:val="28"/>
          <w:szCs w:val="28"/>
        </w:rPr>
        <w:t xml:space="preserve">3.2  Non-linearity by construction</w:t>
      </w:r>
    </w:p>
    <w:p>
      <w:pPr>
        <w:spacing w:before="0" w:after="160" w:line="276"/>
        <w:jc w:val="both"/>
      </w:pPr>
      <w:r>
        <w:rPr>
          <w:rFonts w:ascii="Georgia" w:cs="Georgia" w:eastAsia="Georgia" w:hAnsi="Georgia"/>
          <w:b w:val="false"/>
          <w:bCs w:val="false"/>
          <w:i w:val="false"/>
          <w:iCs w:val="false"/>
          <w:sz w:val="24"/>
          <w:szCs w:val="24"/>
        </w:rPr>
        <w:t xml:space="preserve">The unity constraint with reciprocal inversion is non-linear. The base formula selects for long dominance — the condition in which large contributors hold disproportionate share. The reciprocal inversion selects for short dominance — the condition in which small contributors are amplified.</w:t>
      </w:r>
    </w:p>
    <w:p>
      <w:pPr>
        <w:spacing w:before="80" w:after="80" w:line="264"/>
        <w:ind w:left="720" w:right="720"/>
        <w:jc w:val="both"/>
      </w:pPr>
      <w:r>
        <w:rPr>
          <w:rFonts w:ascii="Georgia" w:cs="Georgia" w:eastAsia="Georgia" w:hAnsi="Georgia"/>
          <w:b w:val="false"/>
          <w:bCs w:val="false"/>
          <w:i w:val="false"/>
          <w:iCs w:val="false"/>
          <w:sz w:val="22"/>
          <w:szCs w:val="22"/>
        </w:rPr>
        <w:t xml:space="preserve">ρᵢ⁻¹ = (∑ⱼ ρⱼ) / ρᵢ,  normalized to unity</w:t>
      </w:r>
    </w:p>
    <w:p>
      <w:pPr>
        <w:spacing w:before="0" w:after="160" w:line="276"/>
        <w:jc w:val="both"/>
      </w:pPr>
      <w:r>
        <w:rPr>
          <w:rFonts w:ascii="Georgia" w:cs="Georgia" w:eastAsia="Georgia" w:hAnsi="Georgia"/>
          <w:b w:val="false"/>
          <w:bCs w:val="false"/>
          <w:i w:val="false"/>
          <w:iCs w:val="false"/>
          <w:sz w:val="24"/>
          <w:szCs w:val="24"/>
        </w:rPr>
        <w:t xml:space="preserve">This is not a linear transformation of the base formula. The inversion changes the relationship between the elements: an element that had low share under the base formula has high share under the inversion. The two formulas read the same system from opposite ends of the same constraint.</w:t>
      </w:r>
    </w:p>
    <w:p>
      <w:pPr>
        <w:spacing w:before="0" w:after="160" w:line="276"/>
        <w:jc w:val="both"/>
      </w:pPr>
      <w:r>
        <w:rPr>
          <w:rFonts w:ascii="Georgia" w:cs="Georgia" w:eastAsia="Georgia" w:hAnsi="Georgia"/>
          <w:b w:val="false"/>
          <w:bCs w:val="false"/>
          <w:i w:val="false"/>
          <w:iCs w:val="false"/>
          <w:sz w:val="24"/>
          <w:szCs w:val="24"/>
        </w:rPr>
        <w:t xml:space="preserve">The non-linearity is significant because concentration and fragmentation — portfolio drift in opposite directions — are both detectable under the same constraint, read forward and in reverse. A linear tool requires two separate instruments to detect these two failure modes. HUF detects both simultaneously because the constraint is symmetric.</w:t>
      </w:r>
    </w:p>
    <w:p>
      <w:pPr>
        <w:spacing w:before="0" w:after="160" w:line="276"/>
        <w:jc w:val="both"/>
      </w:pPr>
      <w:r>
        <w:rPr>
          <w:rFonts w:ascii="Georgia" w:cs="Georgia" w:eastAsia="Georgia" w:hAnsi="Georgia"/>
          <w:b w:val="false"/>
          <w:bCs w:val="false"/>
          <w:i w:val="false"/>
          <w:iCs w:val="false"/>
          <w:sz w:val="24"/>
          <w:szCs w:val="24"/>
        </w:rPr>
        <w:t xml:space="preserve">This property derives directly from the acoustic origin of the framework. In a loudspeaker array, excessive energy concentration toward one direction and insufficient energy toward another are both failure modes observable from the same listening position. The measurement does not need to be redesigned to detect the opposite failure mode — the position captures both.</w:t>
      </w:r>
    </w:p>
    <w:p>
      <w:pPr>
        <w:pStyle w:val="Heading2"/>
        <w:spacing w:before="280" w:after="120"/>
      </w:pPr>
      <w:r>
        <w:rPr>
          <w:rFonts w:ascii="Arial" w:cs="Arial" w:eastAsia="Arial" w:hAnsi="Arial"/>
          <w:b/>
          <w:bCs/>
          <w:color w:val="333333"/>
          <w:sz w:val="28"/>
          <w:szCs w:val="28"/>
        </w:rPr>
        <w:t xml:space="preserve">3.3  Non-invasive observation</w:t>
      </w:r>
    </w:p>
    <w:p>
      <w:pPr>
        <w:spacing w:before="0" w:after="160" w:line="276"/>
        <w:jc w:val="both"/>
      </w:pPr>
      <w:r>
        <w:rPr>
          <w:rFonts w:ascii="Georgia" w:cs="Georgia" w:eastAsia="Georgia" w:hAnsi="Georgia"/>
          <w:b w:val="false"/>
          <w:bCs w:val="false"/>
          <w:i w:val="false"/>
          <w:iCs w:val="false"/>
          <w:sz w:val="24"/>
          <w:szCs w:val="24"/>
        </w:rPr>
        <w:t xml:space="preserve">HUF reads the system's own declared outputs: management scores, site areas, reported priority levels, resource allocation figures, assessment dates. It does not require the system to generate new data, adopt new reporting formats, synchronize reporting windows, or modify its governance processes.</w:t>
      </w:r>
    </w:p>
    <w:p>
      <w:pPr>
        <w:spacing w:before="0" w:after="160" w:line="276"/>
        <w:jc w:val="both"/>
      </w:pPr>
      <w:r>
        <w:rPr>
          <w:rFonts w:ascii="Georgia" w:cs="Georgia" w:eastAsia="Georgia" w:hAnsi="Georgia"/>
          <w:b w:val="false"/>
          <w:bCs w:val="false"/>
          <w:i w:val="false"/>
          <w:iCs w:val="false"/>
          <w:sz w:val="24"/>
          <w:szCs w:val="24"/>
        </w:rPr>
        <w:t xml:space="preserve">This non-invasive property is a consequence of the dimensionless constraint. Because the constraint operates on ratios rather than absolute values, it can be applied to any output the system already produces. The observation does not alter the observed. This is the critical distinction from audit-based approaches, which require the system to respond to the observation by producing specific outputs in specific formats — which changes the system's behavior and therefore changes the state being measured.</w:t>
      </w:r>
    </w:p>
    <w:p>
      <w:pPr>
        <w:pStyle w:val="Heading2"/>
        <w:spacing w:before="280" w:after="120"/>
      </w:pPr>
      <w:r>
        <w:rPr>
          <w:rFonts w:ascii="Arial" w:cs="Arial" w:eastAsia="Arial" w:hAnsi="Arial"/>
          <w:b/>
          <w:bCs/>
          <w:color w:val="333333"/>
          <w:sz w:val="28"/>
          <w:szCs w:val="28"/>
        </w:rPr>
        <w:t xml:space="preserve">3.4  The four artifacts</w:t>
      </w:r>
    </w:p>
    <w:p>
      <w:pPr>
        <w:spacing w:before="0" w:after="160" w:line="276"/>
        <w:jc w:val="both"/>
      </w:pPr>
      <w:r>
        <w:rPr>
          <w:rFonts w:ascii="Georgia" w:cs="Georgia" w:eastAsia="Georgia" w:hAnsi="Georgia"/>
          <w:b w:val="false"/>
          <w:bCs w:val="false"/>
          <w:i w:val="false"/>
          <w:iCs w:val="false"/>
          <w:sz w:val="24"/>
          <w:szCs w:val="24"/>
        </w:rPr>
        <w:t xml:space="preserve">HUF produces four artifacts from each observation cycle:</w:t>
      </w:r>
    </w:p>
    <w:p>
      <w:pPr>
        <w:spacing w:before="0" w:after="160" w:line="276"/>
        <w:jc w:val="both"/>
      </w:pPr>
      <w:r>
        <w:rPr>
          <w:rFonts w:ascii="Georgia" w:cs="Georgia" w:eastAsia="Georgia" w:hAnsi="Georgia"/>
          <w:b w:val="false"/>
          <w:bCs w:val="false"/>
          <w:i w:val="false"/>
          <w:iCs w:val="false"/>
          <w:sz w:val="24"/>
          <w:szCs w:val="24"/>
        </w:rPr>
        <w:t xml:space="preserve">Portfolio share table. The current allocation state: each element's proportional share of the total portfolio at the point of observation. This is the instantaneous snapshot of system state.</w:t>
      </w:r>
    </w:p>
    <w:p>
      <w:pPr>
        <w:spacing w:before="0" w:after="160" w:line="276"/>
        <w:jc w:val="both"/>
      </w:pPr>
      <w:r>
        <w:rPr>
          <w:rFonts w:ascii="Georgia" w:cs="Georgia" w:eastAsia="Georgia" w:hAnsi="Georgia"/>
          <w:b w:val="false"/>
          <w:bCs w:val="false"/>
          <w:i w:val="false"/>
          <w:iCs w:val="false"/>
          <w:sz w:val="24"/>
          <w:szCs w:val="24"/>
        </w:rPr>
        <w:t xml:space="preserve">Trace report. The declared reasoning behind the current allocation: which priorities were declared by which governance actors, what data age constraints apply to which elements, and how the unity constraint was enforced.</w:t>
      </w:r>
    </w:p>
    <w:p>
      <w:pPr>
        <w:spacing w:before="0" w:after="160" w:line="276"/>
        <w:jc w:val="both"/>
      </w:pPr>
      <w:r>
        <w:rPr>
          <w:rFonts w:ascii="Georgia" w:cs="Georgia" w:eastAsia="Georgia" w:hAnsi="Georgia"/>
          <w:b w:val="false"/>
          <w:bCs w:val="false"/>
          <w:i w:val="false"/>
          <w:iCs w:val="false"/>
          <w:sz w:val="24"/>
          <w:szCs w:val="24"/>
        </w:rPr>
        <w:t xml:space="preserve">Portfolio change log. The comparison between the current state and the previous state: which elements changed share, by how much, whether the change was intentional (traceable to a declared decision) or silent (not traceable to any recorded decision). This is the drift detection artifact.</w:t>
      </w:r>
    </w:p>
    <w:p>
      <w:pPr>
        <w:spacing w:before="0" w:after="160" w:line="276"/>
        <w:jc w:val="both"/>
      </w:pPr>
      <w:r>
        <w:rPr>
          <w:rFonts w:ascii="Georgia" w:cs="Georgia" w:eastAsia="Georgia" w:hAnsi="Georgia"/>
          <w:b w:val="false"/>
          <w:bCs w:val="false"/>
          <w:i w:val="false"/>
          <w:iCs w:val="false"/>
          <w:sz w:val="24"/>
          <w:szCs w:val="24"/>
        </w:rPr>
        <w:t xml:space="preserve">Coverage record. The record of elements that received reduced focus: which elements lost share, against what criteria the reduction was justified, and what the declared reasoning was.</w:t>
      </w:r>
    </w:p>
    <w:p>
      <w:pPr>
        <w:spacing w:before="0" w:after="160" w:line="276"/>
        <w:jc w:val="both"/>
      </w:pPr>
      <w:r>
        <w:rPr>
          <w:rFonts w:ascii="Georgia" w:cs="Georgia" w:eastAsia="Georgia" w:hAnsi="Georgia"/>
          <w:b w:val="false"/>
          <w:bCs w:val="false"/>
          <w:i w:val="false"/>
          <w:iCs w:val="false"/>
          <w:sz w:val="24"/>
          <w:szCs w:val="24"/>
        </w:rPr>
        <w:t xml:space="preserve">All four are plain tabular outputs. All four attach to existing governance reporting structures without requiring the reader to understand the underlying mathematical constraint.</w:t>
      </w:r>
    </w:p>
    <w:p>
      <w:pPr>
        <w:pStyle w:val="Heading1"/>
        <w:pBdr>
          <w:bottom w:val="single" w:color="333333" w:sz="4" w:space="6"/>
        </w:pBdr>
        <w:spacing w:before="400" w:after="200"/>
      </w:pPr>
      <w:r>
        <w:rPr>
          <w:rFonts w:ascii="Arial" w:cs="Arial" w:eastAsia="Arial" w:hAnsi="Arial"/>
          <w:b/>
          <w:bCs/>
          <w:color w:val="1a1a1a"/>
          <w:sz w:val="32"/>
          <w:szCs w:val="32"/>
        </w:rPr>
        <w:t xml:space="preserve">4. System Q and the Phase Problem</w:t>
      </w:r>
    </w:p>
    <w:p>
      <w:pPr>
        <w:pStyle w:val="Heading2"/>
        <w:spacing w:before="280" w:after="120"/>
      </w:pPr>
      <w:r>
        <w:rPr>
          <w:rFonts w:ascii="Arial" w:cs="Arial" w:eastAsia="Arial" w:hAnsi="Arial"/>
          <w:b/>
          <w:bCs/>
          <w:color w:val="333333"/>
          <w:sz w:val="28"/>
          <w:szCs w:val="28"/>
        </w:rPr>
        <w:t xml:space="preserve">4.1  Quality factor in physical systems</w:t>
      </w:r>
    </w:p>
    <w:p>
      <w:pPr>
        <w:spacing w:before="0" w:after="160" w:line="276"/>
        <w:jc w:val="both"/>
      </w:pPr>
      <w:r>
        <w:rPr>
          <w:rFonts w:ascii="Georgia" w:cs="Georgia" w:eastAsia="Georgia" w:hAnsi="Georgia"/>
          <w:b w:val="false"/>
          <w:bCs w:val="false"/>
          <w:i w:val="false"/>
          <w:iCs w:val="false"/>
          <w:sz w:val="24"/>
          <w:szCs w:val="24"/>
        </w:rPr>
        <w:t xml:space="preserve">The quality factor Q — defined as the ratio of stored energy to dissipated energy in a resonant system per cycle — describes how sharply a system responds at its resonant frequency relative to how much energy it loses to its environment. A high-Q system resonates sharply at one frequency: precise, efficient, and irreplaceable at that frequency, largely invisible at others. A low-Q system responds broadly: tolerant, robust, and effective across a range of conditions.</w:t>
      </w:r>
    </w:p>
    <w:p>
      <w:pPr>
        <w:spacing w:before="0" w:after="160" w:line="276"/>
        <w:jc w:val="both"/>
      </w:pPr>
      <w:r>
        <w:rPr>
          <w:rFonts w:ascii="Georgia" w:cs="Georgia" w:eastAsia="Georgia" w:hAnsi="Georgia"/>
          <w:b w:val="false"/>
          <w:bCs w:val="false"/>
          <w:i w:val="false"/>
          <w:iCs w:val="false"/>
          <w:sz w:val="24"/>
          <w:szCs w:val="24"/>
        </w:rPr>
        <w:t xml:space="preserve">Q is always a ratio. It is never an absolute value. A high-Q element's value cannot be assessed by measuring its output at a frequency other than its resonant frequency — which is precisely what a snapshot observation does when it catches the element at a point in its cycle where it is not actively contributing to the system's current output.</w:t>
      </w:r>
    </w:p>
    <w:p>
      <w:pPr>
        <w:pStyle w:val="Heading2"/>
        <w:spacing w:before="280" w:after="120"/>
      </w:pPr>
      <w:r>
        <w:rPr>
          <w:rFonts w:ascii="Arial" w:cs="Arial" w:eastAsia="Arial" w:hAnsi="Arial"/>
          <w:b/>
          <w:bCs/>
          <w:color w:val="333333"/>
          <w:sz w:val="28"/>
          <w:szCs w:val="28"/>
        </w:rPr>
        <w:t xml:space="preserve">4.2  Q in governance systems</w:t>
      </w:r>
    </w:p>
    <w:p>
      <w:pPr>
        <w:spacing w:before="0" w:after="160" w:line="276"/>
        <w:jc w:val="both"/>
      </w:pPr>
      <w:r>
        <w:rPr>
          <w:rFonts w:ascii="Georgia" w:cs="Georgia" w:eastAsia="Georgia" w:hAnsi="Georgia"/>
          <w:b w:val="false"/>
          <w:bCs w:val="false"/>
          <w:i w:val="false"/>
          <w:iCs w:val="false"/>
          <w:sz w:val="24"/>
          <w:szCs w:val="24"/>
        </w:rPr>
        <w:t xml:space="preserve">In a wetland portfolio, a high-Q site is one with narrow ecological specificity: precise hydrological requirements, endemic species, restricted habitat range. It contributes maximally to the portfolio at specific ecological moments — migratory stopover windows, spawning cycles, inundation periods — and appears low-activity at all other times. Its Q is high: it resonates sharply at its characteristic ecological frequency and is largely invisible outside that frequency.</w:t>
      </w:r>
    </w:p>
    <w:p>
      <w:pPr>
        <w:spacing w:before="0" w:after="160" w:line="276"/>
        <w:jc w:val="both"/>
      </w:pPr>
      <w:r>
        <w:rPr>
          <w:rFonts w:ascii="Georgia" w:cs="Georgia" w:eastAsia="Georgia" w:hAnsi="Georgia"/>
          <w:b w:val="false"/>
          <w:bCs w:val="false"/>
          <w:i w:val="false"/>
          <w:iCs w:val="false"/>
          <w:sz w:val="24"/>
          <w:szCs w:val="24"/>
        </w:rPr>
        <w:t xml:space="preserve">A low-Q site is broadly functional: generalist habitat, tolerant hydrology, flexible management requirements. It contributes steadily across all reporting cycles and provides the portfolio's baseline stability.</w:t>
      </w:r>
    </w:p>
    <w:p>
      <w:pPr>
        <w:spacing w:before="0" w:after="160" w:line="276"/>
        <w:jc w:val="both"/>
      </w:pPr>
      <w:r>
        <w:rPr>
          <w:rFonts w:ascii="Georgia" w:cs="Georgia" w:eastAsia="Georgia" w:hAnsi="Georgia"/>
          <w:b w:val="false"/>
          <w:bCs w:val="false"/>
          <w:i w:val="false"/>
          <w:iCs w:val="false"/>
          <w:sz w:val="24"/>
          <w:szCs w:val="24"/>
        </w:rPr>
        <w:t xml:space="preserve">A healthy portfolio requires both high-Q and low-Q elements. The high-Q elements provide the portfolio's specific, irreplaceable ecological functions. The low-Q elements provide its resilience.</w:t>
      </w:r>
    </w:p>
    <w:p>
      <w:pPr>
        <w:pStyle w:val="Heading2"/>
        <w:spacing w:before="280" w:after="120"/>
      </w:pPr>
      <w:r>
        <w:rPr>
          <w:rFonts w:ascii="Arial" w:cs="Arial" w:eastAsia="Arial" w:hAnsi="Arial"/>
          <w:b/>
          <w:bCs/>
          <w:color w:val="333333"/>
          <w:sz w:val="28"/>
          <w:szCs w:val="28"/>
        </w:rPr>
        <w:t xml:space="preserve">4.3  The snapshot error</w:t>
      </w:r>
    </w:p>
    <w:p>
      <w:pPr>
        <w:spacing w:before="0" w:after="160" w:line="276"/>
        <w:jc w:val="both"/>
      </w:pPr>
      <w:r>
        <w:rPr>
          <w:rFonts w:ascii="Georgia" w:cs="Georgia" w:eastAsia="Georgia" w:hAnsi="Georgia"/>
          <w:b w:val="false"/>
          <w:bCs w:val="false"/>
          <w:i w:val="false"/>
          <w:iCs w:val="false"/>
          <w:sz w:val="24"/>
          <w:szCs w:val="24"/>
        </w:rPr>
        <w:t xml:space="preserve">A governance system that observes its portfolio at a single point in time is systematically biased toward measuring high-Q elements at points in their cycle where they appear low-activity. A migratory stopover site observed outside its migration window looks empty. A spawning site observed outside the spawning season looks inactive. An endemic species site with a multi-year population cycle observed in a low phase looks like a poorly managed site.</w:t>
      </w:r>
    </w:p>
    <w:p>
      <w:pPr>
        <w:spacing w:before="0" w:after="160" w:line="276"/>
        <w:jc w:val="both"/>
      </w:pPr>
      <w:r>
        <w:rPr>
          <w:rFonts w:ascii="Georgia" w:cs="Georgia" w:eastAsia="Georgia" w:hAnsi="Georgia"/>
          <w:b w:val="false"/>
          <w:bCs w:val="false"/>
          <w:i w:val="false"/>
          <w:iCs w:val="false"/>
          <w:sz w:val="24"/>
          <w:szCs w:val="24"/>
        </w:rPr>
        <w:t xml:space="preserve">The snapshot observation reads individual phase as contribution. An element at a trough in its cycle appears to be contributing nothing. The governance decision made from this snapshot removes the element that is genuinely high-value — because its value is expressed at a characteristic frequency that the snapshot did not capture.</w:t>
      </w:r>
    </w:p>
    <w:p>
      <w:pPr>
        <w:spacing w:before="0" w:after="160" w:line="276"/>
        <w:jc w:val="both"/>
      </w:pPr>
      <w:r>
        <w:rPr>
          <w:rFonts w:ascii="Georgia" w:cs="Georgia" w:eastAsia="Georgia" w:hAnsi="Georgia"/>
          <w:b w:val="false"/>
          <w:bCs w:val="false"/>
          <w:i w:val="false"/>
          <w:iCs w:val="false"/>
          <w:sz w:val="24"/>
          <w:szCs w:val="24"/>
        </w:rPr>
        <w:t xml:space="preserve">This is the mechanism by which snapshot-based governance decisions systematically remove high-Q elements. It is not a failure of intent. It is a structural failure of the observation methodology.</w:t>
      </w:r>
    </w:p>
    <w:p>
      <w:pPr>
        <w:pStyle w:val="Heading2"/>
        <w:spacing w:before="280" w:after="120"/>
      </w:pPr>
      <w:r>
        <w:rPr>
          <w:rFonts w:ascii="Arial" w:cs="Arial" w:eastAsia="Arial" w:hAnsi="Arial"/>
          <w:b/>
          <w:bCs/>
          <w:color w:val="333333"/>
          <w:sz w:val="28"/>
          <w:szCs w:val="28"/>
        </w:rPr>
        <w:t xml:space="preserve">4.4  The minimum observation requirement</w:t>
      </w:r>
    </w:p>
    <w:p>
      <w:pPr>
        <w:spacing w:before="0" w:after="160" w:line="276"/>
        <w:jc w:val="both"/>
      </w:pPr>
      <w:r>
        <w:rPr>
          <w:rFonts w:ascii="Georgia" w:cs="Georgia" w:eastAsia="Georgia" w:hAnsi="Georgia"/>
          <w:b w:val="false"/>
          <w:bCs w:val="false"/>
          <w:i w:val="false"/>
          <w:iCs w:val="false"/>
          <w:sz w:val="24"/>
          <w:szCs w:val="24"/>
        </w:rPr>
        <w:t xml:space="preserve">To distinguish phase from contribution, a system must be observed across at least one full period of its lowest-frequency element's characteristic cycle. For a migratory stopover site with a seasonal cycle, the minimum window is one year. For a site with a multi-year population cycle, the minimum is several years.</w:t>
      </w:r>
    </w:p>
    <w:p>
      <w:pPr>
        <w:spacing w:before="0" w:after="160" w:line="276"/>
        <w:jc w:val="both"/>
      </w:pPr>
      <w:r>
        <w:rPr>
          <w:rFonts w:ascii="Georgia" w:cs="Georgia" w:eastAsia="Georgia" w:hAnsi="Georgia"/>
          <w:b w:val="false"/>
          <w:bCs w:val="false"/>
          <w:i w:val="false"/>
          <w:iCs w:val="false"/>
          <w:sz w:val="24"/>
          <w:szCs w:val="24"/>
        </w:rPr>
        <w:t xml:space="preserve">HUF's cross-cycle tracking is the minimum instrument required to avoid the snapshot error. The portfolio change log makes the distinction between intentional change and silent drift auditable across cycles. The trace report records the declared priorities that define the intended allocation across cycles. Together, they convert phase readings into contribution readings — the only operation that makes Q-sensitive governance decisions possible.</w:t>
      </w:r>
    </w:p>
    <w:p>
      <w:pPr>
        <w:spacing w:before="0" w:after="160" w:line="276"/>
        <w:jc w:val="both"/>
      </w:pPr>
      <w:r>
        <w:rPr>
          <w:rFonts w:ascii="Georgia" w:cs="Georgia" w:eastAsia="Georgia" w:hAnsi="Georgia"/>
          <w:b w:val="false"/>
          <w:bCs w:val="false"/>
          <w:i w:val="false"/>
          <w:iCs w:val="false"/>
          <w:sz w:val="24"/>
          <w:szCs w:val="24"/>
        </w:rPr>
        <w:t xml:space="preserve">The habitat analogy is precise: loss of critical habitat is not loss of current occupancy. A wetland that appears empty in winter is not empty. It is in its phase. Remove it and the migratory system loses its waypoint. The loss does not manifest until the next cycle — by which time the decision is irreversible.</w:t>
      </w:r>
    </w:p>
    <w:p>
      <w:pPr>
        <w:pStyle w:val="Heading1"/>
        <w:pBdr>
          <w:bottom w:val="single" w:color="333333" w:sz="4" w:space="6"/>
        </w:pBdr>
        <w:spacing w:before="400" w:after="200"/>
      </w:pPr>
      <w:r>
        <w:rPr>
          <w:rFonts w:ascii="Arial" w:cs="Arial" w:eastAsia="Arial" w:hAnsi="Arial"/>
          <w:b/>
          <w:bCs/>
          <w:color w:val="1a1a1a"/>
          <w:sz w:val="32"/>
          <w:szCs w:val="32"/>
        </w:rPr>
        <w:t xml:space="preserve">5. The Self-Governing Condition</w:t>
      </w:r>
    </w:p>
    <w:p>
      <w:pPr>
        <w:pStyle w:val="Heading2"/>
        <w:spacing w:before="280" w:after="120"/>
      </w:pPr>
      <w:r>
        <w:rPr>
          <w:rFonts w:ascii="Arial" w:cs="Arial" w:eastAsia="Arial" w:hAnsi="Arial"/>
          <w:b/>
          <w:bCs/>
          <w:color w:val="333333"/>
          <w:sz w:val="28"/>
          <w:szCs w:val="28"/>
        </w:rPr>
        <w:t xml:space="preserve">5.1  Definition</w:t>
      </w:r>
    </w:p>
    <w:p>
      <w:pPr>
        <w:spacing w:before="0" w:after="160" w:line="276"/>
        <w:jc w:val="both"/>
      </w:pPr>
      <w:r>
        <w:rPr>
          <w:rFonts w:ascii="Georgia" w:cs="Georgia" w:eastAsia="Georgia" w:hAnsi="Georgia"/>
          <w:b w:val="false"/>
          <w:bCs w:val="false"/>
          <w:i w:val="false"/>
          <w:iCs w:val="false"/>
          <w:sz w:val="24"/>
          <w:szCs w:val="24"/>
        </w:rPr>
        <w:t xml:space="preserve">A governance system is self-governing when it generates its own correction signals — when the system's artifacts feed back into the governance process as the reference for the next cycle's correction decisions, rather than requiring external audit or external reference to identify drift.</w:t>
      </w:r>
    </w:p>
    <w:p>
      <w:pPr>
        <w:spacing w:before="0" w:after="160" w:line="276"/>
        <w:jc w:val="both"/>
      </w:pPr>
      <w:r>
        <w:rPr>
          <w:rFonts w:ascii="Georgia" w:cs="Georgia" w:eastAsia="Georgia" w:hAnsi="Georgia"/>
          <w:b w:val="false"/>
          <w:bCs w:val="false"/>
          <w:i w:val="false"/>
          <w:iCs w:val="false"/>
          <w:sz w:val="24"/>
          <w:szCs w:val="24"/>
        </w:rPr>
        <w:t xml:space="preserve">This is the governance analog of the loudspeaker ground state: the condition in which the array has converged to a state where the unity budget is self-evident — the system knows where all its energy is, can account for all of it, and can correct any deviation without external instruction.</w:t>
      </w:r>
    </w:p>
    <w:p>
      <w:pPr>
        <w:spacing w:before="0" w:after="160" w:line="276"/>
        <w:jc w:val="both"/>
      </w:pPr>
      <w:r>
        <w:rPr>
          <w:rFonts w:ascii="Georgia" w:cs="Georgia" w:eastAsia="Georgia" w:hAnsi="Georgia"/>
          <w:b w:val="false"/>
          <w:bCs w:val="false"/>
          <w:i w:val="false"/>
          <w:iCs w:val="false"/>
          <w:sz w:val="24"/>
          <w:szCs w:val="24"/>
        </w:rPr>
        <w:t xml:space="preserve">Four conditions define the self-governing state: (1) The feedback loop is closed — the four HUF artifacts feed back into the next cycle's declared priorities. (2) The correction mechanism is calibrated to the system's own characteristic frequencies — corrections are triggered by observed drift in the system's own cycles, not by external audit schedules. (3) The noise floor is low enough — silent reweighting is detectable because the portfolio change log distinguishes it from intentional change. (4) Operator interventions become less frequent over time — not because the operator has withdrawn, but because the system is converging on its own stable allocation state.</w:t>
      </w:r>
    </w:p>
    <w:p>
      <w:pPr>
        <w:pStyle w:val="Heading2"/>
        <w:spacing w:before="280" w:after="120"/>
      </w:pPr>
      <w:r>
        <w:rPr>
          <w:rFonts w:ascii="Arial" w:cs="Arial" w:eastAsia="Arial" w:hAnsi="Arial"/>
          <w:b/>
          <w:bCs/>
          <w:color w:val="333333"/>
          <w:sz w:val="28"/>
          <w:szCs w:val="28"/>
        </w:rPr>
        <w:t xml:space="preserve">5.2  Why the self-governing condition is rare</w:t>
      </w:r>
    </w:p>
    <w:p>
      <w:pPr>
        <w:spacing w:before="0" w:after="160" w:line="276"/>
        <w:jc w:val="both"/>
      </w:pPr>
      <w:r>
        <w:rPr>
          <w:rFonts w:ascii="Georgia" w:cs="Georgia" w:eastAsia="Georgia" w:hAnsi="Georgia"/>
          <w:b w:val="false"/>
          <w:bCs w:val="false"/>
          <w:i w:val="false"/>
          <w:iCs w:val="false"/>
          <w:sz w:val="24"/>
          <w:szCs w:val="24"/>
        </w:rPr>
        <w:t xml:space="preserve">Governance systems rarely reach the self-governing condition for the same reason that loudspeaker arrays designed in anechoic chambers rarely reach the acoustic ground state: the observation methodology is mismatched to the system's operating environment.</w:t>
      </w:r>
    </w:p>
    <w:p>
      <w:pPr>
        <w:spacing w:before="0" w:after="160" w:line="276"/>
        <w:jc w:val="both"/>
      </w:pPr>
      <w:r>
        <w:rPr>
          <w:rFonts w:ascii="Georgia" w:cs="Georgia" w:eastAsia="Georgia" w:hAnsi="Georgia"/>
          <w:b w:val="false"/>
          <w:bCs w:val="false"/>
          <w:i w:val="false"/>
          <w:iCs w:val="false"/>
          <w:sz w:val="24"/>
          <w:szCs w:val="24"/>
        </w:rPr>
        <w:t xml:space="preserve">A correction mechanism calibrated to external audit schedules rather than the system's own characteristic frequencies will always be responding to the wrong signal. An annual reporting cycle that measures all sites at the same point in the calendar year will always observe high-Q sites at random points in their ecological cycles.</w:t>
      </w:r>
    </w:p>
    <w:p>
      <w:pPr>
        <w:spacing w:before="0" w:after="160" w:line="276"/>
        <w:jc w:val="both"/>
      </w:pPr>
      <w:r>
        <w:rPr>
          <w:rFonts w:ascii="Georgia" w:cs="Georgia" w:eastAsia="Georgia" w:hAnsi="Georgia"/>
          <w:b w:val="false"/>
          <w:bCs w:val="false"/>
          <w:i w:val="false"/>
          <w:iCs w:val="false"/>
          <w:sz w:val="24"/>
          <w:szCs w:val="24"/>
        </w:rPr>
        <w:t xml:space="preserve">The additional structural challenge in governance systems is that the agents making correction decisions are also elements of the system being corrected. A governance body that interprets a low-frequency element's trough as absence and removes it is a high-frequency correction mechanism applying a snapshot error to a low-frequency process. Each such correction increases the system's noise floor. As the noise floor rises, the correction mechanism has less signal to work with and makes more errors. The iterative correction process runs in the wrong direction.</w:t>
      </w:r>
    </w:p>
    <w:p>
      <w:pPr>
        <w:spacing w:before="0" w:after="160" w:line="276"/>
        <w:jc w:val="both"/>
      </w:pPr>
      <w:r>
        <w:rPr>
          <w:rFonts w:ascii="Georgia" w:cs="Georgia" w:eastAsia="Georgia" w:hAnsi="Georgia"/>
          <w:b w:val="false"/>
          <w:bCs w:val="false"/>
          <w:i w:val="false"/>
          <w:iCs w:val="false"/>
          <w:sz w:val="24"/>
          <w:szCs w:val="24"/>
        </w:rPr>
        <w:t xml:space="preserve">HUF addresses this by separating the observation layer from the correction layer. The unity constraint is the observation. The operator's declared weights are the correction. The separation ensures that correction decisions are made against a cross-cycle record — not against a single snapshot.</w:t>
      </w:r>
    </w:p>
    <w:p>
      <w:pPr>
        <w:pStyle w:val="Heading2"/>
        <w:spacing w:before="280" w:after="120"/>
      </w:pPr>
      <w:r>
        <w:rPr>
          <w:rFonts w:ascii="Arial" w:cs="Arial" w:eastAsia="Arial" w:hAnsi="Arial"/>
          <w:b/>
          <w:bCs/>
          <w:color w:val="333333"/>
          <w:sz w:val="28"/>
          <w:szCs w:val="28"/>
        </w:rPr>
        <w:t xml:space="preserve">5.3  Convergence</w:t>
      </w:r>
    </w:p>
    <w:p>
      <w:pPr>
        <w:spacing w:before="0" w:after="160" w:line="276"/>
        <w:jc w:val="both"/>
      </w:pPr>
      <w:r>
        <w:rPr>
          <w:rFonts w:ascii="Georgia" w:cs="Georgia" w:eastAsia="Georgia" w:hAnsi="Georgia"/>
          <w:b w:val="false"/>
          <w:bCs w:val="false"/>
          <w:i w:val="false"/>
          <w:iCs w:val="false"/>
          <w:sz w:val="24"/>
          <w:szCs w:val="24"/>
        </w:rPr>
        <w:t xml:space="preserve">The self-governing condition is a target state: a condition the system approaches through iterative directed corrections when the feedback loop is closed and the correction mechanism is calibrated to the system's own frequencies.</w:t>
      </w:r>
    </w:p>
    <w:p>
      <w:pPr>
        <w:spacing w:before="0" w:after="160" w:line="276"/>
        <w:jc w:val="both"/>
      </w:pPr>
      <w:r>
        <w:rPr>
          <w:rFonts w:ascii="Georgia" w:cs="Georgia" w:eastAsia="Georgia" w:hAnsi="Georgia"/>
          <w:b w:val="false"/>
          <w:bCs w:val="false"/>
          <w:i w:val="false"/>
          <w:iCs w:val="false"/>
          <w:sz w:val="24"/>
          <w:szCs w:val="24"/>
        </w:rPr>
        <w:t xml:space="preserve">The rate of convergence depends on the Q differential between the system's elements: the wider the range of characteristic frequencies, the longer the observation window required to distinguish phase from contribution, and the more correction cycles required to reach stability. A portfolio with all low-Q elements will converge quickly. A portfolio with a mix of high-Q and low-Q elements will converge more slowly but will, when it converges, be more stable.</w:t>
      </w:r>
    </w:p>
    <w:p>
      <w:pPr>
        <w:spacing w:before="0" w:after="160" w:line="276"/>
        <w:jc w:val="both"/>
      </w:pPr>
      <w:r>
        <w:rPr>
          <w:rFonts w:ascii="Georgia" w:cs="Georgia" w:eastAsia="Georgia" w:hAnsi="Georgia"/>
          <w:b w:val="false"/>
          <w:bCs w:val="false"/>
          <w:i w:val="false"/>
          <w:iCs w:val="false"/>
          <w:sz w:val="24"/>
          <w:szCs w:val="24"/>
        </w:rPr>
        <w:t xml:space="preserve">The unity constraint is the condition that makes convergence possible. Without it, the system has no internal reference for what proportional allocation means, no instrument for detecting drift from that reference, and no basis for distinguishing deliberate change from silent reweighting.</w:t>
      </w:r>
    </w:p>
    <w:p>
      <w:pPr>
        <w:pStyle w:val="Heading1"/>
        <w:pBdr>
          <w:bottom w:val="single" w:color="333333" w:sz="4" w:space="6"/>
        </w:pBdr>
        <w:spacing w:before="400" w:after="200"/>
      </w:pPr>
      <w:r>
        <w:rPr>
          <w:rFonts w:ascii="Arial" w:cs="Arial" w:eastAsia="Arial" w:hAnsi="Arial"/>
          <w:b/>
          <w:bCs/>
          <w:color w:val="1a1a1a"/>
          <w:sz w:val="32"/>
          <w:szCs w:val="32"/>
        </w:rPr>
        <w:t xml:space="preserve">6. Positioning in the Literature</w:t>
      </w:r>
    </w:p>
    <w:p>
      <w:pPr>
        <w:pStyle w:val="Heading2"/>
        <w:spacing w:before="280" w:after="120"/>
      </w:pPr>
      <w:r>
        <w:rPr>
          <w:rFonts w:ascii="Arial" w:cs="Arial" w:eastAsia="Arial" w:hAnsi="Arial"/>
          <w:b/>
          <w:bCs/>
          <w:color w:val="333333"/>
          <w:sz w:val="28"/>
          <w:szCs w:val="28"/>
        </w:rPr>
        <w:t xml:space="preserve">6.1  Relation to control theory state observers</w:t>
      </w:r>
    </w:p>
    <w:p>
      <w:pPr>
        <w:spacing w:before="0" w:after="160" w:line="276"/>
        <w:jc w:val="both"/>
      </w:pPr>
      <w:r>
        <w:rPr>
          <w:rFonts w:ascii="Georgia" w:cs="Georgia" w:eastAsia="Georgia" w:hAnsi="Georgia"/>
          <w:b w:val="false"/>
          <w:bCs w:val="false"/>
          <w:i w:val="false"/>
          <w:iCs w:val="false"/>
          <w:sz w:val="24"/>
          <w:szCs w:val="24"/>
        </w:rPr>
        <w:t xml:space="preserve">HUF shares with control theory state observers the property of non-invasive observation: both read the system's outputs rather than intervening in its operations. HUF differs in that it requires no system model. The unity constraint operates on the system's own internal ratios without requiring knowledge of the system's dynamics, transfer function, or state-space representation. This makes HUF applicable to systems that cannot be modeled mathematically: governance institutions, ecological portfolios, social-ecological networks.</w:t>
      </w:r>
    </w:p>
    <w:p>
      <w:pPr>
        <w:pStyle w:val="Heading2"/>
        <w:spacing w:before="280" w:after="120"/>
      </w:pPr>
      <w:r>
        <w:rPr>
          <w:rFonts w:ascii="Arial" w:cs="Arial" w:eastAsia="Arial" w:hAnsi="Arial"/>
          <w:b/>
          <w:bCs/>
          <w:color w:val="333333"/>
          <w:sz w:val="28"/>
          <w:szCs w:val="28"/>
        </w:rPr>
        <w:t xml:space="preserve">6.2  Relation to SES monitoring frameworks</w:t>
      </w:r>
    </w:p>
    <w:p>
      <w:pPr>
        <w:spacing w:before="0" w:after="160" w:line="276"/>
        <w:jc w:val="both"/>
      </w:pPr>
      <w:r>
        <w:rPr>
          <w:rFonts w:ascii="Georgia" w:cs="Georgia" w:eastAsia="Georgia" w:hAnsi="Georgia"/>
          <w:b w:val="false"/>
          <w:bCs w:val="false"/>
          <w:i w:val="false"/>
          <w:iCs w:val="false"/>
          <w:sz w:val="24"/>
          <w:szCs w:val="24"/>
        </w:rPr>
        <w:t xml:space="preserve">HUF is consistent with Ostrom's design principle that monitoring should be conducted by or accountable to the users of the system. The trace report records the governance actors' own declared priorities as the reference for the observation. The portfolio change log detects deviation from those declared priorities. The observation is self-referential: the reference is the system's own declared intent, not an external standard.</w:t>
      </w:r>
    </w:p>
    <w:p>
      <w:pPr>
        <w:spacing w:before="0" w:after="160" w:line="276"/>
        <w:jc w:val="both"/>
      </w:pPr>
      <w:r>
        <w:rPr>
          <w:rFonts w:ascii="Georgia" w:cs="Georgia" w:eastAsia="Georgia" w:hAnsi="Georgia"/>
          <w:b w:val="false"/>
          <w:bCs w:val="false"/>
          <w:i w:val="false"/>
          <w:iCs w:val="false"/>
          <w:sz w:val="24"/>
          <w:szCs w:val="24"/>
        </w:rPr>
        <w:t xml:space="preserve">HUF extends the SES monitoring framework by providing the specific instrument that the framework's design principles require but do not specify: a constraint that operates on the system's own outputs, produces traceable artifacts, and distinguishes deliberate change from silent drift across reporting cycles.</w:t>
      </w:r>
    </w:p>
    <w:p>
      <w:pPr>
        <w:pStyle w:val="Heading2"/>
        <w:spacing w:before="280" w:after="120"/>
      </w:pPr>
      <w:r>
        <w:rPr>
          <w:rFonts w:ascii="Arial" w:cs="Arial" w:eastAsia="Arial" w:hAnsi="Arial"/>
          <w:b/>
          <w:bCs/>
          <w:color w:val="333333"/>
          <w:sz w:val="28"/>
          <w:szCs w:val="28"/>
        </w:rPr>
        <w:t xml:space="preserve">6.3  A fourth monitoring category</w:t>
      </w:r>
    </w:p>
    <w:p>
      <w:pPr>
        <w:spacing w:before="0" w:after="160" w:line="276"/>
        <w:jc w:val="both"/>
      </w:pPr>
      <w:r>
        <w:rPr>
          <w:rFonts w:ascii="Georgia" w:cs="Georgia" w:eastAsia="Georgia" w:hAnsi="Georgia"/>
          <w:b w:val="false"/>
          <w:bCs w:val="false"/>
          <w:i w:val="false"/>
          <w:iCs w:val="false"/>
          <w:sz w:val="24"/>
          <w:szCs w:val="24"/>
        </w:rPr>
        <w:t xml:space="preserve">HUF defines a fourth category of monitoring that the ecological monitoring literature does not currently recognize: self-referential non-invasive governance state observation. The defining properties are: no external reference required, no system model required, no modification of the system being observed, detection of drift in multiple directions under the same constraint, distinction between deliberate change and silent drift, and cross-cycle traceability in artifacts that travel with the governance record.</w:t>
      </w:r>
    </w:p>
    <w:p>
      <w:pPr>
        <w:spacing w:before="0" w:after="160" w:line="276"/>
        <w:jc w:val="both"/>
      </w:pPr>
      <w:r>
        <w:rPr>
          <w:rFonts w:ascii="Georgia" w:cs="Georgia" w:eastAsia="Georgia" w:hAnsi="Georgia"/>
          <w:b w:val="false"/>
          <w:bCs w:val="false"/>
          <w:i w:val="false"/>
          <w:iCs w:val="false"/>
          <w:sz w:val="24"/>
          <w:szCs w:val="24"/>
        </w:rPr>
        <w:t xml:space="preserve">This category is distinct from passive monitoring (no design, no question), mandated monitoring (legislative reference, trend detection), and question-driven monitoring (conceptual model, testable predictions). It is also distinct from control theory state observation (requires system model) and SES monitoring design (provides principles, not instruments).</w:t>
      </w:r>
    </w:p>
    <w:p>
      <w:pPr>
        <w:pStyle w:val="Heading1"/>
        <w:pBdr>
          <w:bottom w:val="single" w:color="333333" w:sz="4" w:space="6"/>
        </w:pBdr>
        <w:spacing w:before="400" w:after="200"/>
      </w:pPr>
      <w:r>
        <w:rPr>
          <w:rFonts w:ascii="Arial" w:cs="Arial" w:eastAsia="Arial" w:hAnsi="Arial"/>
          <w:b/>
          <w:bCs/>
          <w:color w:val="1a1a1a"/>
          <w:sz w:val="32"/>
          <w:szCs w:val="32"/>
        </w:rPr>
        <w:t xml:space="preserve">7. Formalization Requirements</w:t>
      </w:r>
    </w:p>
    <w:p>
      <w:pPr>
        <w:spacing w:before="0" w:after="160" w:line="276"/>
        <w:jc w:val="both"/>
      </w:pPr>
      <w:r>
        <w:rPr>
          <w:rFonts w:ascii="Georgia" w:cs="Georgia" w:eastAsia="Georgia" w:hAnsi="Georgia"/>
          <w:b w:val="false"/>
          <w:bCs w:val="false"/>
          <w:i w:val="false"/>
          <w:iCs w:val="false"/>
          <w:sz w:val="24"/>
          <w:szCs w:val="24"/>
        </w:rPr>
        <w:t xml:space="preserve">The following propositions are stated as claims requiring formal proof. They constitute the mathematical foundation of the framework:</w:t>
      </w:r>
    </w:p>
    <w:p>
      <w:r>
        <w:rPr>
          <w:sz w:val="24"/>
          <w:szCs w:val="24"/>
        </w:rPr>
        <w:t xml:space="preserve"/>
      </w:r>
    </w:p>
    <w:p>
      <w:pPr>
        <w:spacing w:before="120" w:after="80"/>
        <w:ind w:left="720"/>
      </w:pPr>
      <w:r>
        <w:rPr>
          <w:rFonts w:ascii="Arial" w:cs="Arial" w:eastAsia="Arial" w:hAnsi="Arial"/>
          <w:b/>
          <w:bCs/>
          <w:sz w:val="24"/>
          <w:szCs w:val="24"/>
        </w:rPr>
        <w:t xml:space="preserve">Proposition 7.1 (Domain invariance). </w:t>
      </w:r>
      <w:r>
        <w:rPr>
          <w:rFonts w:ascii="Georgia" w:cs="Georgia" w:eastAsia="Georgia" w:hAnsi="Georgia"/>
          <w:i/>
          <w:iCs/>
          <w:sz w:val="24"/>
          <w:szCs w:val="24"/>
        </w:rPr>
        <w:t xml:space="preserve">For any finite-budget system in which elements can be expressed as proportional shares summing to 1.0, the unity constraint with reciprocal inversion detects drift in both concentration and fragmentation directions simultaneously, independently of the domain in which the elements are measured.</w:t>
      </w:r>
    </w:p>
    <w:p>
      <w:r>
        <w:rPr>
          <w:sz w:val="24"/>
          <w:szCs w:val="24"/>
        </w:rPr>
        <w:t xml:space="preserve"/>
      </w:r>
    </w:p>
    <w:p>
      <w:pPr>
        <w:spacing w:before="120" w:after="80"/>
        <w:ind w:left="720"/>
      </w:pPr>
      <w:r>
        <w:rPr>
          <w:rFonts w:ascii="Arial" w:cs="Arial" w:eastAsia="Arial" w:hAnsi="Arial"/>
          <w:b/>
          <w:bCs/>
          <w:sz w:val="24"/>
          <w:szCs w:val="24"/>
        </w:rPr>
        <w:t xml:space="preserve">Proposition 7.2 (Non-invasive sufficiency). </w:t>
      </w:r>
      <w:r>
        <w:rPr>
          <w:rFonts w:ascii="Georgia" w:cs="Georgia" w:eastAsia="Georgia" w:hAnsi="Georgia"/>
          <w:i/>
          <w:iCs/>
          <w:sz w:val="24"/>
          <w:szCs w:val="24"/>
        </w:rPr>
        <w:t xml:space="preserve">The unity constraint requires only the system's declared outputs to compute portfolio state, portfolio change, and intentional/silent drift classification. No additional data collection, system modification, or model is required.</w:t>
      </w:r>
    </w:p>
    <w:p>
      <w:r>
        <w:rPr>
          <w:sz w:val="24"/>
          <w:szCs w:val="24"/>
        </w:rPr>
        <w:t xml:space="preserve"/>
      </w:r>
    </w:p>
    <w:p>
      <w:pPr>
        <w:spacing w:before="120" w:after="80"/>
        <w:ind w:left="720"/>
      </w:pPr>
      <w:r>
        <w:rPr>
          <w:rFonts w:ascii="Arial" w:cs="Arial" w:eastAsia="Arial" w:hAnsi="Arial"/>
          <w:b/>
          <w:bCs/>
          <w:sz w:val="24"/>
          <w:szCs w:val="24"/>
        </w:rPr>
        <w:t xml:space="preserve">Proposition 7.3 (Q-sensitive cross-cycle observation). </w:t>
      </w:r>
      <w:r>
        <w:rPr>
          <w:rFonts w:ascii="Georgia" w:cs="Georgia" w:eastAsia="Georgia" w:hAnsi="Georgia"/>
          <w:i/>
          <w:iCs/>
          <w:sz w:val="24"/>
          <w:szCs w:val="24"/>
        </w:rPr>
        <w:t xml:space="preserve">For a portfolio containing elements with characteristic frequencies spanning at least one order of magnitude, a single-cycle observation systematically underestimates the contribution of low-frequency elements. Cross-cycle observation over a minimum window of one full period of the lowest-frequency element is necessary and sufficient to distinguish phase from contribution.</w:t>
      </w:r>
    </w:p>
    <w:p>
      <w:r>
        <w:rPr>
          <w:sz w:val="24"/>
          <w:szCs w:val="24"/>
        </w:rPr>
        <w:t xml:space="preserve"/>
      </w:r>
    </w:p>
    <w:p>
      <w:pPr>
        <w:spacing w:before="120" w:after="80"/>
        <w:ind w:left="720"/>
      </w:pPr>
      <w:r>
        <w:rPr>
          <w:rFonts w:ascii="Arial" w:cs="Arial" w:eastAsia="Arial" w:hAnsi="Arial"/>
          <w:b/>
          <w:bCs/>
          <w:sz w:val="24"/>
          <w:szCs w:val="24"/>
        </w:rPr>
        <w:t xml:space="preserve">Proposition 7.4 (Convergence under closed feedback). </w:t>
      </w:r>
      <w:r>
        <w:rPr>
          <w:rFonts w:ascii="Georgia" w:cs="Georgia" w:eastAsia="Georgia" w:hAnsi="Georgia"/>
          <w:i/>
          <w:iCs/>
          <w:sz w:val="24"/>
          <w:szCs w:val="24"/>
        </w:rPr>
        <w:t xml:space="preserve">Under the conditions defined in Section 5.1 — closed feedback loop, system-frequency-calibrated corrections, noise floor below contamination threshold, and operator interventions declining over time — iterative directed corrections using the portfolio change log as the correction signal will converge toward the self-governing state.</w:t>
      </w:r>
    </w:p>
    <w:p>
      <w:r>
        <w:rPr>
          <w:sz w:val="24"/>
          <w:szCs w:val="24"/>
        </w:rPr>
        <w:t xml:space="preserve"/>
      </w:r>
    </w:p>
    <w:p>
      <w:pPr>
        <w:pStyle w:val="Heading1"/>
        <w:pBdr>
          <w:bottom w:val="single" w:color="333333" w:sz="4" w:space="6"/>
        </w:pBdr>
        <w:spacing w:before="400" w:after="200"/>
      </w:pPr>
      <w:r>
        <w:rPr>
          <w:rFonts w:ascii="Arial" w:cs="Arial" w:eastAsia="Arial" w:hAnsi="Arial"/>
          <w:b/>
          <w:bCs/>
          <w:color w:val="1a1a1a"/>
          <w:sz w:val="32"/>
          <w:szCs w:val="32"/>
        </w:rPr>
        <w:t xml:space="preserve">8. Discussion</w:t>
      </w:r>
    </w:p>
    <w:p>
      <w:pPr>
        <w:pStyle w:val="Heading2"/>
        <w:spacing w:before="280" w:after="120"/>
      </w:pPr>
      <w:r>
        <w:rPr>
          <w:rFonts w:ascii="Arial" w:cs="Arial" w:eastAsia="Arial" w:hAnsi="Arial"/>
          <w:b/>
          <w:bCs/>
          <w:color w:val="333333"/>
          <w:sz w:val="28"/>
          <w:szCs w:val="28"/>
        </w:rPr>
        <w:t xml:space="preserve">8.1  The measurement philosophy</w:t>
      </w:r>
    </w:p>
    <w:p>
      <w:pPr>
        <w:spacing w:before="0" w:after="160" w:line="276"/>
        <w:jc w:val="both"/>
      </w:pPr>
      <w:r>
        <w:rPr>
          <w:rFonts w:ascii="Georgia" w:cs="Georgia" w:eastAsia="Georgia" w:hAnsi="Georgia"/>
          <w:b w:val="false"/>
          <w:bCs w:val="false"/>
          <w:i w:val="false"/>
          <w:iCs w:val="false"/>
          <w:sz w:val="24"/>
          <w:szCs w:val="24"/>
        </w:rPr>
        <w:t xml:space="preserve">The framework rests on a single foundational claim: real environments are governed by ratios, not absolutes.</w:t>
      </w:r>
    </w:p>
    <w:p>
      <w:pPr>
        <w:spacing w:before="0" w:after="160" w:line="276"/>
        <w:jc w:val="both"/>
      </w:pPr>
      <w:r>
        <w:rPr>
          <w:rFonts w:ascii="Georgia" w:cs="Georgia" w:eastAsia="Georgia" w:hAnsi="Georgia"/>
          <w:b w:val="false"/>
          <w:bCs w:val="false"/>
          <w:i w:val="false"/>
          <w:iCs w:val="false"/>
          <w:sz w:val="24"/>
          <w:szCs w:val="24"/>
        </w:rPr>
        <w:t xml:space="preserve">If ratios are the governing quantities, then any tool that produces absolute measurements — site-level scores, point-in-time assessments, isolated audits — is producing information that is accurate in conditions that do not occur in deployment. The information is not wrong. It is incomplete in a specific and consequential way: it omits the relational information that determines the element's contribution to the system as a whole.</w:t>
      </w:r>
    </w:p>
    <w:p>
      <w:pPr>
        <w:spacing w:before="0" w:after="160" w:line="276"/>
        <w:jc w:val="both"/>
      </w:pPr>
      <w:r>
        <w:rPr>
          <w:rFonts w:ascii="Georgia" w:cs="Georgia" w:eastAsia="Georgia" w:hAnsi="Georgia"/>
          <w:b w:val="false"/>
          <w:bCs w:val="false"/>
          <w:i w:val="false"/>
          <w:iCs w:val="false"/>
          <w:sz w:val="24"/>
          <w:szCs w:val="24"/>
        </w:rPr>
        <w:t xml:space="preserve">The practical consequence is systematic misallocation. An element that scores well in isolation but holds a disproportionate share of portfolio attention is over-weighted in a way that is invisible to absolute measurement. An element that scores poorly in isolation but holds a critical and under-represented share is under-weighted equally invisibly. HUF makes both conditions visible because it measures the relationship, not the element.</w:t>
      </w:r>
    </w:p>
    <w:p>
      <w:pPr>
        <w:pStyle w:val="Heading2"/>
        <w:spacing w:before="280" w:after="120"/>
      </w:pPr>
      <w:r>
        <w:rPr>
          <w:rFonts w:ascii="Arial" w:cs="Arial" w:eastAsia="Arial" w:hAnsi="Arial"/>
          <w:b/>
          <w:bCs/>
          <w:color w:val="333333"/>
          <w:sz w:val="28"/>
          <w:szCs w:val="28"/>
        </w:rPr>
        <w:t xml:space="preserve">8.2  The non-invasive constraint as an institutional enabler</w:t>
      </w:r>
    </w:p>
    <w:p>
      <w:pPr>
        <w:spacing w:before="0" w:after="160" w:line="276"/>
        <w:jc w:val="both"/>
      </w:pPr>
      <w:r>
        <w:rPr>
          <w:rFonts w:ascii="Georgia" w:cs="Georgia" w:eastAsia="Georgia" w:hAnsi="Georgia"/>
          <w:b w:val="false"/>
          <w:bCs w:val="false"/>
          <w:i w:val="false"/>
          <w:iCs w:val="false"/>
          <w:sz w:val="24"/>
          <w:szCs w:val="24"/>
        </w:rPr>
        <w:t xml:space="preserve">Governance institutions resist observation tools that require them to change their behavior. An audit that requires new data collection, new reporting formats, or synchronized observation windows imposes a burden on the institution being audited. The institution responds — often legitimately — that the observation is disrupting the work it is supposed to be monitoring.</w:t>
      </w:r>
    </w:p>
    <w:p>
      <w:pPr>
        <w:spacing w:before="0" w:after="160" w:line="276"/>
        <w:jc w:val="both"/>
      </w:pPr>
      <w:r>
        <w:rPr>
          <w:rFonts w:ascii="Georgia" w:cs="Georgia" w:eastAsia="Georgia" w:hAnsi="Georgia"/>
          <w:b w:val="false"/>
          <w:bCs w:val="false"/>
          <w:i w:val="false"/>
          <w:iCs w:val="false"/>
          <w:sz w:val="24"/>
          <w:szCs w:val="24"/>
        </w:rPr>
        <w:t xml:space="preserve">HUF's non-invasive property addresses this resistance at its source. The tool reads what the institution already produces. The portfolio share table is computed from the institution's existing data. The trace report records the institution's own declared priorities. This is not a design optimization for political palatability. It is a structural consequence of the dimensionless constraint: the constraint operates on ratios, and ratios can be computed from any consistent set of outputs the institution already produces.</w:t>
      </w:r>
    </w:p>
    <w:p>
      <w:pPr>
        <w:pStyle w:val="Heading2"/>
        <w:spacing w:before="280" w:after="120"/>
      </w:pPr>
      <w:r>
        <w:rPr>
          <w:rFonts w:ascii="Arial" w:cs="Arial" w:eastAsia="Arial" w:hAnsi="Arial"/>
          <w:b/>
          <w:bCs/>
          <w:color w:val="333333"/>
          <w:sz w:val="28"/>
          <w:szCs w:val="28"/>
        </w:rPr>
        <w:t xml:space="preserve">8.3  Limits</w:t>
      </w:r>
    </w:p>
    <w:p>
      <w:pPr>
        <w:spacing w:before="0" w:after="160" w:line="276"/>
        <w:jc w:val="both"/>
      </w:pPr>
      <w:r>
        <w:rPr>
          <w:rFonts w:ascii="Georgia" w:cs="Georgia" w:eastAsia="Georgia" w:hAnsi="Georgia"/>
          <w:b w:val="false"/>
          <w:bCs w:val="false"/>
          <w:i w:val="false"/>
          <w:iCs w:val="false"/>
          <w:sz w:val="24"/>
          <w:szCs w:val="24"/>
        </w:rPr>
        <w:t xml:space="preserve">HUF is a governance instrumentation layer. It is not an ecology model, a policy prescription, or a management decision tool. It does not determine what the correct allocation should be. It reads what the allocation is, tracks whether it is changing, and distinguishes deliberate change from silent drift.</w:t>
      </w:r>
    </w:p>
    <w:p>
      <w:pPr>
        <w:spacing w:before="0" w:after="160" w:line="276"/>
        <w:jc w:val="both"/>
      </w:pPr>
      <w:r>
        <w:rPr>
          <w:rFonts w:ascii="Georgia" w:cs="Georgia" w:eastAsia="Georgia" w:hAnsi="Georgia"/>
          <w:b w:val="false"/>
          <w:bCs w:val="false"/>
          <w:i w:val="false"/>
          <w:iCs w:val="false"/>
          <w:sz w:val="24"/>
          <w:szCs w:val="24"/>
        </w:rPr>
        <w:t xml:space="preserve">The framework requires that governance actors declare their priorities. Without declared priorities, the trace report has no reference against which to classify change as intentional or silent.</w:t>
      </w:r>
    </w:p>
    <w:p>
      <w:pPr>
        <w:spacing w:before="0" w:after="160" w:line="276"/>
        <w:jc w:val="both"/>
      </w:pPr>
      <w:r>
        <w:rPr>
          <w:rFonts w:ascii="Georgia" w:cs="Georgia" w:eastAsia="Georgia" w:hAnsi="Georgia"/>
          <w:b w:val="false"/>
          <w:bCs w:val="false"/>
          <w:i w:val="false"/>
          <w:iCs w:val="false"/>
          <w:sz w:val="24"/>
          <w:szCs w:val="24"/>
        </w:rPr>
        <w:t xml:space="preserve">The framework also requires a minimum observation window proportional to the lowest-frequency element's characteristic cycle. For portfolios with very long-cycle elements — geological timescale processes, multi-generational institutional changes — the minimum window may exceed practical governance horizons. In these cases, the framework provides partial information: it detects short-cycle drift even when long-cycle Q cannot be fully characterized.</w:t>
      </w:r>
    </w:p>
    <w:p>
      <w:pPr>
        <w:pStyle w:val="Heading1"/>
        <w:pBdr>
          <w:bottom w:val="single" w:color="333333" w:sz="4" w:space="6"/>
        </w:pBdr>
        <w:spacing w:before="400" w:after="200"/>
      </w:pPr>
      <w:r>
        <w:rPr>
          <w:rFonts w:ascii="Arial" w:cs="Arial" w:eastAsia="Arial" w:hAnsi="Arial"/>
          <w:b/>
          <w:bCs/>
          <w:color w:val="1a1a1a"/>
          <w:sz w:val="32"/>
          <w:szCs w:val="32"/>
        </w:rPr>
        <w:t xml:space="preserve">9. Conclusion</w:t>
      </w:r>
    </w:p>
    <w:p>
      <w:pPr>
        <w:spacing w:before="0" w:after="160" w:line="276"/>
        <w:jc w:val="both"/>
      </w:pPr>
      <w:r>
        <w:rPr>
          <w:rFonts w:ascii="Georgia" w:cs="Georgia" w:eastAsia="Georgia" w:hAnsi="Georgia"/>
          <w:b w:val="false"/>
          <w:bCs w:val="false"/>
          <w:i w:val="false"/>
          <w:iCs w:val="false"/>
          <w:sz w:val="24"/>
          <w:szCs w:val="24"/>
        </w:rPr>
        <w:t xml:space="preserve">HUF addresses a gap that exists simultaneously in three fields: control theory state observers, social-ecological systems monitoring, and ecological monitoring science. It does so by applying a non-invasive, non-linear unity constraint to the system's own declared outputs — reading the governance layer's ratio state across cycles without modifying the system being observed.</w:t>
      </w:r>
    </w:p>
    <w:p>
      <w:pPr>
        <w:spacing w:before="0" w:after="160" w:line="276"/>
        <w:jc w:val="both"/>
      </w:pPr>
      <w:r>
        <w:rPr>
          <w:rFonts w:ascii="Georgia" w:cs="Georgia" w:eastAsia="Georgia" w:hAnsi="Georgia"/>
          <w:b w:val="false"/>
          <w:bCs w:val="false"/>
          <w:i w:val="false"/>
          <w:iCs w:val="false"/>
          <w:sz w:val="24"/>
          <w:szCs w:val="24"/>
        </w:rPr>
        <w:t xml:space="preserve">The framework's two defining properties — non-invasive and non-linear — are not design features added to the tool. They are consequences of the measurement philosophy from which the framework was derived: measure in place, in the real environment, at the position where all interactions have already occurred, using the system's own internal ratios as the reference.</w:t>
      </w:r>
    </w:p>
    <w:p>
      <w:pPr>
        <w:spacing w:before="0" w:after="160" w:line="276"/>
        <w:jc w:val="both"/>
      </w:pPr>
      <w:r>
        <w:rPr>
          <w:rFonts w:ascii="Georgia" w:cs="Georgia" w:eastAsia="Georgia" w:hAnsi="Georgia"/>
          <w:b w:val="false"/>
          <w:bCs w:val="false"/>
          <w:i w:val="false"/>
          <w:iCs w:val="false"/>
          <w:sz w:val="24"/>
          <w:szCs w:val="24"/>
        </w:rPr>
        <w:t xml:space="preserve">Real environments are governed by ratios, not absolutes. A governance tool designed for real environments must be designed for ratios. The unity constraint is that tool.</w:t>
      </w:r>
    </w:p>
    <w:p>
      <w:r>
        <w:rPr>
          <w:sz w:val="24"/>
          <w:szCs w:val="24"/>
        </w:rPr>
        <w:t xml:space="preserve"/>
      </w:r>
    </w:p>
    <w:p>
      <w:pPr>
        <w:pStyle w:val="Heading1"/>
        <w:pBdr>
          <w:bottom w:val="single" w:color="333333" w:sz="4" w:space="6"/>
        </w:pBdr>
        <w:spacing w:before="400" w:after="200"/>
      </w:pPr>
      <w:r>
        <w:rPr>
          <w:rFonts w:ascii="Arial" w:cs="Arial" w:eastAsia="Arial" w:hAnsi="Arial"/>
          <w:b/>
          <w:bCs/>
          <w:color w:val="1a1a1a"/>
          <w:sz w:val="32"/>
          <w:szCs w:val="32"/>
        </w:rPr>
        <w:t xml:space="preserve">References</w:t>
      </w:r>
    </w:p>
    <w:p>
      <w:pPr>
        <w:spacing w:before="0" w:after="160" w:line="276"/>
        <w:jc w:val="both"/>
      </w:pPr>
      <w:r>
        <w:rPr>
          <w:rFonts w:ascii="Georgia" w:cs="Georgia" w:eastAsia="Georgia" w:hAnsi="Georgia"/>
          <w:b w:val="false"/>
          <w:bCs w:val="false"/>
          <w:i w:val="false"/>
          <w:iCs w:val="false"/>
          <w:sz w:val="24"/>
          <w:szCs w:val="24"/>
        </w:rPr>
        <w:t xml:space="preserve">The following references are identified as priority citations for formalization. Full literature review pending.</w:t>
      </w:r>
    </w:p>
    <w:p>
      <w:r>
        <w:rPr>
          <w:sz w:val="24"/>
          <w:szCs w:val="24"/>
        </w:rPr>
        <w:t xml:space="preserve"/>
      </w:r>
    </w:p>
    <w:p>
      <w:pPr>
        <w:spacing w:before="60" w:after="60"/>
        <w:ind w:left="720" w:hanging="360"/>
      </w:pPr>
      <w:r>
        <w:rPr>
          <w:rFonts w:ascii="Georgia" w:cs="Georgia" w:eastAsia="Georgia" w:hAnsi="Georgia"/>
          <w:sz w:val="22"/>
          <w:szCs w:val="22"/>
        </w:rPr>
        <w:t xml:space="preserve">Ostrom, E. (1990). Governing the Commons. Cambridge University Press.</w:t>
      </w:r>
    </w:p>
    <w:p>
      <w:pPr>
        <w:spacing w:before="60" w:after="60"/>
        <w:ind w:left="720" w:hanging="360"/>
      </w:pPr>
      <w:r>
        <w:rPr>
          <w:rFonts w:ascii="Georgia" w:cs="Georgia" w:eastAsia="Georgia" w:hAnsi="Georgia"/>
          <w:sz w:val="22"/>
          <w:szCs w:val="22"/>
        </w:rPr>
        <w:t xml:space="preserve">Ostrom, E. (2007). A diagnostic approach for going beyond panaceas. Proceedings of the National Academy of Sciences, 104(39), 15181–15187.</w:t>
      </w:r>
    </w:p>
    <w:p>
      <w:pPr>
        <w:spacing w:before="60" w:after="60"/>
        <w:ind w:left="720" w:hanging="360"/>
      </w:pPr>
      <w:r>
        <w:rPr>
          <w:rFonts w:ascii="Georgia" w:cs="Georgia" w:eastAsia="Georgia" w:hAnsi="Georgia"/>
          <w:sz w:val="22"/>
          <w:szCs w:val="22"/>
        </w:rPr>
        <w:t xml:space="preserve">Luenberger, D.G. (1966). Observers for multivariable systems. IEEE Transactions on Automatic Control, 11(2), 190–197.</w:t>
      </w:r>
    </w:p>
    <w:p>
      <w:pPr>
        <w:spacing w:before="60" w:after="60"/>
        <w:ind w:left="720" w:hanging="360"/>
      </w:pPr>
      <w:r>
        <w:rPr>
          <w:rFonts w:ascii="Georgia" w:cs="Georgia" w:eastAsia="Georgia" w:hAnsi="Georgia"/>
          <w:sz w:val="22"/>
          <w:szCs w:val="22"/>
        </w:rPr>
        <w:t xml:space="preserve">Kalman, R.E. (1960). A new approach to linear filtering and prediction problems. Journal of Basic Engineering, 82(1), 35–45.</w:t>
      </w:r>
    </w:p>
    <w:p>
      <w:pPr>
        <w:spacing w:before="60" w:after="60"/>
        <w:ind w:left="720" w:hanging="360"/>
      </w:pPr>
      <w:r>
        <w:rPr>
          <w:rFonts w:ascii="Georgia" w:cs="Georgia" w:eastAsia="Georgia" w:hAnsi="Georgia"/>
          <w:sz w:val="22"/>
          <w:szCs w:val="22"/>
        </w:rPr>
        <w:t xml:space="preserve">Anderies, J.M., Janssen, M.A., &amp; Ostrom, E. (2004). A framework to analyze the robustness of social-ecological systems from an institutional perspective. Ecology and Society, 9(1), 18.</w:t>
      </w:r>
    </w:p>
    <w:p>
      <w:pPr>
        <w:spacing w:before="60" w:after="60"/>
        <w:ind w:left="720" w:hanging="360"/>
      </w:pPr>
      <w:r>
        <w:rPr>
          <w:rFonts w:ascii="Georgia" w:cs="Georgia" w:eastAsia="Georgia" w:hAnsi="Georgia"/>
          <w:sz w:val="22"/>
          <w:szCs w:val="22"/>
        </w:rPr>
        <w:t xml:space="preserve">Lindenmayer, D.B., &amp; Likens, G.E. (2010). The science and application of ecological monitoring. Biological Conservation, 143(6), 1317–1328.</w:t>
      </w:r>
    </w:p>
    <w:p>
      <w:pPr>
        <w:spacing w:before="60" w:after="60"/>
        <w:ind w:left="720" w:hanging="360"/>
      </w:pPr>
      <w:r>
        <w:rPr>
          <w:rFonts w:ascii="Georgia" w:cs="Georgia" w:eastAsia="Georgia" w:hAnsi="Georgia"/>
          <w:sz w:val="22"/>
          <w:szCs w:val="22"/>
        </w:rPr>
        <w:t xml:space="preserve">Folke, C., et al. (2005). Adaptive governance of social-ecological systems. Annual Review of Environment and Resources, 30, 441–473.</w:t>
      </w:r>
    </w:p>
    <w:p>
      <w:pPr>
        <w:spacing w:before="60" w:after="60"/>
        <w:ind w:left="720" w:hanging="360"/>
      </w:pPr>
      <w:r>
        <w:rPr>
          <w:rFonts w:ascii="Georgia" w:cs="Georgia" w:eastAsia="Georgia" w:hAnsi="Georgia"/>
          <w:sz w:val="22"/>
          <w:szCs w:val="22"/>
        </w:rPr>
        <w:t xml:space="preserve">McGinnis, M.D., &amp; Ostrom, E. (2014). Social-ecological system framework: Initial changes and continuing challenges. Ecology and Society, 19(2), 30.</w:t>
      </w:r>
    </w:p>
    <w:p>
      <w:r>
        <w:rPr>
          <w:sz w:val="24"/>
          <w:szCs w:val="24"/>
        </w:rPr>
        <w:t xml:space="preserve"/>
      </w:r>
    </w:p>
    <w:p>
      <w:r>
        <w:rPr>
          <w:sz w:val="24"/>
          <w:szCs w:val="24"/>
        </w:rPr>
        <w:t xml:space="preserve"/>
      </w:r>
    </w:p>
    <w:p>
      <w:pPr>
        <w:spacing w:before="0" w:after="0"/>
        <w:jc w:val="center"/>
      </w:pPr>
      <w:r>
        <w:rPr>
          <w:rFonts w:ascii="Georgia" w:cs="Georgia" w:eastAsia="Georgia" w:hAnsi="Georgia"/>
          <w:b w:val="false"/>
          <w:bCs w:val="false"/>
          <w:i w:val="false"/>
          <w:iCs w:val="false"/>
          <w:color w:val="CCCCCC"/>
          <w:sz w:val="22"/>
          <w:szCs w:val="22"/>
        </w:rPr>
        <w:t xml:space="preserve">─────────────────────────────────</w:t>
      </w:r>
    </w:p>
    <w:p>
      <w:r>
        <w:rPr>
          <w:sz w:val="24"/>
          <w:szCs w:val="24"/>
        </w:rPr>
        <w:t xml:space="preserve"/>
      </w:r>
    </w:p>
    <w:p>
      <w:pPr>
        <w:spacing w:before="0" w:after="0"/>
        <w:jc w:val="center"/>
      </w:pPr>
      <w:r>
        <w:rPr>
          <w:rFonts w:ascii="Georgia" w:cs="Georgia" w:eastAsia="Georgia" w:hAnsi="Georgia"/>
          <w:b w:val="false"/>
          <w:bCs w:val="false"/>
          <w:i/>
          <w:iCs/>
          <w:color w:val="888888"/>
          <w:sz w:val="22"/>
          <w:szCs w:val="22"/>
        </w:rPr>
        <w:t xml:space="preserve">Submitted for collective review — not for external distribution — February 2026</w:t>
      </w:r>
    </w:p>
    <w:p>
      <w:pPr>
        <w:spacing w:before="0" w:after="0"/>
        <w:jc w:val="center"/>
      </w:pPr>
      <w:r>
        <w:rPr>
          <w:rFonts w:ascii="Georgia" w:cs="Georgia" w:eastAsia="Georgia" w:hAnsi="Georgia"/>
          <w:b w:val="false"/>
          <w:bCs w:val="false"/>
          <w:i w:val="false"/>
          <w:iCs w:val="false"/>
          <w:color w:val="888888"/>
          <w:sz w:val="22"/>
          <w:szCs w:val="22"/>
        </w:rPr>
        <w:t xml:space="preserve">Peter Higgins · Rogue Wave Audio · Markham, Ontario · roguewaveaudio.com</w:t>
      </w:r>
    </w:p>
    <w:p>
      <w:pPr>
        <w:spacing w:before="0" w:after="0"/>
        <w:jc w:val="center"/>
      </w:pPr>
      <w:r>
        <w:rPr>
          <w:rFonts w:ascii="Georgia" w:cs="Georgia" w:eastAsia="Georgia" w:hAnsi="Georgia"/>
          <w:b w:val="false"/>
          <w:bCs w:val="false"/>
          <w:i w:val="false"/>
          <w:iCs w:val="false"/>
          <w:color w:val="AAAAAA"/>
          <w:sz w:val="22"/>
          <w:szCs w:val="22"/>
        </w:rPr>
        <w:t xml:space="preserve">HUF v1.1.8 · MIT License</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HUF — Self-Referential Non-Invasive Governance State Observer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2026-02-26T10:21:10.670Z</dcterms:created>
  <dcterms:modified xsi:type="dcterms:W3CDTF">2026-02-26T10:21:10.672Z</dcterms:modified>
</cp:coreProperties>
</file>

<file path=docProps/custom.xml><?xml version="1.0" encoding="utf-8"?>
<Properties xmlns="http://schemas.openxmlformats.org/officeDocument/2006/custom-properties" xmlns:vt="http://schemas.openxmlformats.org/officeDocument/2006/docPropsVTypes"/>
</file>