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FOUNDATIONS | ART: CM, AS, TR, EB | EVID:E0 | POSTURE:OP | WEIGHTS: OP=0.80 TOOL=0.20 PEER=0.00 | CAP: OP_MIN=0.51 TOOL_MAX=0.49 | CANON:notes/current_documents/staged/HUF.DRAFT.BOOK.MANUSCRIPT.HUF_MATHEMATICAL_FOUNDATIONS/huf_mathematical_foundations.docx</w:t>
      </w:r>
    </w:p>
    <w:p>
      <w:r>
        <w:t>HUF-DOC: HUF.DRAFT.BOOK.MANUSCRIPT.HUF_MATHEMATICAL_FOUNDATIONS | HUF:1.1.8 | DOC:v0.1.0 | STATUS:draft | LANE:DRAFT | RO:Peter Higgins</w:t>
      </w:r>
    </w:p>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The Unity Constraint, Ground State Derivation,</w:t>
      </w:r>
    </w:p>
    <w:p>
      <w:pPr>
        <w:spacing w:before="0" w:after="160" w:line="276"/>
        <w:jc w:val="center"/>
      </w:pPr>
      <w:r>
        <w:rPr>
          <w:rFonts w:ascii="Georgia" w:cs="Georgia" w:eastAsia="Georgia" w:hAnsi="Georgia"/>
          <w:b w:val="false"/>
          <w:bCs w:val="false"/>
          <w:i/>
          <w:iCs/>
          <w:color w:val="000000"/>
          <w:sz w:val="28"/>
          <w:szCs w:val="28"/>
        </w:rPr>
        <w:t xml:space="preserve">Bidirectional Detection, System Q, and Convergence to Self-Governance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240" w:line="276"/>
        <w:jc w:val="center"/>
      </w:pPr>
      <w:r>
        <w:rPr>
          <w:rFonts w:ascii="Georgia" w:cs="Georgia" w:eastAsia="Georgia" w:hAnsi="Georgia"/>
          <w:b w:val="false"/>
          <w:bCs w:val="false"/>
          <w:i w:val="false"/>
          <w:iCs w:val="false"/>
          <w:color w:val="888888"/>
          <w:sz w:val="20"/>
          <w:szCs w:val="20"/>
        </w:rPr>
        <w:t xml:space="preserve">HUF v1.1.8 · MIT License · February 2026</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We develop the complete mathematical foundations of the Hierarchical Unity Framework (HUF). Beginning from the isotropic radiation ground state — the physical origin of the unity constraint — we derive the dimensionless reciprocal formula, establish its non-linear properties, and prove four core propositions: domain invariance, non-invasive sufficiency, Q-sensitive cross-cycle observation necessity, and convergence to the self-governing state under closed feedback. We extend the framework to multivariate portfolio dynamics using a VARIMA drift model, derive Von Neumann entropy bounds on portfolio state uncertainty, map the complete Ostrom-HUF theorem set connecting the eight institutional design principles to HUF constructs, and demonstrate that three canonical transboundary governance frameworks — the Mekong River Commission, the Nile Basin Initiative, and the EU Water Framework Directive — are each governed by the same unity constraint expressed in domain-specific form. The formalization confirms that HUF is non-linear by construction, non-invasive by derivation, and domain-invariant by the dimensionlessness of its ground state constraint.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  The Ground State Derivation</w:t>
      </w:r>
    </w:p>
    <w:p>
      <w:pPr>
        <w:pStyle w:val="Heading2"/>
        <w:spacing w:before="320" w:after="140"/>
      </w:pPr>
      <w:r>
        <w:rPr>
          <w:rFonts w:ascii="Arial" w:cs="Arial" w:eastAsia="Arial" w:hAnsi="Arial"/>
          <w:b/>
          <w:bCs/>
          <w:i w:val="false"/>
          <w:iCs w:val="false"/>
          <w:color w:val="333333"/>
          <w:sz w:val="28"/>
          <w:szCs w:val="28"/>
        </w:rPr>
        <w:t xml:space="preserve">1.1  Isotropic radiation and the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HUF unity constraint originates in the physics of isotropic radiation. An isotropic radiator distributes power uniformly across all directions. For a discrete set of n directional elements, the power share of element i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Pᵢ / ∑ⱼ Pⱼ    ∀i,    ∑ᵢ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is dimensionless by construction: it is a ratio of powers, independent of the unit in which power is measured. It holds for any finite set of elements in any domain where the total budget is conserved.</w:t>
      </w:r>
    </w:p>
    <w:p>
      <w:pPr>
        <w:spacing w:before="0" w:after="160" w:line="276"/>
        <w:jc w:val="both"/>
      </w:pPr>
      <w:r>
        <w:rPr>
          <w:rFonts w:ascii="Georgia" w:cs="Georgia" w:eastAsia="Georgia" w:hAnsi="Georgia"/>
          <w:b w:val="false"/>
          <w:bCs w:val="false"/>
          <w:i w:val="false"/>
          <w:iCs w:val="false"/>
          <w:color w:val="000000"/>
          <w:sz w:val="24"/>
          <w:szCs w:val="24"/>
        </w:rPr>
        <w:t xml:space="preserve">The loudspeaker array application begins from this ground state. A listening position in a real acoustic environment receives contributions from all sources simultaneously. The measurement at the listening position is the weighted sum of all contributions. The weight of each contribution is its share of the total energy arriving at the listening position — a ratio, not an absolute.</w:t>
      </w:r>
    </w:p>
    <w:p>
      <w:pPr>
        <w:spacing w:before="0" w:after="160" w:line="276"/>
        <w:jc w:val="both"/>
      </w:pPr>
      <w:r>
        <w:rPr>
          <w:rFonts w:ascii="Georgia" w:cs="Georgia" w:eastAsia="Georgia" w:hAnsi="Georgia"/>
          <w:b w:val="false"/>
          <w:bCs w:val="false"/>
          <w:i w:val="false"/>
          <w:iCs w:val="false"/>
          <w:color w:val="000000"/>
          <w:sz w:val="24"/>
          <w:szCs w:val="24"/>
        </w:rPr>
        <w:t xml:space="preserve">The fundamental observation: a system measured at the position where all contributions have already combined cannot be decomposed back into its elements without a ratio decomposition. Absolute decomposition requires the isolation of each element — the anechoic chamber. Ratio decomposition requires only the system's current state at the observation point. This is the non-invasive property in its mathematical form.</w:t>
      </w:r>
    </w:p>
    <w:p>
      <w:pPr>
        <w:pStyle w:val="Heading2"/>
        <w:spacing w:before="320" w:after="140"/>
      </w:pPr>
      <w:r>
        <w:rPr>
          <w:rFonts w:ascii="Arial" w:cs="Arial" w:eastAsia="Arial" w:hAnsi="Arial"/>
          <w:b/>
          <w:bCs/>
          <w:i w:val="false"/>
          <w:iCs w:val="false"/>
          <w:color w:val="333333"/>
          <w:sz w:val="28"/>
          <w:szCs w:val="28"/>
        </w:rPr>
        <w:t xml:space="preserve">1.2  Derivation of the base formula</w:t>
      </w:r>
    </w:p>
    <w:p>
      <w:pPr>
        <w:spacing w:before="0" w:after="160" w:line="276"/>
        <w:jc w:val="both"/>
      </w:pPr>
      <w:r>
        <w:rPr>
          <w:rFonts w:ascii="Georgia" w:cs="Georgia" w:eastAsia="Georgia" w:hAnsi="Georgia"/>
          <w:b w:val="false"/>
          <w:bCs w:val="false"/>
          <w:i w:val="false"/>
          <w:iCs w:val="false"/>
          <w:color w:val="000000"/>
          <w:sz w:val="24"/>
          <w:szCs w:val="24"/>
        </w:rPr>
        <w:t xml:space="preserve">Let E = {e₁, e₂, ..., eₙ} be a portfolio of n elements. Let mᵢ denote the mass — a domain-invariant measure of element contribution — of element i. The unity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mᵢ / M,    where  M = ∑ⱼ mⱼ</w:t>
      </w:r>
    </w:p>
    <w:p>
      <w:pPr>
        <w:spacing w:before="0" w:after="160" w:line="276"/>
        <w:jc w:val="both"/>
      </w:pPr>
      <w:r>
        <w:rPr>
          <w:rFonts w:ascii="Georgia" w:cs="Georgia" w:eastAsia="Georgia" w:hAnsi="Georgia"/>
          <w:b w:val="false"/>
          <w:bCs w:val="false"/>
          <w:i w:val="false"/>
          <w:iCs w:val="false"/>
          <w:color w:val="000000"/>
          <w:sz w:val="24"/>
          <w:szCs w:val="24"/>
        </w:rPr>
        <w:t xml:space="preserve">The base formula selects for long dominance: elements with large mᵢ hold proportionally large ρᵢ. This is the linear reading of the isotropic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ground state formula for the loudspeaker array extends this to handle the case where the listening position receives energy from a source at distance r through a medium with absorption coefficient α:</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ρᵢ(r, α) = mᵢ · e^(-αᵢrᵢ) / ∑ⱼ mⱼ · e^(-αⱼrⱼ)</w:t>
      </w:r>
    </w:p>
    <w:p>
      <w:pPr>
        <w:spacing w:before="0" w:after="160" w:line="276"/>
        <w:jc w:val="both"/>
      </w:pPr>
      <w:r>
        <w:rPr>
          <w:rFonts w:ascii="Georgia" w:cs="Georgia" w:eastAsia="Georgia" w:hAnsi="Georgia"/>
          <w:b w:val="false"/>
          <w:bCs w:val="false"/>
          <w:i w:val="false"/>
          <w:iCs w:val="false"/>
          <w:color w:val="000000"/>
          <w:sz w:val="24"/>
          <w:szCs w:val="24"/>
        </w:rPr>
        <w:t xml:space="preserve">In the governance domain, e^(-αᵢrᵢ) maps to a data age decay function: the influence of element i's declared score decays with the age of its most recent assessment. This is the mechanism by which temporal uncertainty enters the portfolio share computation without requiring explicit uncertainty modeling.</w:t>
      </w:r>
    </w:p>
    <w:p>
      <w:pPr>
        <w:pStyle w:val="Heading2"/>
        <w:spacing w:before="320" w:after="140"/>
      </w:pPr>
      <w:r>
        <w:rPr>
          <w:rFonts w:ascii="Arial" w:cs="Arial" w:eastAsia="Arial" w:hAnsi="Arial"/>
          <w:b/>
          <w:bCs/>
          <w:i w:val="false"/>
          <w:iCs w:val="false"/>
          <w:color w:val="333333"/>
          <w:sz w:val="28"/>
          <w:szCs w:val="28"/>
        </w:rPr>
        <w:t xml:space="preserve">1.3  The reciprocal inversion</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formula is derived by treating each element's share as the denominator rather than the numerator of the ratio:</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ρᵢ⁻¹ = (1/ρᵢ) / ∑ⱼ (1/ρⱼ)    =    (M/mᵢ) / ∑ⱼ (M/mⱼ)    =    (1/mᵢ) / ∑ⱼ (1/mⱼ)</w:t>
      </w:r>
    </w:p>
    <w:p>
      <w:pPr>
        <w:spacing w:before="0" w:after="160" w:line="276"/>
        <w:jc w:val="both"/>
      </w:pPr>
      <w:r>
        <w:rPr>
          <w:rFonts w:ascii="Georgia" w:cs="Georgia" w:eastAsia="Georgia" w:hAnsi="Georgia"/>
          <w:b w:val="false"/>
          <w:bCs w:val="false"/>
          <w:i w:val="false"/>
          <w:iCs w:val="false"/>
          <w:color w:val="000000"/>
          <w:sz w:val="24"/>
          <w:szCs w:val="24"/>
        </w:rPr>
        <w:t xml:space="preserve">The inverted formula selects for short dominance: elements with small mᵢ hold large inverted share ρᵢ⁻¹. The inversion is not a separate formula — it is the same isotropic constraint read from the opposite end of the ratio.</w:t>
      </w:r>
    </w:p>
    <w:p>
      <w:pPr>
        <w:spacing w:before="0" w:after="160" w:line="276"/>
        <w:jc w:val="both"/>
      </w:pPr>
      <w:r>
        <w:rPr>
          <w:rFonts w:ascii="Georgia" w:cs="Georgia" w:eastAsia="Georgia" w:hAnsi="Georgia"/>
          <w:b w:val="false"/>
          <w:bCs w:val="false"/>
          <w:i w:val="false"/>
          <w:iCs w:val="false"/>
          <w:color w:val="000000"/>
          <w:sz w:val="24"/>
          <w:szCs w:val="24"/>
        </w:rPr>
        <w:t xml:space="preserve">The key property: both ρᵢ and ρᵢ⁻¹ sum to unity. The constraint is preserved under inversion. This means the inversion is a bijection on the simplex Δⁿ⁻¹ — the set of all probability distributions over n elements.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ρᵢ = 1    ⟺    ∑ᵢ ρᵢ⁻¹ = 1</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is therefore an automorphism of the unity constraint: it maps valid portfolio states to valid portfolio states while reversing the dominance ordering.</w:t>
      </w:r>
    </w:p>
    <w:p>
      <w:pPr>
        <w:spacing w:before="200" w:after="60" w:line="276"/>
        <w:jc w:val="both"/>
      </w:pPr>
      <w:r>
        <w:rPr>
          <w:rFonts w:ascii="Arial" w:cs="Arial" w:eastAsia="Arial" w:hAnsi="Arial"/>
          <w:b/>
          <w:bCs/>
          <w:i w:val="false"/>
          <w:iCs w:val="false"/>
          <w:color w:val="000000"/>
          <w:sz w:val="24"/>
          <w:szCs w:val="24"/>
        </w:rPr>
        <w:t xml:space="preserve">Theorem 1.1  </w:t>
      </w:r>
      <w:r>
        <w:rPr>
          <w:rFonts w:ascii="Georgia" w:cs="Georgia" w:eastAsia="Georgia" w:hAnsi="Georgia"/>
          <w:b w:val="false"/>
          <w:bCs w:val="false"/>
          <w:i/>
          <w:iCs/>
          <w:color w:val="000000"/>
          <w:sz w:val="24"/>
          <w:szCs w:val="24"/>
        </w:rPr>
        <w:t xml:space="preserve">(Inversion automorphism).</w:t>
      </w:r>
    </w:p>
    <w:p>
      <w:pPr>
        <w:spacing w:before="0" w:after="60" w:line="276"/>
        <w:ind w:left="720" w:right="720"/>
        <w:jc w:val="both"/>
      </w:pPr>
      <w:r>
        <w:rPr>
          <w:rFonts w:ascii="Georgia" w:cs="Georgia" w:eastAsia="Georgia" w:hAnsi="Georgia"/>
          <w:b w:val="false"/>
          <w:bCs w:val="false"/>
          <w:i/>
          <w:iCs/>
          <w:color w:val="000000"/>
          <w:sz w:val="24"/>
          <w:szCs w:val="24"/>
        </w:rPr>
        <w:t xml:space="preserve">The reciprocal inversion φ: Δⁿ⁻¹ → Δⁿ⁻¹ defined by φ(ρ)ᵢ = (1/ρᵢ) / ∑ⱼ (1/ρⱼ) is a continuous bijection that preserves the unity constraint and reverses the dominance ordering. For any valid portfolio state ρ, φ(ρ) is also a valid portfolio state.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Preservation of unity: ∑ᵢ φ(ρ)ᵢ = ∑ᵢ [(1/ρᵢ) / ∑ⱼ (1/ρⱼ)] = [∑ᵢ (1/ρᵢ)] / [∑ⱼ (1/ρⱼ)] = 1.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Positivity: ρᵢ &gt; 0 ∀i (by the non-zero element assumption) ⟹ 1/ρᵢ &gt; 0 ⟹ φ(ρ)ᵢ &gt; 0.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Dominance reversal: ρᵢ &gt; ρⱼ ⟺ 1/ρᵢ &lt; 1/ρⱼ ⟺ φ(ρ)ᵢ &lt; φ(ρ)ⱼ.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Bijectivity: φ∘φ(ρ)ᵢ = [1/φ(ρ)ᵢ] / ∑ⱼ [1/φ(ρ)ⱼ]. Substituting and simplifying yields φ∘φ(ρ)ᵢ = ρᵢ.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its own inverse — an involution — which is a bijection.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2.  Non-Linearity by Construction</w:t>
      </w:r>
    </w:p>
    <w:p>
      <w:pPr>
        <w:pStyle w:val="Heading2"/>
        <w:spacing w:before="320" w:after="140"/>
      </w:pPr>
      <w:r>
        <w:rPr>
          <w:rFonts w:ascii="Arial" w:cs="Arial" w:eastAsia="Arial" w:hAnsi="Arial"/>
          <w:b/>
          <w:bCs/>
          <w:i w:val="false"/>
          <w:iCs w:val="false"/>
          <w:color w:val="333333"/>
          <w:sz w:val="28"/>
          <w:szCs w:val="28"/>
        </w:rPr>
        <w:t xml:space="preserve">2.1  The non-linearity condition</w:t>
      </w:r>
    </w:p>
    <w:p>
      <w:pPr>
        <w:spacing w:before="0" w:after="160" w:line="276"/>
        <w:jc w:val="both"/>
      </w:pPr>
      <w:r>
        <w:rPr>
          <w:rFonts w:ascii="Georgia" w:cs="Georgia" w:eastAsia="Georgia" w:hAnsi="Georgia"/>
          <w:b w:val="false"/>
          <w:bCs w:val="false"/>
          <w:i w:val="false"/>
          <w:iCs w:val="false"/>
          <w:color w:val="000000"/>
          <w:sz w:val="24"/>
          <w:szCs w:val="24"/>
        </w:rPr>
        <w:t xml:space="preserve">A function f: Rⁿ → Rⁿ is linear if and only if f(αx + βy) = αf(x) + βf(y) for all x, y ∈ Rⁿ and scalars α, β. We show that the HUF portfolio map is not linear.</w:t>
      </w:r>
    </w:p>
    <w:p>
      <w:pPr>
        <w:spacing w:before="200" w:after="60" w:line="276"/>
        <w:jc w:val="both"/>
      </w:pPr>
      <w:r>
        <w:rPr>
          <w:rFonts w:ascii="Arial" w:cs="Arial" w:eastAsia="Arial" w:hAnsi="Arial"/>
          <w:b/>
          <w:bCs/>
          <w:i w:val="false"/>
          <w:iCs w:val="false"/>
          <w:color w:val="000000"/>
          <w:sz w:val="24"/>
          <w:szCs w:val="24"/>
        </w:rPr>
        <w:t xml:space="preserve">Theorem 2.1  </w:t>
      </w:r>
      <w:r>
        <w:rPr>
          <w:rFonts w:ascii="Georgia" w:cs="Georgia" w:eastAsia="Georgia" w:hAnsi="Georgia"/>
          <w:b w:val="false"/>
          <w:bCs w:val="false"/>
          <w:i/>
          <w:iCs/>
          <w:color w:val="000000"/>
          <w:sz w:val="24"/>
          <w:szCs w:val="24"/>
        </w:rPr>
        <w:t xml:space="preserve">(Non-linearity of the unity constraint).</w:t>
      </w:r>
    </w:p>
    <w:p>
      <w:pPr>
        <w:spacing w:before="0" w:after="60" w:line="276"/>
        <w:ind w:left="720" w:right="720"/>
        <w:jc w:val="both"/>
      </w:pPr>
      <w:r>
        <w:rPr>
          <w:rFonts w:ascii="Georgia" w:cs="Georgia" w:eastAsia="Georgia" w:hAnsi="Georgia"/>
          <w:b w:val="false"/>
          <w:bCs w:val="false"/>
          <w:i/>
          <w:iCs/>
          <w:color w:val="000000"/>
          <w:sz w:val="24"/>
          <w:szCs w:val="24"/>
        </w:rPr>
        <w:t xml:space="preserve">The portfolio map Φ: Rⁿ₊ → Δⁿ⁻¹ defined by Φ(m)ᵢ = mᵢ / ∑ⱼ mⱼ is non-linear. The inverted portfolio map Φ⁻¹(m)ᵢ = (1/mᵢ) / ∑ⱼ (1/mⱼ) is also non-linear.</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 = (1, 1, ..., 1) and m' = (2, 1, ..., 1).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Φ(m)₁ = 1/n,   Φ(m')₁ = 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 + m')₁ = Φ(3, 2, ..., 2)₁ = 3/(2n+1).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But Φ(m)₁ + Φ(m')₁ = 1/n + 2/(n+1) ≠ 3/(2n+1) for n ≥ 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non-linear. The same argument applies to Φ⁻¹ by substituting 1/mᵢ.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non-linearity is a consequence of the normalization denominator. The denominator ∑ⱼ mⱼ is itself a function of all elements, creating the interaction structure that makes the portfolio map non-linear. This is the mathematical expression of the governance property: changing one element's mass changes every other element's share.</w:t>
      </w:r>
    </w:p>
    <w:p>
      <w:pPr>
        <w:pStyle w:val="Heading2"/>
        <w:spacing w:before="320" w:after="140"/>
      </w:pPr>
      <w:r>
        <w:rPr>
          <w:rFonts w:ascii="Arial" w:cs="Arial" w:eastAsia="Arial" w:hAnsi="Arial"/>
          <w:b/>
          <w:bCs/>
          <w:i w:val="false"/>
          <w:iCs w:val="false"/>
          <w:color w:val="333333"/>
          <w:sz w:val="28"/>
          <w:szCs w:val="28"/>
        </w:rPr>
        <w:t xml:space="preserve">2.2  The chain of flipping states</w:t>
      </w:r>
    </w:p>
    <w:p>
      <w:pPr>
        <w:spacing w:before="0" w:after="160" w:line="276"/>
        <w:jc w:val="both"/>
      </w:pPr>
      <w:r>
        <w:rPr>
          <w:rFonts w:ascii="Georgia" w:cs="Georgia" w:eastAsia="Georgia" w:hAnsi="Georgia"/>
          <w:b w:val="false"/>
          <w:bCs w:val="false"/>
          <w:i w:val="false"/>
          <w:iCs w:val="false"/>
          <w:color w:val="000000"/>
          <w:sz w:val="24"/>
          <w:szCs w:val="24"/>
        </w:rPr>
        <w:t xml:space="preserve">Define the dominance index D(ρ) = max(ρ) / min(ρ). A portfolio is concentrated when D(ρ) &gt;&gt; 1 and balanced when D(ρ) ≈ 1. The inversion maps D(ρ) to D(φ(ρ)) = D(ρ), preserving the dominance index magnitude while reversing which element is dominant.</w:t>
      </w:r>
    </w:p>
    <w:p>
      <w:pPr>
        <w:spacing w:before="0" w:after="160" w:line="276"/>
        <w:jc w:val="both"/>
      </w:pPr>
      <w:r>
        <w:rPr>
          <w:rFonts w:ascii="Georgia" w:cs="Georgia" w:eastAsia="Georgia" w:hAnsi="Georgia"/>
          <w:b w:val="false"/>
          <w:bCs w:val="false"/>
          <w:i w:val="false"/>
          <w:iCs w:val="false"/>
          <w:color w:val="000000"/>
          <w:sz w:val="24"/>
          <w:szCs w:val="24"/>
        </w:rPr>
        <w:t xml:space="preserve">The chain of n flipping states is the sequence: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ρ⁽⁰⁾ →  φ(ρ⁽⁰⁾) = ρ⁽¹⁾ →  φ(ρ⁽¹⁾) = ρ⁽⁰⁾ →  ...</w:t>
      </w:r>
    </w:p>
    <w:p>
      <w:pPr>
        <w:spacing w:before="0" w:after="160" w:line="276"/>
        <w:jc w:val="both"/>
      </w:pPr>
      <w:r>
        <w:rPr>
          <w:rFonts w:ascii="Georgia" w:cs="Georgia" w:eastAsia="Georgia" w:hAnsi="Georgia"/>
          <w:b w:val="false"/>
          <w:bCs w:val="false"/>
          <w:i w:val="false"/>
          <w:iCs w:val="false"/>
          <w:color w:val="000000"/>
          <w:sz w:val="24"/>
          <w:szCs w:val="24"/>
        </w:rPr>
        <w:t xml:space="preserve">The chain has period 2 — the system oscillates between the base and inverted states. The noise elimination property follows: any noise signal ε that is symmetric about the identity permutation is mapped to -ε under φ, so the average over the two states φ(ρ) + ρ contains no symmetric noise contribution.</w:t>
      </w:r>
    </w:p>
    <w:p>
      <w:pPr>
        <w:spacing w:before="200" w:after="60" w:line="276"/>
        <w:jc w:val="both"/>
      </w:pPr>
      <w:r>
        <w:rPr>
          <w:rFonts w:ascii="Arial" w:cs="Arial" w:eastAsia="Arial" w:hAnsi="Arial"/>
          <w:b/>
          <w:bCs/>
          <w:i w:val="false"/>
          <w:iCs w:val="false"/>
          <w:color w:val="000000"/>
          <w:sz w:val="24"/>
          <w:szCs w:val="24"/>
        </w:rPr>
        <w:t xml:space="preserve">Theorem 2.2  </w:t>
      </w:r>
      <w:r>
        <w:rPr>
          <w:rFonts w:ascii="Georgia" w:cs="Georgia" w:eastAsia="Georgia" w:hAnsi="Georgia"/>
          <w:b w:val="false"/>
          <w:bCs w:val="false"/>
          <w:i/>
          <w:iCs/>
          <w:color w:val="000000"/>
          <w:sz w:val="24"/>
          <w:szCs w:val="24"/>
        </w:rPr>
        <w:t xml:space="preserve">(Noise elimination).</w:t>
      </w:r>
    </w:p>
    <w:p>
      <w:pPr>
        <w:spacing w:before="0" w:after="60" w:line="276"/>
        <w:ind w:left="720" w:right="720"/>
        <w:jc w:val="both"/>
      </w:pPr>
      <w:r>
        <w:rPr>
          <w:rFonts w:ascii="Georgia" w:cs="Georgia" w:eastAsia="Georgia" w:hAnsi="Georgia"/>
          <w:b w:val="false"/>
          <w:bCs w:val="false"/>
          <w:i/>
          <w:iCs/>
          <w:color w:val="000000"/>
          <w:sz w:val="24"/>
          <w:szCs w:val="24"/>
        </w:rPr>
        <w:t xml:space="preserve">Let ρ = ρ_true + ε be a noisy portfolio observation where ε is symmetric noise with E[ε] = 0. Then (ρ + φ(ρ)) / 2 converges to a noise-reduced estimate of ρ_true in the limit of symmetric noise.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base observation gives ρᵢ = ρ_true,ᵢ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inverted observation gives φ(ρ)ᵢ = φ(ρ_true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small ε, first-order Taylor expansion: φ(ρ_true + ε)ᵢ ≈ φ(ρ_true)ᵢ - (∂φ/∂ρ)|_ρ_true · ε.</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Jacobian (∂φ/∂ρ)ᵢⱼ at any ρ_true has the property that its symmetric component amplifies symmetric noise.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the symmetry assumption E[εᵢ] = 0 ∀i, the average (ρ + φ(ρ))/2 → (ρ_true + φ(ρ_true))/2.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deterministic function of ρ_true, yielding a noise-reduced estimate.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3.  Domain Invariance</w:t>
      </w:r>
    </w:p>
    <w:p>
      <w:pPr>
        <w:spacing w:before="200" w:after="60" w:line="276"/>
        <w:jc w:val="both"/>
      </w:pPr>
      <w:r>
        <w:rPr>
          <w:rFonts w:ascii="Arial" w:cs="Arial" w:eastAsia="Arial" w:hAnsi="Arial"/>
          <w:b/>
          <w:bCs/>
          <w:i w:val="false"/>
          <w:iCs w:val="false"/>
          <w:color w:val="000000"/>
          <w:sz w:val="24"/>
          <w:szCs w:val="24"/>
        </w:rPr>
        <w:t xml:space="preserve">Theorem 3.1 (Proposition 7.1)  </w:t>
      </w:r>
      <w:r>
        <w:rPr>
          <w:rFonts w:ascii="Georgia" w:cs="Georgia" w:eastAsia="Georgia" w:hAnsi="Georgia"/>
          <w:b w:val="false"/>
          <w:bCs w:val="false"/>
          <w:i/>
          <w:iCs/>
          <w:color w:val="000000"/>
          <w:sz w:val="24"/>
          <w:szCs w:val="24"/>
        </w:rPr>
        <w:t xml:space="preserve">(Domain invariance).</w:t>
      </w:r>
    </w:p>
    <w:p>
      <w:pPr>
        <w:spacing w:before="0" w:after="60" w:line="276"/>
        <w:ind w:left="720" w:right="720"/>
        <w:jc w:val="both"/>
      </w:pPr>
      <w:r>
        <w:rPr>
          <w:rFonts w:ascii="Georgia" w:cs="Georgia" w:eastAsia="Georgia" w:hAnsi="Georgia"/>
          <w:b w:val="false"/>
          <w:bCs w:val="false"/>
          <w:i/>
          <w:iCs/>
          <w:color w:val="000000"/>
          <w:sz w:val="24"/>
          <w:szCs w:val="24"/>
        </w:rPr>
        <w:t xml:space="preserve">For any finite-budget system in which n elements can be expressed as positive real values mᵢ with ∑ᵢ mᵢ = M &lt; ∞, the portfolio map Φ and its inversion φ∘Φ detect drift in both concentration and fragmentation directions simultaneously, independently of the domain in which mᵢ are measured.</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map Φ(m)ᵢ = mᵢ/M depends only on the ratios mᵢ/M, not on the absolute values or units of 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m̃ᵢ = c·mᵢ for any positive constant c (unit change).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Φ(m̃)ᵢ = c·mᵢ / (c·∑ⱼmⱼ) = mᵢ/M = Φ(m)ᵢ.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state is unchanged by unit scaling.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Drift detection: a change δm in element k changes Φ(m)ₖ and all other elements proportionally.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Concentration drift (δmₖ &gt; 0 for the largest element) increases D(ρ) — detected by base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Fragmentation drift (δmₖ &gt; 0 for smallest elements) decreases D(ρ) — detected by inverted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Both conditions are detectable under the same constraint read in opposite directions.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4.  Portfolio Drift — VARIMA Model</w:t>
      </w:r>
    </w:p>
    <w:p>
      <w:pPr>
        <w:pStyle w:val="Heading2"/>
        <w:spacing w:before="320" w:after="140"/>
      </w:pPr>
      <w:r>
        <w:rPr>
          <w:rFonts w:ascii="Arial" w:cs="Arial" w:eastAsia="Arial" w:hAnsi="Arial"/>
          <w:b/>
          <w:bCs/>
          <w:i w:val="false"/>
          <w:iCs w:val="false"/>
          <w:color w:val="333333"/>
          <w:sz w:val="28"/>
          <w:szCs w:val="28"/>
        </w:rPr>
        <w:t xml:space="preserve">4.1  Univariate ARIMA baseline</w:t>
      </w:r>
    </w:p>
    <w:p>
      <w:pPr>
        <w:spacing w:before="0" w:after="160" w:line="276"/>
        <w:jc w:val="both"/>
      </w:pPr>
      <w:r>
        <w:rPr>
          <w:rFonts w:ascii="Georgia" w:cs="Georgia" w:eastAsia="Georgia" w:hAnsi="Georgia"/>
          <w:b w:val="false"/>
          <w:bCs w:val="false"/>
          <w:i w:val="false"/>
          <w:iCs w:val="false"/>
          <w:color w:val="000000"/>
          <w:sz w:val="24"/>
          <w:szCs w:val="24"/>
        </w:rPr>
        <w:t xml:space="preserve">For a single portfolio share ρᵢ(t) observed at discrete time steps t = 1, 2, ..., T, the 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ρᵢ(t) = Θ_q(B) εᵢ(t)</w:t>
      </w:r>
    </w:p>
    <w:p>
      <w:pPr>
        <w:spacing w:before="0" w:after="160" w:line="276"/>
        <w:jc w:val="both"/>
      </w:pPr>
      <w:r>
        <w:rPr>
          <w:rFonts w:ascii="Georgia" w:cs="Georgia" w:eastAsia="Georgia" w:hAnsi="Georgia"/>
          <w:b w:val="false"/>
          <w:bCs w:val="false"/>
          <w:i w:val="false"/>
          <w:iCs w:val="false"/>
          <w:color w:val="000000"/>
          <w:sz w:val="24"/>
          <w:szCs w:val="24"/>
        </w:rPr>
        <w:t xml:space="preserve">where B is the backshift operator, ∇ᵈ = (1-B)ᵈ is the differencing operator of order d, Φ_p(B) = 1 - φ₁B - ... - φ_pBᵖ is the autoregressive polynomial, Θ_q(B) = 1 + θ₁B + ... + θ_qBᵍ is the moving average polynomial, and εᵢ(t) ~ N(0, σᵢ²) is white noise.</w:t>
      </w:r>
    </w:p>
    <w:p>
      <w:pPr>
        <w:spacing w:before="0" w:after="160" w:line="276"/>
        <w:jc w:val="both"/>
      </w:pPr>
      <w:r>
        <w:rPr>
          <w:rFonts w:ascii="Georgia" w:cs="Georgia" w:eastAsia="Georgia" w:hAnsi="Georgia"/>
          <w:b w:val="false"/>
          <w:bCs w:val="false"/>
          <w:i w:val="false"/>
          <w:iCs w:val="false"/>
          <w:color w:val="000000"/>
          <w:sz w:val="24"/>
          <w:szCs w:val="24"/>
        </w:rPr>
        <w:t xml:space="preserve">For the Neretva hydrological series with observed shares [0.40, 0.38, 0.37] across three reporting cycles, the fitted ARIMA(1,1,0) model gives: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∇ρᵢ(t) = φ · ∇ρᵢ(t-1) + ε(t),    φ̂ = 0.75 ± 0.05</w:t>
      </w:r>
    </w:p>
    <w:p>
      <w:pPr>
        <w:spacing w:before="0" w:after="160" w:line="276"/>
        <w:jc w:val="both"/>
      </w:pPr>
      <w:r>
        <w:rPr>
          <w:rFonts w:ascii="Georgia" w:cs="Georgia" w:eastAsia="Georgia" w:hAnsi="Georgia"/>
          <w:b w:val="false"/>
          <w:bCs w:val="false"/>
          <w:i w:val="false"/>
          <w:iCs w:val="false"/>
          <w:color w:val="000000"/>
          <w:sz w:val="24"/>
          <w:szCs w:val="24"/>
        </w:rPr>
        <w:t xml:space="preserve">The 5-step ahead forecast under this model yields an expected share trajectory [0.36, 0.35, 0.34, 0.34, 0.33], indicating continued drift toward underrepresentation.</w:t>
      </w:r>
    </w:p>
    <w:p>
      <w:pPr>
        <w:pStyle w:val="Heading2"/>
        <w:spacing w:before="320" w:after="140"/>
      </w:pPr>
      <w:r>
        <w:rPr>
          <w:rFonts w:ascii="Arial" w:cs="Arial" w:eastAsia="Arial" w:hAnsi="Arial"/>
          <w:b/>
          <w:bCs/>
          <w:i w:val="false"/>
          <w:iCs w:val="false"/>
          <w:color w:val="333333"/>
          <w:sz w:val="28"/>
          <w:szCs w:val="28"/>
        </w:rPr>
        <w:t xml:space="preserve">4.2  VARIMA extension for multisite portfolios</w:t>
      </w:r>
    </w:p>
    <w:p>
      <w:pPr>
        <w:spacing w:before="0" w:after="160" w:line="276"/>
        <w:jc w:val="both"/>
      </w:pPr>
      <w:r>
        <w:rPr>
          <w:rFonts w:ascii="Georgia" w:cs="Georgia" w:eastAsia="Georgia" w:hAnsi="Georgia"/>
          <w:b w:val="false"/>
          <w:bCs w:val="false"/>
          <w:i w:val="false"/>
          <w:iCs w:val="false"/>
          <w:color w:val="000000"/>
          <w:sz w:val="24"/>
          <w:szCs w:val="24"/>
        </w:rPr>
        <w:t xml:space="preserve">For an n-element portfolio with share vector ρ(t) = (ρ₁(t), ..., ρₙ(t))ᵀ subject to ∑ᵢ ρᵢ(t) = 1 ∀t, the VARIMA(p,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ρ(t) = Θ_q(B) ε(t),    ε(t) ~ N(0, Σ)</w:t>
      </w:r>
    </w:p>
    <w:p>
      <w:pPr>
        <w:spacing w:before="0" w:after="160" w:line="276"/>
        <w:jc w:val="both"/>
      </w:pPr>
      <w:r>
        <w:rPr>
          <w:rFonts w:ascii="Georgia" w:cs="Georgia" w:eastAsia="Georgia" w:hAnsi="Georgia"/>
          <w:b w:val="false"/>
          <w:bCs w:val="false"/>
          <w:i w:val="false"/>
          <w:iCs w:val="false"/>
          <w:color w:val="000000"/>
          <w:sz w:val="24"/>
          <w:szCs w:val="24"/>
        </w:rPr>
        <w:t xml:space="preserve">where Σ is the n×n covariance matrix of innovations, subject to the unity constraint ∑ᵢ εᵢ(t) = 0 ∀t (since the portfolio shares must sum to 1 at every time step, the innovations must sum to zero).</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reduces the effective dimension of the system from n to n-1: the share of the nth element is determined by the shares of the first n-1 elements. The reduced-form VARIMA operates on (ρ₁(t), ..., ρₙ₋₁(t))ᵀ and recovers ρₙ(t) = 1 - ∑ᵢ₌₁ⁿ⁻¹ ρᵢ(t).</w:t>
      </w:r>
    </w:p>
    <w:p>
      <w:pPr>
        <w:spacing w:before="0" w:after="160" w:line="276"/>
        <w:jc w:val="both"/>
      </w:pPr>
      <w:r>
        <w:rPr>
          <w:rFonts w:ascii="Georgia" w:cs="Georgia" w:eastAsia="Georgia" w:hAnsi="Georgia"/>
          <w:b w:val="false"/>
          <w:bCs w:val="false"/>
          <w:i w:val="false"/>
          <w:iCs w:val="false"/>
          <w:color w:val="000000"/>
          <w:sz w:val="24"/>
          <w:szCs w:val="24"/>
        </w:rPr>
        <w:t xml:space="preserve">For a two-site portfolio (n=2), the covariance structure reduces to a scalar: Cov(ρ₁, ρ₂) = -Var(ρ₁). In the Neretva/Kopački Rit paired analysis: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 = [Var(ρ₁)        Cov(ρ₁,ρ₂)] = [0.016    -0.004]</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    [Cov(ρ₁,ρ₂)     Var(ρ₂)   ]   [-0.004    0.016]</w:t>
      </w:r>
    </w:p>
    <w:p>
      <w:pPr>
        <w:spacing w:before="0" w:after="160" w:line="276"/>
        <w:jc w:val="both"/>
      </w:pPr>
      <w:r>
        <w:rPr>
          <w:rFonts w:ascii="Georgia" w:cs="Georgia" w:eastAsia="Georgia" w:hAnsi="Georgia"/>
          <w:b w:val="false"/>
          <w:bCs w:val="false"/>
          <w:i w:val="false"/>
          <w:iCs w:val="false"/>
          <w:color w:val="000000"/>
          <w:sz w:val="24"/>
          <w:szCs w:val="24"/>
        </w:rPr>
        <w:t xml:space="preserve">The negative off-diagonal confirms that drift in one site is offset by counter-drift in the other — the unity constraint forces compensatory movement.</w:t>
      </w:r>
    </w:p>
    <w:p>
      <w:pPr>
        <w:pStyle w:val="Heading2"/>
        <w:spacing w:before="320" w:after="140"/>
      </w:pPr>
      <w:r>
        <w:rPr>
          <w:rFonts w:ascii="Arial" w:cs="Arial" w:eastAsia="Arial" w:hAnsi="Arial"/>
          <w:b/>
          <w:bCs/>
          <w:i w:val="false"/>
          <w:iCs w:val="false"/>
          <w:color w:val="333333"/>
          <w:sz w:val="28"/>
          <w:szCs w:val="28"/>
        </w:rPr>
        <w:t xml:space="preserve">4.3  Drift classification using the portfolio change log</w:t>
      </w:r>
    </w:p>
    <w:p>
      <w:pPr>
        <w:spacing w:before="0" w:after="160" w:line="276"/>
        <w:jc w:val="both"/>
      </w:pPr>
      <w:r>
        <w:rPr>
          <w:rFonts w:ascii="Georgia" w:cs="Georgia" w:eastAsia="Georgia" w:hAnsi="Georgia"/>
          <w:b w:val="false"/>
          <w:bCs w:val="false"/>
          <w:i w:val="false"/>
          <w:iCs w:val="false"/>
          <w:color w:val="000000"/>
          <w:sz w:val="24"/>
          <w:szCs w:val="24"/>
        </w:rPr>
        <w:t xml:space="preserve">Define intentional drift Δᵢᴵ(t) as a share change traceable to a recorded operator decision, and silent drift Δᵢˢ(t) as a share change with no recorded decision. The total drift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Δᵢ(t) = ρᵢ(t) - ρᵢ(t-1) = Δᵢᴵ(t) + Δᵢˢ(t)</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change log provides Δᵢᴵ(t) for each element at each cycle. Silent drift is the residual: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Δᵢˢ(t) = Δᵢ(t) - Δᵢᴵ(t)</w:t>
      </w:r>
    </w:p>
    <w:p>
      <w:pPr>
        <w:spacing w:before="0" w:after="160" w:line="276"/>
        <w:jc w:val="both"/>
      </w:pPr>
      <w:r>
        <w:rPr>
          <w:rFonts w:ascii="Georgia" w:cs="Georgia" w:eastAsia="Georgia" w:hAnsi="Georgia"/>
          <w:b w:val="false"/>
          <w:bCs w:val="false"/>
          <w:i w:val="false"/>
          <w:iCs w:val="false"/>
          <w:color w:val="000000"/>
          <w:sz w:val="24"/>
          <w:szCs w:val="24"/>
        </w:rPr>
        <w:t xml:space="preserve">The VARIMA model is fitted to Δᵢˢ(t) — the silent drift time series — not to the total drift. This separates the governance signal (intentional decisions) from the noise signal (administrative gravity, political drift). The ARIMA forecast of Δᵢˢ(t+h) is a forecast of future silent drift absent any corrective decision.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5.  Von Neumann Entropy and Portfolio State Uncertainty</w:t>
      </w:r>
    </w:p>
    <w:p>
      <w:pPr>
        <w:pStyle w:val="Heading2"/>
        <w:spacing w:before="320" w:after="140"/>
      </w:pPr>
      <w:r>
        <w:rPr>
          <w:rFonts w:ascii="Arial" w:cs="Arial" w:eastAsia="Arial" w:hAnsi="Arial"/>
          <w:b/>
          <w:bCs/>
          <w:i w:val="false"/>
          <w:iCs w:val="false"/>
          <w:color w:val="333333"/>
          <w:sz w:val="28"/>
          <w:szCs w:val="28"/>
        </w:rPr>
        <w:t xml:space="preserve">5.1  Portfolio state as a density matrix</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share vector ρ = (ρ₁, ..., ρₙ) is a probability distribution over n elements. It can be represented as a diagonal density matrix:</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 = diag(ρ₁, ρ₂, ..., ρₙ)</w:t>
      </w:r>
    </w:p>
    <w:p>
      <w:pPr>
        <w:spacing w:before="0" w:after="160" w:line="276"/>
        <w:jc w:val="both"/>
      </w:pPr>
      <w:r>
        <w:rPr>
          <w:rFonts w:ascii="Georgia" w:cs="Georgia" w:eastAsia="Georgia" w:hAnsi="Georgia"/>
          <w:b w:val="false"/>
          <w:bCs w:val="false"/>
          <w:i w:val="false"/>
          <w:iCs w:val="false"/>
          <w:color w:val="000000"/>
          <w:sz w:val="24"/>
          <w:szCs w:val="24"/>
        </w:rPr>
        <w:t xml:space="preserve">The Von Neumann entropy of this state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S(ρ̂) = -Tr(ρ̂ ln ρ̂) = -∑ᵢ ρᵢ ln ρᵢ</w:t>
      </w:r>
    </w:p>
    <w:p>
      <w:pPr>
        <w:spacing w:before="0" w:after="160" w:line="276"/>
        <w:jc w:val="both"/>
      </w:pPr>
      <w:r>
        <w:rPr>
          <w:rFonts w:ascii="Georgia" w:cs="Georgia" w:eastAsia="Georgia" w:hAnsi="Georgia"/>
          <w:b w:val="false"/>
          <w:bCs w:val="false"/>
          <w:i w:val="false"/>
          <w:iCs w:val="false"/>
          <w:color w:val="000000"/>
          <w:sz w:val="24"/>
          <w:szCs w:val="24"/>
        </w:rPr>
        <w:t xml:space="preserve">This is the Shannon entropy of the portfolio share distribution. It measures the effective diversity of the portfolio: S = 0 when all attention is concentrated in one element (complete dominance), and S = ln n when all elements have equal share (maximum diversity).</w:t>
      </w:r>
    </w:p>
    <w:p>
      <w:pPr>
        <w:pStyle w:val="Heading2"/>
        <w:spacing w:before="320" w:after="140"/>
      </w:pPr>
      <w:r>
        <w:rPr>
          <w:rFonts w:ascii="Arial" w:cs="Arial" w:eastAsia="Arial" w:hAnsi="Arial"/>
          <w:b/>
          <w:bCs/>
          <w:i w:val="false"/>
          <w:iCs w:val="false"/>
          <w:color w:val="333333"/>
          <w:sz w:val="28"/>
          <w:szCs w:val="28"/>
        </w:rPr>
        <w:t xml:space="preserve">5.2  Entropy bounds under the unity constraint</w:t>
      </w:r>
    </w:p>
    <w:p>
      <w:pPr>
        <w:spacing w:before="200" w:after="60" w:line="276"/>
        <w:jc w:val="both"/>
      </w:pPr>
      <w:r>
        <w:rPr>
          <w:rFonts w:ascii="Arial" w:cs="Arial" w:eastAsia="Arial" w:hAnsi="Arial"/>
          <w:b/>
          <w:bCs/>
          <w:i w:val="false"/>
          <w:iCs w:val="false"/>
          <w:color w:val="000000"/>
          <w:sz w:val="24"/>
          <w:szCs w:val="24"/>
        </w:rPr>
        <w:t xml:space="preserve">Theorem 5.1  </w:t>
      </w:r>
      <w:r>
        <w:rPr>
          <w:rFonts w:ascii="Georgia" w:cs="Georgia" w:eastAsia="Georgia" w:hAnsi="Georgia"/>
          <w:b w:val="false"/>
          <w:bCs w:val="false"/>
          <w:i/>
          <w:iCs/>
          <w:color w:val="000000"/>
          <w:sz w:val="24"/>
          <w:szCs w:val="24"/>
        </w:rPr>
        <w:t xml:space="preserve">(Entropy bounds).</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with n elements subject to the unity constraint, 0 ≤ S(ρ̂) ≤ ln n, with S = 0 if and only if ρᵢ = 1 for some i (complete concentration), and S = ln n if and only if ρᵢ = 1/n ∀i (uniform distribution).</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Lower bound: S ≥ 0 follows from ρᵢ ∈ (0,1] ⟹ ln ρᵢ ≤ 0 ⟹ -ρᵢ ln ρᵢ ≥ 0. Equality when ρᵢ → 1 for some i.</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Upper bound: by the concavity of -x ln x and Jensen's inequality,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S(ρ̂) = ∑ᵢ (-ρᵢ ln ρᵢ) ≤ n · (-(1/n) ln(1/n)) = ln 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Equality holds when ρᵢ = 1/n ∀i.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5.3  Entropy change under drift</w:t>
      </w:r>
    </w:p>
    <w:p>
      <w:pPr>
        <w:spacing w:before="0" w:after="160" w:line="276"/>
        <w:jc w:val="both"/>
      </w:pPr>
      <w:r>
        <w:rPr>
          <w:rFonts w:ascii="Georgia" w:cs="Georgia" w:eastAsia="Georgia" w:hAnsi="Georgia"/>
          <w:b w:val="false"/>
          <w:bCs w:val="false"/>
          <w:i w:val="false"/>
          <w:iCs w:val="false"/>
          <w:color w:val="000000"/>
          <w:sz w:val="24"/>
          <w:szCs w:val="24"/>
        </w:rPr>
        <w:t xml:space="preserve">The change in portfolio entropy over one reporting cycle measures the direction of drift:</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 = S(ρ̂(t)) - S(ρ̂(t-1)) = -∑ᵢ [ρᵢ(t) ln ρᵢ(t) - ρᵢ(t-1) ln ρᵢ(t-1)]</w:t>
      </w:r>
    </w:p>
    <w:p>
      <w:pPr>
        <w:spacing w:before="0" w:after="160" w:line="276"/>
        <w:jc w:val="both"/>
      </w:pPr>
      <w:r>
        <w:rPr>
          <w:rFonts w:ascii="Georgia" w:cs="Georgia" w:eastAsia="Georgia" w:hAnsi="Georgia"/>
          <w:b w:val="false"/>
          <w:bCs w:val="false"/>
          <w:i w:val="false"/>
          <w:iCs w:val="false"/>
          <w:color w:val="000000"/>
          <w:sz w:val="24"/>
          <w:szCs w:val="24"/>
        </w:rPr>
        <w:t xml:space="preserve">ΔS &gt; 0 indicates fragmentation drift — the portfolio is becoming more diffuse. ΔS &lt; 0 indicates concentration drift — the portfolio is becoming more dominated by a small number of elements. The unity constraint ensures that ΔS = 0 in a perfectly stable portfolio.</w:t>
      </w:r>
    </w:p>
    <w:p>
      <w:pPr>
        <w:spacing w:before="0" w:after="160" w:line="276"/>
        <w:jc w:val="both"/>
      </w:pPr>
      <w:r>
        <w:rPr>
          <w:rFonts w:ascii="Georgia" w:cs="Georgia" w:eastAsia="Georgia" w:hAnsi="Georgia"/>
          <w:b w:val="false"/>
          <w:bCs w:val="false"/>
          <w:i w:val="false"/>
          <w:iCs w:val="false"/>
          <w:color w:val="000000"/>
          <w:sz w:val="24"/>
          <w:szCs w:val="24"/>
        </w:rPr>
        <w:t xml:space="preserve">The entropy bounds provide a natural normalization for the drift signal: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ΔS_normalized = ΔS / ln n  ∈  [-1, 1]</w:t>
      </w:r>
    </w:p>
    <w:p>
      <w:pPr>
        <w:spacing w:before="0" w:after="160" w:line="276"/>
        <w:jc w:val="both"/>
      </w:pPr>
      <w:r>
        <w:rPr>
          <w:rFonts w:ascii="Georgia" w:cs="Georgia" w:eastAsia="Georgia" w:hAnsi="Georgia"/>
          <w:b w:val="false"/>
          <w:bCs w:val="false"/>
          <w:i w:val="false"/>
          <w:iCs w:val="false"/>
          <w:color w:val="000000"/>
          <w:sz w:val="24"/>
          <w:szCs w:val="24"/>
        </w:rPr>
        <w:t xml:space="preserve">This normalized drift signal is domain-invariant and scale-invariant — it measures the fraction of maximum possible entropy change that occurred in the current cycle.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6.  System Q — The Phase Problem</w:t>
      </w:r>
    </w:p>
    <w:p>
      <w:pPr>
        <w:pStyle w:val="Heading2"/>
        <w:spacing w:before="320" w:after="140"/>
      </w:pPr>
      <w:r>
        <w:rPr>
          <w:rFonts w:ascii="Arial" w:cs="Arial" w:eastAsia="Arial" w:hAnsi="Arial"/>
          <w:b/>
          <w:bCs/>
          <w:i w:val="false"/>
          <w:iCs w:val="false"/>
          <w:color w:val="333333"/>
          <w:sz w:val="28"/>
          <w:szCs w:val="28"/>
        </w:rPr>
        <w:t xml:space="preserve">6.1  Q-factor formalism</w:t>
      </w:r>
    </w:p>
    <w:p>
      <w:pPr>
        <w:spacing w:before="0" w:after="160" w:line="276"/>
        <w:jc w:val="both"/>
      </w:pPr>
      <w:r>
        <w:rPr>
          <w:rFonts w:ascii="Georgia" w:cs="Georgia" w:eastAsia="Georgia" w:hAnsi="Georgia"/>
          <w:b w:val="false"/>
          <w:bCs w:val="false"/>
          <w:i w:val="false"/>
          <w:iCs w:val="false"/>
          <w:color w:val="000000"/>
          <w:sz w:val="24"/>
          <w:szCs w:val="24"/>
        </w:rPr>
        <w:t xml:space="preserve">The Q-factor of element i in a portfolio is defined as the ratio of its characteristic contribution frequency to its contribution bandwidth:</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Qᵢ = fᵢ / Δfᵢ</w:t>
      </w:r>
    </w:p>
    <w:p>
      <w:pPr>
        <w:spacing w:before="0" w:after="160" w:line="276"/>
        <w:jc w:val="both"/>
      </w:pPr>
      <w:r>
        <w:rPr>
          <w:rFonts w:ascii="Georgia" w:cs="Georgia" w:eastAsia="Georgia" w:hAnsi="Georgia"/>
          <w:b w:val="false"/>
          <w:bCs w:val="false"/>
          <w:i w:val="false"/>
          <w:iCs w:val="false"/>
          <w:color w:val="000000"/>
          <w:sz w:val="24"/>
          <w:szCs w:val="24"/>
        </w:rPr>
        <w:t xml:space="preserve">where fᵢ is the element's characteristic frequency (how often it contributes significantly to the portfolio) and Δfᵢ is its bandwidth (the range of frequencies over which it contributes more than 1/√2 of its peak value).</w:t>
      </w:r>
    </w:p>
    <w:p>
      <w:pPr>
        <w:spacing w:before="0" w:after="160" w:line="276"/>
        <w:jc w:val="both"/>
      </w:pPr>
      <w:r>
        <w:rPr>
          <w:rFonts w:ascii="Georgia" w:cs="Georgia" w:eastAsia="Georgia" w:hAnsi="Georgia"/>
          <w:b w:val="false"/>
          <w:bCs w:val="false"/>
          <w:i w:val="false"/>
          <w:iCs w:val="false"/>
          <w:color w:val="000000"/>
          <w:sz w:val="24"/>
          <w:szCs w:val="24"/>
        </w:rPr>
        <w:t xml:space="preserve">In a governance portfolio, fᵢ maps to the reciprocal of the element's characteristic contribution period (annual, seasonal, multi-year), and Δfᵢ maps to the range of time over which the element's contribution is above the significance threshold.</w:t>
      </w:r>
    </w:p>
    <w:p>
      <w:pPr>
        <w:spacing w:before="200" w:after="60" w:line="276"/>
        <w:jc w:val="both"/>
      </w:pPr>
      <w:r>
        <w:rPr>
          <w:rFonts w:ascii="Arial" w:cs="Arial" w:eastAsia="Arial" w:hAnsi="Arial"/>
          <w:b/>
          <w:bCs/>
          <w:i w:val="false"/>
          <w:iCs w:val="false"/>
          <w:color w:val="000000"/>
          <w:sz w:val="24"/>
          <w:szCs w:val="24"/>
        </w:rPr>
        <w:t xml:space="preserve">Theorem 6.1 (Proposition 7.3)  </w:t>
      </w:r>
      <w:r>
        <w:rPr>
          <w:rFonts w:ascii="Georgia" w:cs="Georgia" w:eastAsia="Georgia" w:hAnsi="Georgia"/>
          <w:b w:val="false"/>
          <w:bCs w:val="false"/>
          <w:i/>
          <w:iCs/>
          <w:color w:val="000000"/>
          <w:sz w:val="24"/>
          <w:szCs w:val="24"/>
        </w:rPr>
        <w:t xml:space="preserve">(Q-sensitive cross-cycle observation).</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containing elements with Q-factors spanning at least one order of magnitude (max(Qᵢ)/min(Qᵢ) ≥ 10), a single-cycle observation T_obs &lt; 1/f_min systematically underestimates the contribution of elements with f ≤ f_obs = 1/T_obs by a factor of at least Q_min / Q_max.</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element k have characteristic frequency fₖ and let T_obs &lt; 1/fₖ (observation window less than one full period).</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time-averaged contribution of element k over T_obs is: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(1/T_obs) ∫₀^{T_obs} ρₖ(t) dt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 sinusoidal contribution model ρₖ(t) = ρ̄ₖ(1 + Aₖ sin(2πfₖt)), where ρ̄ₖ is the mean share and Aₖ is the amplitude: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ρ̄ₖ + ρ̄ₖAₖ(1 - cos(2πfₖT_obs))/(2πfₖT_obs)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T_obs &lt;&lt; 1/fₖ, the cosine term → 1 and the correction term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If T_obs corresponds to the peak of a high-frequency element (fₕ &gt;&gt; fₖ), the observation captures ρₕ at peak while capturing ρₖ at a phase that may be near minimum.</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ratio of observed to true mean: ⟨ρₖ⟩/ρ̄ₖ → (1 - Aₖ) in the worst case (trough observation).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Aₖ approaching 1 (high-Q element with sharp peak), this ratio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underestimation factor is at minimum Aₖ_min/Aₖ_max ≥ Q_min/Q_max by the Q-bandwidth relationship.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6.2  The habitat irreversibility corollary</w:t>
      </w:r>
    </w:p>
    <w:p>
      <w:pPr>
        <w:spacing w:before="200" w:after="60" w:line="276"/>
        <w:jc w:val="both"/>
      </w:pPr>
      <w:r>
        <w:rPr>
          <w:rFonts w:ascii="Arial" w:cs="Arial" w:eastAsia="Arial" w:hAnsi="Arial"/>
          <w:b/>
          <w:bCs/>
          <w:i w:val="false"/>
          <w:iCs w:val="false"/>
          <w:color w:val="000000"/>
          <w:sz w:val="24"/>
          <w:szCs w:val="24"/>
        </w:rPr>
        <w:t xml:space="preserve">Corollary 6.2  </w:t>
      </w:r>
      <w:r>
        <w:rPr>
          <w:rFonts w:ascii="Georgia" w:cs="Georgia" w:eastAsia="Georgia" w:hAnsi="Georgia"/>
          <w:b w:val="false"/>
          <w:bCs w:val="false"/>
          <w:i/>
          <w:iCs/>
          <w:color w:val="000000"/>
          <w:sz w:val="24"/>
          <w:szCs w:val="24"/>
        </w:rPr>
        <w:t xml:space="preserve">(Habitat irreversibility).</w:t>
      </w:r>
    </w:p>
    <w:p>
      <w:pPr>
        <w:spacing w:before="0" w:after="60" w:line="276"/>
        <w:ind w:left="720" w:right="720"/>
        <w:jc w:val="both"/>
      </w:pPr>
      <w:r>
        <w:rPr>
          <w:rFonts w:ascii="Georgia" w:cs="Georgia" w:eastAsia="Georgia" w:hAnsi="Georgia"/>
          <w:b w:val="false"/>
          <w:bCs w:val="false"/>
          <w:i/>
          <w:iCs/>
          <w:color w:val="000000"/>
          <w:sz w:val="24"/>
          <w:szCs w:val="24"/>
        </w:rPr>
        <w:t xml:space="preserve">Let element k be a high-Q governance element removed from the portfolio at time t* based on a snapshot observation at a trough phase. The portfolio entropy loss from this removal is ΔS_k = ρₖ ln(1/ρₖ). For high-Q elements with characteristic periods T_k &gt;&gt; T_obs, the expected time to detect the removal's effect on the system is T_k / 2, which may exceed the governance horizon.</w:t>
      </w:r>
    </w:p>
    <w:p>
      <w:pPr>
        <w:spacing w:before="0" w:after="160" w:line="276"/>
        <w:jc w:val="both"/>
      </w:pPr>
      <w:r>
        <w:rPr>
          <w:rFonts w:ascii="Georgia" w:cs="Georgia" w:eastAsia="Georgia" w:hAnsi="Georgia"/>
          <w:b w:val="false"/>
          <w:bCs w:val="false"/>
          <w:i w:val="false"/>
          <w:iCs w:val="false"/>
          <w:color w:val="000000"/>
          <w:sz w:val="24"/>
          <w:szCs w:val="24"/>
        </w:rPr>
        <w:t xml:space="preserve">The corollary formalizes the habitat analogy: loss of a high-Q element is not detectable as a governance error until at least half its characteristic period has elapsed. By that time, the element's function — migratory waypoint, spawning ground, endemic species refuge — cannot be restored on the same timescale. The loss is structurally irreversible within any practical governance horizon.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7.  The Ostrom-HUF Theorem Set</w:t>
      </w:r>
    </w:p>
    <w:p>
      <w:pPr>
        <w:pStyle w:val="Heading2"/>
        <w:spacing w:before="320" w:after="140"/>
      </w:pPr>
      <w:r>
        <w:rPr>
          <w:rFonts w:ascii="Arial" w:cs="Arial" w:eastAsia="Arial" w:hAnsi="Arial"/>
          <w:b/>
          <w:bCs/>
          <w:i w:val="false"/>
          <w:iCs w:val="false"/>
          <w:color w:val="333333"/>
          <w:sz w:val="28"/>
          <w:szCs w:val="28"/>
        </w:rPr>
        <w:t xml:space="preserve">7.1  Mapping Ostrom's design principles to HUF constructs</w:t>
      </w:r>
    </w:p>
    <w:p>
      <w:pPr>
        <w:spacing w:before="0" w:after="160" w:line="276"/>
        <w:jc w:val="both"/>
      </w:pPr>
      <w:r>
        <w:rPr>
          <w:rFonts w:ascii="Georgia" w:cs="Georgia" w:eastAsia="Georgia" w:hAnsi="Georgia"/>
          <w:b w:val="false"/>
          <w:bCs w:val="false"/>
          <w:i w:val="false"/>
          <w:iCs w:val="false"/>
          <w:color w:val="000000"/>
          <w:sz w:val="24"/>
          <w:szCs w:val="24"/>
        </w:rPr>
        <w:t xml:space="preserve">Ostrom's eight institutional design principles for long-enduring common pool resource governance are each formally satisfiable by HUF constructs. The mapping is as follows: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DP1 (Boundary definition).  </w:t>
      </w:r>
      <w:r>
        <w:rPr>
          <w:rFonts w:ascii="Georgia" w:cs="Georgia" w:eastAsia="Georgia" w:hAnsi="Georgia"/>
          <w:b w:val="false"/>
          <w:bCs w:val="false"/>
          <w:i w:val="false"/>
          <w:iCs w:val="false"/>
          <w:color w:val="000000"/>
          <w:sz w:val="24"/>
          <w:szCs w:val="24"/>
        </w:rPr>
        <w:t xml:space="preserve">HUF Axiom: the portfolio is a closed system under the unity constraint. The boundary is defined by ∑ᵢ ρᵢ = 1. No element enters or exits without a recorded decision in the portfolio change log.</w:t>
      </w:r>
    </w:p>
    <w:p>
      <w:pPr>
        <w:spacing w:before="120" w:after="80" w:line="276"/>
        <w:ind w:left="720" w:right="720"/>
        <w:jc w:val="both"/>
      </w:pPr>
      <w:r>
        <w:rPr>
          <w:rFonts w:ascii="Arial" w:cs="Arial" w:eastAsia="Arial" w:hAnsi="Arial"/>
          <w:b/>
          <w:bCs/>
          <w:i w:val="false"/>
          <w:iCs w:val="false"/>
          <w:color w:val="000000"/>
          <w:sz w:val="24"/>
          <w:szCs w:val="24"/>
        </w:rPr>
        <w:t xml:space="preserve">DP2 (Proportionality).  </w:t>
      </w:r>
      <w:r>
        <w:rPr>
          <w:rFonts w:ascii="Georgia" w:cs="Georgia" w:eastAsia="Georgia" w:hAnsi="Georgia"/>
          <w:b w:val="false"/>
          <w:bCs w:val="false"/>
          <w:i w:val="false"/>
          <w:iCs w:val="false"/>
          <w:color w:val="000000"/>
          <w:sz w:val="24"/>
          <w:szCs w:val="24"/>
        </w:rPr>
        <w:t xml:space="preserve">HUF Lemma: the portfolio share table provides an explicit proportionality record at each cycle. Shares are proportional to declared mass mᵢ, which is determined by the operator's stated priorities.</w:t>
      </w:r>
    </w:p>
    <w:p>
      <w:pPr>
        <w:spacing w:before="120" w:after="80" w:line="276"/>
        <w:ind w:left="720" w:right="720"/>
        <w:jc w:val="both"/>
      </w:pPr>
      <w:r>
        <w:rPr>
          <w:rFonts w:ascii="Arial" w:cs="Arial" w:eastAsia="Arial" w:hAnsi="Arial"/>
          <w:b/>
          <w:bCs/>
          <w:i w:val="false"/>
          <w:iCs w:val="false"/>
          <w:color w:val="000000"/>
          <w:sz w:val="24"/>
          <w:szCs w:val="24"/>
        </w:rPr>
        <w:t xml:space="preserve">DP3 (Collective choice).  </w:t>
      </w:r>
      <w:r>
        <w:rPr>
          <w:rFonts w:ascii="Georgia" w:cs="Georgia" w:eastAsia="Georgia" w:hAnsi="Georgia"/>
          <w:b w:val="false"/>
          <w:bCs w:val="false"/>
          <w:i w:val="false"/>
          <w:iCs w:val="false"/>
          <w:color w:val="000000"/>
          <w:sz w:val="24"/>
          <w:szCs w:val="24"/>
        </w:rPr>
        <w:t xml:space="preserve">HUF Construct: the trace report records which governance actors declared which priorities. The operator weight system documents whose decisions shaped the current allocation. Collective choice is made legible rather than assumed.</w:t>
      </w:r>
    </w:p>
    <w:p>
      <w:pPr>
        <w:spacing w:before="120" w:after="80" w:line="276"/>
        <w:ind w:left="720" w:right="720"/>
        <w:jc w:val="both"/>
      </w:pPr>
      <w:r>
        <w:rPr>
          <w:rFonts w:ascii="Arial" w:cs="Arial" w:eastAsia="Arial" w:hAnsi="Arial"/>
          <w:b/>
          <w:bCs/>
          <w:i w:val="false"/>
          <w:iCs w:val="false"/>
          <w:color w:val="000000"/>
          <w:sz w:val="24"/>
          <w:szCs w:val="24"/>
        </w:rPr>
        <w:t xml:space="preserve">DP4 (Monitoring).  </w:t>
      </w:r>
      <w:r>
        <w:rPr>
          <w:rFonts w:ascii="Georgia" w:cs="Georgia" w:eastAsia="Georgia" w:hAnsi="Georgia"/>
          <w:b w:val="false"/>
          <w:bCs w:val="false"/>
          <w:i w:val="false"/>
          <w:iCs w:val="false"/>
          <w:color w:val="000000"/>
          <w:sz w:val="24"/>
          <w:szCs w:val="24"/>
        </w:rPr>
        <w:t xml:space="preserve">HUF Theorem 3.1: the portfolio map and its inversion detect drift in both directions simultaneously. The portfolio change log provides the monitoring artifact at each cycle. Monitoring is an automatic output of the constraint application.</w:t>
      </w:r>
    </w:p>
    <w:p>
      <w:pPr>
        <w:spacing w:before="120" w:after="80" w:line="276"/>
        <w:ind w:left="720" w:right="720"/>
        <w:jc w:val="both"/>
      </w:pPr>
      <w:r>
        <w:rPr>
          <w:rFonts w:ascii="Arial" w:cs="Arial" w:eastAsia="Arial" w:hAnsi="Arial"/>
          <w:b/>
          <w:bCs/>
          <w:i w:val="false"/>
          <w:iCs w:val="false"/>
          <w:color w:val="000000"/>
          <w:sz w:val="24"/>
          <w:szCs w:val="24"/>
        </w:rPr>
        <w:t xml:space="preserve">DP5 (Graduated sanctions).  </w:t>
      </w:r>
      <w:r>
        <w:rPr>
          <w:rFonts w:ascii="Georgia" w:cs="Georgia" w:eastAsia="Georgia" w:hAnsi="Georgia"/>
          <w:b w:val="false"/>
          <w:bCs w:val="false"/>
          <w:i w:val="false"/>
          <w:iCs w:val="false"/>
          <w:color w:val="000000"/>
          <w:sz w:val="24"/>
          <w:szCs w:val="24"/>
        </w:rPr>
        <w:t xml:space="preserve">HUF Construct: the coverage record documents which elements received reduced focus and by what magnitude. The gradient of reduction is explicit. Graduated reduction is auditable.</w:t>
      </w:r>
    </w:p>
    <w:p>
      <w:pPr>
        <w:spacing w:before="120" w:after="80" w:line="276"/>
        <w:ind w:left="720" w:right="720"/>
        <w:jc w:val="both"/>
      </w:pPr>
      <w:r>
        <w:rPr>
          <w:rFonts w:ascii="Arial" w:cs="Arial" w:eastAsia="Arial" w:hAnsi="Arial"/>
          <w:b/>
          <w:bCs/>
          <w:i w:val="false"/>
          <w:iCs w:val="false"/>
          <w:color w:val="000000"/>
          <w:sz w:val="24"/>
          <w:szCs w:val="24"/>
        </w:rPr>
        <w:t xml:space="preserve">DP6 (Conflict resolution).  </w:t>
      </w:r>
      <w:r>
        <w:rPr>
          <w:rFonts w:ascii="Georgia" w:cs="Georgia" w:eastAsia="Georgia" w:hAnsi="Georgia"/>
          <w:b w:val="false"/>
          <w:bCs w:val="false"/>
          <w:i w:val="false"/>
          <w:iCs w:val="false"/>
          <w:color w:val="000000"/>
          <w:sz w:val="24"/>
          <w:szCs w:val="24"/>
        </w:rPr>
        <w:t xml:space="preserve">HUF Mechanism: the trace report provides a common reference for disputes about allocation decisions. Intentional drift (recorded) is distinguishable from silent drift (unrecorded). The reference resolves ambiguity about whether a change was decided or drifted.</w:t>
      </w:r>
    </w:p>
    <w:p>
      <w:pPr>
        <w:spacing w:before="120" w:after="80" w:line="276"/>
        <w:ind w:left="720" w:right="720"/>
        <w:jc w:val="both"/>
      </w:pPr>
      <w:r>
        <w:rPr>
          <w:rFonts w:ascii="Arial" w:cs="Arial" w:eastAsia="Arial" w:hAnsi="Arial"/>
          <w:b/>
          <w:bCs/>
          <w:i w:val="false"/>
          <w:iCs w:val="false"/>
          <w:color w:val="000000"/>
          <w:sz w:val="24"/>
          <w:szCs w:val="24"/>
        </w:rPr>
        <w:t xml:space="preserve">DP7 (Minimal autonomy rights).  </w:t>
      </w:r>
      <w:r>
        <w:rPr>
          <w:rFonts w:ascii="Georgia" w:cs="Georgia" w:eastAsia="Georgia" w:hAnsi="Georgia"/>
          <w:b w:val="false"/>
          <w:bCs w:val="false"/>
          <w:i w:val="false"/>
          <w:iCs w:val="false"/>
          <w:color w:val="000000"/>
          <w:sz w:val="24"/>
          <w:szCs w:val="24"/>
        </w:rPr>
        <w:t xml:space="preserve">HUF Constraint: the unity constraint does not override local governance decisions. It reads them. The portfolio share table reflects what local actors have declared. HUF is non-invasive — it does not prescribe what the allocation should be.</w:t>
      </w:r>
    </w:p>
    <w:p>
      <w:pPr>
        <w:spacing w:before="120" w:after="80" w:line="276"/>
        <w:ind w:left="720" w:right="720"/>
        <w:jc w:val="both"/>
      </w:pPr>
      <w:r>
        <w:rPr>
          <w:rFonts w:ascii="Arial" w:cs="Arial" w:eastAsia="Arial" w:hAnsi="Arial"/>
          <w:b/>
          <w:bCs/>
          <w:i w:val="false"/>
          <w:iCs w:val="false"/>
          <w:color w:val="000000"/>
          <w:sz w:val="24"/>
          <w:szCs w:val="24"/>
        </w:rPr>
        <w:t xml:space="preserve">DP8 (Nested enterprises).  </w:t>
      </w:r>
      <w:r>
        <w:rPr>
          <w:rFonts w:ascii="Georgia" w:cs="Georgia" w:eastAsia="Georgia" w:hAnsi="Georgia"/>
          <w:b w:val="false"/>
          <w:bCs w:val="false"/>
          <w:i w:val="false"/>
          <w:iCs w:val="false"/>
          <w:color w:val="000000"/>
          <w:sz w:val="24"/>
          <w:szCs w:val="24"/>
        </w:rPr>
        <w:t xml:space="preserve">HUF Extension: the unity constraint is recursive. A regime can itself be treated as an element in a higher-level portfolio, and each element in that regime can be a portfolio at the next level down. The entropy bounds and drift detection apply at each level.</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200" w:after="60" w:line="276"/>
        <w:jc w:val="both"/>
      </w:pPr>
      <w:r>
        <w:rPr>
          <w:rFonts w:ascii="Arial" w:cs="Arial" w:eastAsia="Arial" w:hAnsi="Arial"/>
          <w:b/>
          <w:bCs/>
          <w:i w:val="false"/>
          <w:iCs w:val="false"/>
          <w:color w:val="000000"/>
          <w:sz w:val="24"/>
          <w:szCs w:val="24"/>
        </w:rPr>
        <w:t xml:space="preserve">Theorem 7.1  </w:t>
      </w:r>
      <w:r>
        <w:rPr>
          <w:rFonts w:ascii="Georgia" w:cs="Georgia" w:eastAsia="Georgia" w:hAnsi="Georgia"/>
          <w:b w:val="false"/>
          <w:bCs w:val="false"/>
          <w:i/>
          <w:iCs/>
          <w:color w:val="000000"/>
          <w:sz w:val="24"/>
          <w:szCs w:val="24"/>
        </w:rPr>
        <w:t xml:space="preserve">(Ostrom-HUF compatibility).</w:t>
      </w:r>
    </w:p>
    <w:p>
      <w:pPr>
        <w:spacing w:before="0" w:after="60" w:line="276"/>
        <w:ind w:left="720" w:right="720"/>
        <w:jc w:val="both"/>
      </w:pPr>
      <w:r>
        <w:rPr>
          <w:rFonts w:ascii="Georgia" w:cs="Georgia" w:eastAsia="Georgia" w:hAnsi="Georgia"/>
          <w:b w:val="false"/>
          <w:bCs w:val="false"/>
          <w:i/>
          <w:iCs/>
          <w:color w:val="000000"/>
          <w:sz w:val="24"/>
          <w:szCs w:val="24"/>
        </w:rPr>
        <w:t xml:space="preserve">A portfolio governance system that satisfies the four HUF artifacts — portfolio share table, trace report, portfolio change log, coverage record — simultaneously satisfies Ostrom's design principles DP1, DP2, DP4, DP5, and DP6 by construction, and provides the informational prerequisites for DP3, DP7, and DP8.</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DP1: ∑ᵢ ρᵢ = 1 defines the boundary. Any element with ρᵢ &gt; 0 is within the system. Any element with ρᵢ = 0 is outside it. Transitions are recorded in the portfolio change log.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DP2: ρᵢ = mᵢ/M is proportional to declared mass mᵢ. The share table is the explicit proportionality record.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DP4: Theorem 3.1 proves drift detection in both directions. The portfolio change log is the monitoring artifact.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DP5: The coverage record records the magnitude of reduced focus for each element. The gradient is computable from consecutive share tables.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DP6: The trace report records declared priorities. Intentional vs. silent drift is explicit. The reference for dispute resolution is the most recent trace report.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DP3, DP7, DP8: the artifacts provide the information required for collective choice (DP3), but do not prescribe governance structure (DP7). The recursive structure is available (DP8) but requires application. These are informational prerequisites, not automatic satisfactions.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8.  Transboundary Framework Alignment</w:t>
      </w:r>
    </w:p>
    <w:p>
      <w:pPr>
        <w:pStyle w:val="Heading2"/>
        <w:spacing w:before="320" w:after="140"/>
      </w:pPr>
      <w:r>
        <w:rPr>
          <w:rFonts w:ascii="Arial" w:cs="Arial" w:eastAsia="Arial" w:hAnsi="Arial"/>
          <w:b/>
          <w:bCs/>
          <w:i w:val="false"/>
          <w:iCs w:val="false"/>
          <w:color w:val="333333"/>
          <w:sz w:val="28"/>
          <w:szCs w:val="28"/>
        </w:rPr>
        <w:t xml:space="preserve">8.1  The common structure</w:t>
      </w:r>
    </w:p>
    <w:p>
      <w:pPr>
        <w:spacing w:before="0" w:after="160" w:line="276"/>
        <w:jc w:val="both"/>
      </w:pPr>
      <w:r>
        <w:rPr>
          <w:rFonts w:ascii="Georgia" w:cs="Georgia" w:eastAsia="Georgia" w:hAnsi="Georgia"/>
          <w:b w:val="false"/>
          <w:bCs w:val="false"/>
          <w:i w:val="false"/>
          <w:iCs w:val="false"/>
          <w:color w:val="000000"/>
          <w:sz w:val="24"/>
          <w:szCs w:val="24"/>
        </w:rPr>
        <w:t xml:space="preserve">Three canonical transboundary water governance frameworks — the Mekong River Commission (MRC), the Nile Basin Initiative (NBI), and the EU Water Framework Directive (WFD) — each contain a unity constraint expressed in domain-specific form. The claim is that these are the same constraint.</w:t>
      </w:r>
    </w:p>
    <w:p>
      <w:pPr>
        <w:pStyle w:val="Heading2"/>
        <w:spacing w:before="320" w:after="140"/>
      </w:pPr>
      <w:r>
        <w:rPr>
          <w:rFonts w:ascii="Arial" w:cs="Arial" w:eastAsia="Arial" w:hAnsi="Arial"/>
          <w:b/>
          <w:bCs/>
          <w:i w:val="false"/>
          <w:iCs w:val="false"/>
          <w:color w:val="333333"/>
          <w:sz w:val="28"/>
          <w:szCs w:val="28"/>
        </w:rPr>
        <w:t xml:space="preserve">8.2  Mekong River Commission</w:t>
      </w:r>
    </w:p>
    <w:p>
      <w:pPr>
        <w:spacing w:before="0" w:after="160" w:line="276"/>
        <w:jc w:val="both"/>
      </w:pPr>
      <w:r>
        <w:rPr>
          <w:rFonts w:ascii="Georgia" w:cs="Georgia" w:eastAsia="Georgia" w:hAnsi="Georgia"/>
          <w:b w:val="false"/>
          <w:bCs w:val="false"/>
          <w:i w:val="false"/>
          <w:iCs w:val="false"/>
          <w:color w:val="000000"/>
          <w:sz w:val="24"/>
          <w:szCs w:val="24"/>
        </w:rPr>
        <w:t xml:space="preserve">The MRC's 1995 Mekong Agreement defines the Acceptable Minimum Monthly Flow at Pakse station, the Reverse Flow Condition, and the Dry Season Flow requirement. These are expressed as minimum flow thresholds, but they are equivalent to a proportionality constraint on water allocation across member states.</w:t>
      </w:r>
    </w:p>
    <w:p>
      <w:pPr>
        <w:spacing w:before="0" w:after="160" w:line="276"/>
        <w:jc w:val="both"/>
      </w:pPr>
      <w:r>
        <w:rPr>
          <w:rFonts w:ascii="Georgia" w:cs="Georgia" w:eastAsia="Georgia" w:hAnsi="Georgia"/>
          <w:b w:val="false"/>
          <w:bCs w:val="false"/>
          <w:i w:val="false"/>
          <w:iCs w:val="false"/>
          <w:color w:val="000000"/>
          <w:sz w:val="24"/>
          <w:szCs w:val="24"/>
        </w:rPr>
        <w:t xml:space="preserve">Let mᵢ(t) be the water use of riparian country i in month t. The MRC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mᵢ(t) ≤ Q_min(t)    and    mᵢ(t) / ∑ⱼ mⱼ(t) ≤ α_i</w:t>
      </w:r>
    </w:p>
    <w:p>
      <w:pPr>
        <w:spacing w:before="0" w:after="160" w:line="276"/>
        <w:jc w:val="both"/>
      </w:pPr>
      <w:r>
        <w:rPr>
          <w:rFonts w:ascii="Georgia" w:cs="Georgia" w:eastAsia="Georgia" w:hAnsi="Georgia"/>
          <w:b w:val="false"/>
          <w:bCs w:val="false"/>
          <w:i w:val="false"/>
          <w:iCs w:val="false"/>
          <w:color w:val="000000"/>
          <w:sz w:val="24"/>
          <w:szCs w:val="24"/>
        </w:rPr>
        <w:t xml:space="preserve">where α_i is country i's allocated share fraction. This is the HUF portfolio constraint with a flow-normalized budget M = Q_min(t) and declared shares αᵢ. The MRC monitoring requirement — biannual reporting of actual flows — is equivalent to HUF's cross-cycle portfolio observation.</w:t>
      </w:r>
    </w:p>
    <w:p>
      <w:pPr>
        <w:pStyle w:val="Heading2"/>
        <w:spacing w:before="320" w:after="140"/>
      </w:pPr>
      <w:r>
        <w:rPr>
          <w:rFonts w:ascii="Arial" w:cs="Arial" w:eastAsia="Arial" w:hAnsi="Arial"/>
          <w:b/>
          <w:bCs/>
          <w:i w:val="false"/>
          <w:iCs w:val="false"/>
          <w:color w:val="333333"/>
          <w:sz w:val="28"/>
          <w:szCs w:val="28"/>
        </w:rPr>
        <w:t xml:space="preserve">8.3  Nile Basin Initiative</w:t>
      </w:r>
    </w:p>
    <w:p>
      <w:pPr>
        <w:spacing w:before="0" w:after="160" w:line="276"/>
        <w:jc w:val="both"/>
      </w:pPr>
      <w:r>
        <w:rPr>
          <w:rFonts w:ascii="Georgia" w:cs="Georgia" w:eastAsia="Georgia" w:hAnsi="Georgia"/>
          <w:b w:val="false"/>
          <w:bCs w:val="false"/>
          <w:i w:val="false"/>
          <w:iCs w:val="false"/>
          <w:color w:val="000000"/>
          <w:sz w:val="24"/>
          <w:szCs w:val="24"/>
        </w:rPr>
        <w:t xml:space="preserve">The NBI's Cooperative Framework Agreement (CFA) requires equitable and reasonable utilization across ten basin states. The equitability principle is expressed as a proportionality requirement on long-term average annual flow allocation. Applying the HUF framework:</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ρᵢ_NBI = Q_allocated,i / Q_total    subject to  ∑ᵢ ρᵢ_NBI = 1</w:t>
      </w:r>
    </w:p>
    <w:p>
      <w:pPr>
        <w:spacing w:before="0" w:after="160" w:line="276"/>
        <w:jc w:val="both"/>
      </w:pPr>
      <w:r>
        <w:rPr>
          <w:rFonts w:ascii="Georgia" w:cs="Georgia" w:eastAsia="Georgia" w:hAnsi="Georgia"/>
          <w:b w:val="false"/>
          <w:bCs w:val="false"/>
          <w:i w:val="false"/>
          <w:iCs w:val="false"/>
          <w:color w:val="000000"/>
          <w:sz w:val="24"/>
          <w:szCs w:val="24"/>
        </w:rPr>
        <w:t xml:space="preserve">The NBI's notification and consultation requirements — any project affecting flow must be notified to all other states — is equivalent to the HUF requirement that intentional allocation changes be recorded in the trace report. The common property is the requirement that no change be silent.</w:t>
      </w:r>
    </w:p>
    <w:p>
      <w:pPr>
        <w:pStyle w:val="Heading2"/>
        <w:spacing w:before="320" w:after="140"/>
      </w:pPr>
      <w:r>
        <w:rPr>
          <w:rFonts w:ascii="Arial" w:cs="Arial" w:eastAsia="Arial" w:hAnsi="Arial"/>
          <w:b/>
          <w:bCs/>
          <w:i w:val="false"/>
          <w:iCs w:val="false"/>
          <w:color w:val="333333"/>
          <w:sz w:val="28"/>
          <w:szCs w:val="28"/>
        </w:rPr>
        <w:t xml:space="preserve">8.4  EU Water Framework Directive</w:t>
      </w:r>
    </w:p>
    <w:p>
      <w:pPr>
        <w:spacing w:before="0" w:after="160" w:line="276"/>
        <w:jc w:val="both"/>
      </w:pPr>
      <w:r>
        <w:rPr>
          <w:rFonts w:ascii="Georgia" w:cs="Georgia" w:eastAsia="Georgia" w:hAnsi="Georgia"/>
          <w:b w:val="false"/>
          <w:bCs w:val="false"/>
          <w:i w:val="false"/>
          <w:iCs w:val="false"/>
          <w:color w:val="000000"/>
          <w:sz w:val="24"/>
          <w:szCs w:val="24"/>
        </w:rPr>
        <w:t xml:space="preserve">The WFD requires that all water bodies achieve Good Ecological Status (GES) by 2027. The portfolio application treats each water body as an element and the GES requirement as a minimum share threshold. For a river basin with n water bodies: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ρᵢ_WFD ≥ ρ_min    ∀i,    ∑ᵢ ρᵢ_WFD = 1</w:t>
      </w:r>
    </w:p>
    <w:p>
      <w:pPr>
        <w:spacing w:before="0" w:after="160" w:line="276"/>
        <w:jc w:val="both"/>
      </w:pPr>
      <w:r>
        <w:rPr>
          <w:rFonts w:ascii="Georgia" w:cs="Georgia" w:eastAsia="Georgia" w:hAnsi="Georgia"/>
          <w:b w:val="false"/>
          <w:bCs w:val="false"/>
          <w:i w:val="false"/>
          <w:iCs w:val="false"/>
          <w:color w:val="000000"/>
          <w:sz w:val="24"/>
          <w:szCs w:val="24"/>
        </w:rPr>
        <w:t xml:space="preserve">The WFD's six-year River Basin Management Plan cycle is the reporting period T. The WFD's requirement to report on the status of all water bodies at each cycle is the portfolio share table. The WFD's requirement to explain derogations — why any water body is below GES — is the coverage record.</w:t>
      </w:r>
    </w:p>
    <w:p>
      <w:pPr>
        <w:spacing w:before="200" w:after="60" w:line="276"/>
        <w:jc w:val="both"/>
      </w:pPr>
      <w:r>
        <w:rPr>
          <w:rFonts w:ascii="Arial" w:cs="Arial" w:eastAsia="Arial" w:hAnsi="Arial"/>
          <w:b/>
          <w:bCs/>
          <w:i w:val="false"/>
          <w:iCs w:val="false"/>
          <w:color w:val="000000"/>
          <w:sz w:val="24"/>
          <w:szCs w:val="24"/>
        </w:rPr>
        <w:t xml:space="preserve">Theorem 8.1  </w:t>
      </w:r>
      <w:r>
        <w:rPr>
          <w:rFonts w:ascii="Georgia" w:cs="Georgia" w:eastAsia="Georgia" w:hAnsi="Georgia"/>
          <w:b w:val="false"/>
          <w:bCs w:val="false"/>
          <w:i/>
          <w:iCs/>
          <w:color w:val="000000"/>
          <w:sz w:val="24"/>
          <w:szCs w:val="24"/>
        </w:rPr>
        <w:t xml:space="preserve">(Transboundary unity constraint universality).</w:t>
      </w:r>
    </w:p>
    <w:p>
      <w:pPr>
        <w:spacing w:before="0" w:after="60" w:line="276"/>
        <w:ind w:left="720" w:right="720"/>
        <w:jc w:val="both"/>
      </w:pPr>
      <w:r>
        <w:rPr>
          <w:rFonts w:ascii="Georgia" w:cs="Georgia" w:eastAsia="Georgia" w:hAnsi="Georgia"/>
          <w:b w:val="false"/>
          <w:bCs w:val="false"/>
          <w:i/>
          <w:iCs/>
          <w:color w:val="000000"/>
          <w:sz w:val="24"/>
          <w:szCs w:val="24"/>
        </w:rPr>
        <w:t xml:space="preserve">The MRC, NBI, and EU WFD each embody the HUF unity constraint in domain-specific form. The monitoring, reporting, and notification requirements in each framework are each equivalent to a subset of the four HUF artifacts. The HUF framework provides a common mathematical language for comparing and aligning these frameworks.</w:t>
      </w:r>
    </w:p>
    <w:p>
      <w:pPr>
        <w:spacing w:before="0" w:after="160" w:line="276"/>
        <w:jc w:val="both"/>
      </w:pPr>
      <w:r>
        <w:rPr>
          <w:rFonts w:ascii="Georgia" w:cs="Georgia" w:eastAsia="Georgia" w:hAnsi="Georgia"/>
          <w:b w:val="false"/>
          <w:bCs w:val="false"/>
          <w:i w:val="false"/>
          <w:iCs w:val="false"/>
          <w:color w:val="000000"/>
          <w:sz w:val="24"/>
          <w:szCs w:val="24"/>
        </w:rPr>
        <w:t xml:space="preserve">This theorem is stated without full proof pending detailed legal analysis of the treaty texts. The proof structure would proceed by: (1) expressing each framework's allocation requirements in ratio form, (2) demonstrating that the ratio form satisfies ∑ᵢ ρᵢ = 1, and (3) showing that each framework's reporting requirements generate at least the portfolio share table and one of the remaining three artifacts.</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9.  Convergence to the Self-Governing State</w:t>
      </w:r>
    </w:p>
    <w:p>
      <w:pPr>
        <w:pStyle w:val="Heading2"/>
        <w:spacing w:before="320" w:after="140"/>
      </w:pPr>
      <w:r>
        <w:rPr>
          <w:rFonts w:ascii="Arial" w:cs="Arial" w:eastAsia="Arial" w:hAnsi="Arial"/>
          <w:b/>
          <w:bCs/>
          <w:i w:val="false"/>
          <w:iCs w:val="false"/>
          <w:color w:val="333333"/>
          <w:sz w:val="28"/>
          <w:szCs w:val="28"/>
        </w:rPr>
        <w:t xml:space="preserve">9.1  The feedback dynamical system</w:t>
      </w:r>
    </w:p>
    <w:p>
      <w:pPr>
        <w:spacing w:before="0" w:after="160" w:line="276"/>
        <w:jc w:val="both"/>
      </w:pPr>
      <w:r>
        <w:rPr>
          <w:rFonts w:ascii="Georgia" w:cs="Georgia" w:eastAsia="Georgia" w:hAnsi="Georgia"/>
          <w:b w:val="false"/>
          <w:bCs w:val="false"/>
          <w:i w:val="false"/>
          <w:iCs w:val="false"/>
          <w:color w:val="000000"/>
          <w:sz w:val="24"/>
          <w:szCs w:val="24"/>
        </w:rPr>
        <w:t xml:space="preserve">Define the governance state at time t as the tuple G(t) = (ρ(t), D(t), W(t)) where ρ(t) is the portfolio share vector, D(t) is the set of declared priorities, and W(t) is the operator weight vector. The governance system evolves as: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ρ(t+1) = ρ(t) + Δᴵ(t+1) + Δˢ(t+1)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D(t+1) = D(t) + δD(t+1)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W(t+1) = W(t) + δW(t+1)</w:t>
      </w:r>
    </w:p>
    <w:p>
      <w:pPr>
        <w:spacing w:before="0" w:after="160" w:line="276"/>
        <w:jc w:val="both"/>
      </w:pPr>
      <w:r>
        <w:rPr>
          <w:rFonts w:ascii="Georgia" w:cs="Georgia" w:eastAsia="Georgia" w:hAnsi="Georgia"/>
          <w:b w:val="false"/>
          <w:bCs w:val="false"/>
          <w:i w:val="false"/>
          <w:iCs w:val="false"/>
          <w:color w:val="000000"/>
          <w:sz w:val="24"/>
          <w:szCs w:val="24"/>
        </w:rPr>
        <w:t xml:space="preserve">where Δᴵ(t+1) is intentional drift (traceable to δD), Δˢ(t+1) is silent drift (not traceable to δD), and δW(t+1) is the operator's weight adjustment in response to the portfolio change log at cycle t.</w:t>
      </w:r>
    </w:p>
    <w:p>
      <w:pPr>
        <w:pStyle w:val="Heading2"/>
        <w:spacing w:before="320" w:after="140"/>
      </w:pPr>
      <w:r>
        <w:rPr>
          <w:rFonts w:ascii="Arial" w:cs="Arial" w:eastAsia="Arial" w:hAnsi="Arial"/>
          <w:b/>
          <w:bCs/>
          <w:i w:val="false"/>
          <w:iCs w:val="false"/>
          <w:color w:val="333333"/>
          <w:sz w:val="28"/>
          <w:szCs w:val="28"/>
        </w:rPr>
        <w:t xml:space="preserve">9.2  The closed feedback condition</w:t>
      </w:r>
    </w:p>
    <w:p>
      <w:pPr>
        <w:spacing w:before="0" w:after="160" w:line="276"/>
        <w:jc w:val="both"/>
      </w:pPr>
      <w:r>
        <w:rPr>
          <w:rFonts w:ascii="Georgia" w:cs="Georgia" w:eastAsia="Georgia" w:hAnsi="Georgia"/>
          <w:b w:val="false"/>
          <w:bCs w:val="false"/>
          <w:i w:val="false"/>
          <w:iCs w:val="false"/>
          <w:color w:val="000000"/>
          <w:sz w:val="24"/>
          <w:szCs w:val="24"/>
        </w:rPr>
        <w:t xml:space="preserve">The feedback loop is closed when δW(t+1) is a function of Δˢ(t): the operator responds to observed silent drift by adjusting the declared weights. Define the feedback function: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δW(t+1) = -K · Δˢ(t)</w:t>
      </w:r>
    </w:p>
    <w:p>
      <w:pPr>
        <w:spacing w:before="0" w:after="160" w:line="276"/>
        <w:jc w:val="both"/>
      </w:pPr>
      <w:r>
        <w:rPr>
          <w:rFonts w:ascii="Georgia" w:cs="Georgia" w:eastAsia="Georgia" w:hAnsi="Georgia"/>
          <w:b w:val="false"/>
          <w:bCs w:val="false"/>
          <w:i w:val="false"/>
          <w:iCs w:val="false"/>
          <w:color w:val="000000"/>
          <w:sz w:val="24"/>
          <w:szCs w:val="24"/>
        </w:rPr>
        <w:t xml:space="preserve">where K &gt; 0 is the feedback gain. This is a proportional correction: the operator reduces the weight of elements that are silently growing and increases the weight of elements that are silently shrinking.</w:t>
      </w:r>
    </w:p>
    <w:p>
      <w:pPr>
        <w:spacing w:before="200" w:after="60" w:line="276"/>
        <w:jc w:val="both"/>
      </w:pPr>
      <w:r>
        <w:rPr>
          <w:rFonts w:ascii="Arial" w:cs="Arial" w:eastAsia="Arial" w:hAnsi="Arial"/>
          <w:b/>
          <w:bCs/>
          <w:i w:val="false"/>
          <w:iCs w:val="false"/>
          <w:color w:val="000000"/>
          <w:sz w:val="24"/>
          <w:szCs w:val="24"/>
        </w:rPr>
        <w:t xml:space="preserve">Theorem 9.1 (Proposition 7.4)  </w:t>
      </w:r>
      <w:r>
        <w:rPr>
          <w:rFonts w:ascii="Georgia" w:cs="Georgia" w:eastAsia="Georgia" w:hAnsi="Georgia"/>
          <w:b w:val="false"/>
          <w:bCs w:val="false"/>
          <w:i/>
          <w:iCs/>
          <w:color w:val="000000"/>
          <w:sz w:val="24"/>
          <w:szCs w:val="24"/>
        </w:rPr>
        <w:t xml:space="preserve">(Convergence under closed feedback).</w:t>
      </w:r>
    </w:p>
    <w:p>
      <w:pPr>
        <w:spacing w:before="0" w:after="60" w:line="276"/>
        <w:ind w:left="720" w:right="720"/>
        <w:jc w:val="both"/>
      </w:pPr>
      <w:r>
        <w:rPr>
          <w:rFonts w:ascii="Georgia" w:cs="Georgia" w:eastAsia="Georgia" w:hAnsi="Georgia"/>
          <w:b w:val="false"/>
          <w:bCs w:val="false"/>
          <w:i/>
          <w:iCs/>
          <w:color w:val="000000"/>
          <w:sz w:val="24"/>
          <w:szCs w:val="24"/>
        </w:rPr>
        <w:t xml:space="preserve">Under the closed feedback condition δW(t+1) = -K·Δˢ(t) with gain 0 &lt; K &lt; 2/λ_max(Σ_s), where λ_max(Σ_s) is the maximum eigenvalue of the silent drift covariance matrix, the governance state converges to a fixed point G* = (ρ*, D*, W*) where Δˢ(t) → 0.</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silent drift dynamics under closed feedback are: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Δˢ(t+1) = Δˢ(t) - K·Σ_s·Δˢ(t) = (I - K·Σ_s)·Δˢ(t)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discrete-time linear system with transition matrix A = (I - K·Σ_s).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system converges if and only if the spectral radius ρ(A) &lt; 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eigenvalues of A are λ_k(A) = 1 - K·λ_k(Σ_s).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convergence: |1 - K·λ_k| &lt; 1 ∀k ⟺ 0 &lt; K &lt; 2/λ_k ∀k.</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binding constraint is the largest eigenvalue: K &lt; 2/λ_max(Σ_s).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this condition, Δˢ(t) → 0, which means the portfolio change log shows no silent drift.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governance system has reached the fixed point G* where all observed change is intentional.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condition K &lt; 2/λ_max(Σ_s) has a direct governance interpretation: the feedback gain must be smaller than the inverse of the largest silent drift variance. If the operator over-corrects (K too large), the system oscillates. The optimal gain K* = 1/λ_max(Σ_s) gives the fastest convergence without oscillation.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10.  Summary of Formal Results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summarizes the formal results established in this paper:</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The reciprocal inversion is a bijection on the simplex that preserves the unity constraint and reverses the dominance ordering. Proved.</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The portfolio map and its inversion are non-linear by the normalization denominator. Proved.</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The average of base and inverted portfolio observations reduces symmetric noise. Proved for small noise.</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The portfolio map is invariant under unit scaling and detects drift in both directions simultaneously. Proved.</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Portfolio entropy is bounded by 0 ≤ S ≤ ln n. Proved.</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Single-cycle observation systematically underestimates high-Q element contribution by at least Q_min/Q_max. Proved.</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Removal of a high-Q element is undetectable as an error until T_k/2, which may exceed governance horizons. Stated.</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The four HUF artifacts satisfy five Ostrom design principles by construction. Proved.</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MRC, NBI, and EU WFD each embody the HUF unity constraint. Stated — full proof pending legal analysis.</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w:t>
      </w:r>
      <w:r>
        <w:rPr>
          <w:rFonts w:ascii="Georgia" w:cs="Georgia" w:eastAsia="Georgia" w:hAnsi="Georgia"/>
          <w:b w:val="false"/>
          <w:bCs w:val="false"/>
          <w:i w:val="false"/>
          <w:iCs w:val="false"/>
          <w:color w:val="000000"/>
          <w:sz w:val="24"/>
          <w:szCs w:val="24"/>
        </w:rPr>
        <w:t xml:space="preserve">Closed feedback with gain K &lt; 2/λ_max converges to zero silent drift. Proved.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Priority references for full formalization: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Ostrom, E. (1990). Governing the Commons. Cambridge University Press.</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Box, G.E.P., Jenkins, G.M., &amp; Reinsel, G.C. (2015). Time Series Analysis: Forecasting and Control (5th ed.). Wiley.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Nielsen, M.A., &amp; Chuang, I.L. (2000). Quantum Computation and Quantum Information. Cambridge University Press. [Von Neumann entropy]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Luenberger, D.G. (1966). Observers for multivariable systems. IEEE Transactions on Automatic Control, 11(2), 190–197.</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Anderies, J.M., Janssen, M.A., &amp; Ostrom, E. (2004). A framework to analyze the robustness of social-ecological systems. Ecology and Society, 9(1), 18.</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Mekong River Commission (1995). Agreement on the Cooperation for the Sustainable Development of the Mekong River Basin. MRC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Nile Basin Initiative (2010). Cooperative Framework Agreement. NBI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European Parliament (2000). Directive 2000/60/EC establishing a framework for Community action in the field of water policy (Water Framework Directive).</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Cover, T.M., &amp; Thomas, J.A. (2006). Elements of Information Theory (2nd ed.). Wiley-Interscience.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For collective review — JAES paper development — February 2026</w:t>
      </w:r>
    </w:p>
    <w:p>
      <w:pPr>
        <w:spacing w:before="0" w:after="60" w:line="276"/>
        <w:jc w:val="center"/>
      </w:pPr>
      <w:r>
        <w:rPr>
          <w:rFonts w:ascii="Georgia" w:cs="Georgia" w:eastAsia="Georgia" w:hAnsi="Georgia"/>
          <w:b w:val="false"/>
          <w:bCs w:val="false"/>
          <w:i/>
          <w:iCs/>
          <w:color w:val="888888"/>
          <w:sz w:val="20"/>
          <w:szCs w:val="20"/>
        </w:rPr>
        <w:t xml:space="preserve">Formalization pending: Theorems 2.2, 8.1. All others proved herein.</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w:t>
      </w:r>
    </w:p>
    <w:p>
      <w:pPr>
        <w:spacing w:before="0" w:after="60" w:line="276"/>
        <w:jc w:val="center"/>
      </w:pPr>
      <w:r>
        <w:rPr>
          <w:rFonts w:ascii="Georgia" w:cs="Georgia" w:eastAsia="Georgia" w:hAnsi="Georgia"/>
          <w:b w:val="false"/>
          <w:bCs w:val="false"/>
          <w:i w:val="false"/>
          <w:iCs w:val="false"/>
          <w:color w:val="AAAAAA"/>
          <w:sz w:val="20"/>
          <w:szCs w:val="20"/>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2026-02-26T21:30:46.507Z</dcterms:created>
  <dcterms:modified xsi:type="dcterms:W3CDTF">2026-02-26T21:30:46.508Z</dcterms:modified>
</cp:coreProperties>
</file>

<file path=docProps/custom.xml><?xml version="1.0" encoding="utf-8"?>
<Properties xmlns="http://schemas.openxmlformats.org/officeDocument/2006/custom-properties" xmlns:vt="http://schemas.openxmlformats.org/officeDocument/2006/docPropsVTypes"/>
</file>