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CODES: CASE | ART: CM, AS, TR, EB | EVID:E1 | POSTURE:OP | WEIGHTS: OP=0.80 TOOL=0.20 PEER=0.00 | CAP: OP_MIN=0.51 TOOL_MAX=0.49 | CANON:notes/current_documents/staged/HUF.DRAFT.CASE.NOTE.APPENDIX_D1_INSERTS_V3/appendix_d1_inserts_v3.docx</w:t>
      </w:r>
    </w:p>
    <w:p>
      <w:r>
        <w:t>HUF-DOC: HUF.DRAFT.CASE.NOTE.APPENDIX_D1_INSERTS_V3 | HUF:1.1.8 | DOC:v3 | STATUS:draft | LANE:DRAFT | RO:Peter Higgins</w:t>
      </w:r>
    </w:p>
    <w:p/>
    <w:p>
      <w:pPr>
        <w:spacing w:before="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Appendix D.1 — Case Study Exhibit A</w:t>
      </w:r>
    </w:p>
    <w:p>
      <w:pPr>
        <w:spacing w:before="0" w:after="20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Ready-to-paste insert blocks — Copilot integration v2, February 2026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block below is keyed to a context marker. Insert it at the indicated location in Appendix D.1. Context markers are shown in green; insert text is shown in the bordered block. Do not modify the bordered text unless updating provenance placeholders ([insert filename], [YYYY-MM-DD]).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A — After the reciprocal table in Test T5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immediately after the table listing leverage values in Test T5. This note explains the leverage computation and sets qualitative expectations for high-leverage values.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after reciprocal table in T5: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Note: leverage is computed as leverage = 1/ρ. Leverage is unitless and indicates sensitivity to removal or under-resourcing; values above 100 should be treated as high-leverage flags rather than precise multiplicative effects. Interpret extreme reciprocals qualitatively as indicators of phase-dependent, high-Q elements that warrant targeted investigation.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Methodological note (also suitable for first leverage mention in primer mapping):</w:t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Methodological note: leverage is a sensitivity indicator computed as leverage = 1/ρ. It is unitless and highlights elements whose small proportional share masks high governance sensitivity. Values above 100 are qualitative high-leverage flags; treat them as prompts for targeted investigation rather than precise multiplicative claims.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B — Mean Drift Gap definition in Test T8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where 'Mean Drift Gap' and '5pp threshold' first appear in Section T8 / Ground State Assessment. Append the parenthetical definition immediately after the first occurrence of either term.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parenthetical after first mention of Mean Drift Gap / 5pp in T8: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(Mean drift gap: average absolute percentage-point difference between declared and observed shares; 5pp is the operational threshold used in HUF diagnostics for ground-state classification.)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C — System B HUF Declaration block (Croatia Ramsar)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at the end of the HUF Declaration block for System B in Appendix D.1. This is the provenance sentence for the Croatia RSIS data. Replace the placeholders with actual values at pilot baseline run.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Append to end of System B Declaration block: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Provenance: RSIS export (Croatia) — [insert filename], retrieved [YYYY-MM-DD]; area and endemism fields used as provided. Declared weights pending operator confirmation.</w:t>
      </w:r>
    </w:p>
    <w:p>
      <w:pPr>
        <w:spacing w:before="0" w:after="60" w:line="276"/>
        <w:ind w:left="720" w:right="7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NOTE  </w:t>
      </w: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20"/>
          <w:szCs w:val="20"/>
        </w:rPr>
        <w:t xml:space="preserve">Replace [insert filename] with the actual RSIS export filename (e.g., rsis_croatia_20260301.csv) and [YYYY-MM-DD] with the actual retrieval date at pilot baseline run.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D — Appendix D.1 footer (provenance footer)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at the end of Appendix D.1, before the footer block. Same provenance statement used in the primer.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at end of Appendix D.1 before footer: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Data provenance: where RSIS or other public exports are cited, the specific export filename and retrieval date are recorded in the pilot baseline package.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Compliance check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inserting all four blocks, verify: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A: leverage note appears immediately after the reciprocal table in T5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B: mean drift gap parenthetical appears at first mention in T8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C: provenance sentence is at the end of the System B declaration block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D: provenance footer appears before the footer block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provenance placeholders filled with actual values at pilot baseline run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Version record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inserts integrate Copilot response (February 2026) into Appendix D.1. Prior version of Appendix D.1 is Exhibit A v2. This integration produces Exhibit A v3.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Appendix D.1 Insert Blocks (Copilot integration v2)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2026-02-27T02:39:13.139Z</dcterms:created>
  <dcterms:modified xsi:type="dcterms:W3CDTF">2026-02-27T02:39:13.140Z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