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CODES: ORG, GOVERNANCE | ART: CM, AS, TR, EB | EVID:E0 | POSTURE:OP | WEIGHTS: OP=0.80 TOOL=0.20 PEER=0.00 | CAP: OP_MIN=0.51 TOOL_MAX=0.49 | CANON:notes/current_documents/staged/HUF.DRAFT.ORG.NOTE.HUF_GOVERNANCE_EXPLAINER_V1_0_MAR2026/HUF_Governance_Explainer_v1.0_Mar2026.docx</w:t>
      </w:r>
    </w:p>
    <w:p>
      <w:r>
        <w:t>HUF-DOC: HUF.DRAFT.ORG.NOTE.HUF_GOVERNANCE_EXPLAINER_V1_0_MAR2026 | HUF:1.1.8 | DOC:v1.0 | STATUS:draft | LANE:DRAFT | RO:Peter Higgins</w:t>
      </w:r>
    </w:p>
    <w:p/>
    <w:p>
      <w:pPr>
        <w:spacing w:before="1000" w:after="80"/>
        <w:jc w:val="center"/>
      </w:pPr>
      <w:r>
        <w:rPr>
          <w:rFonts w:ascii="Arial" w:hAnsi="Arial"/>
          <w:b/>
          <w:i w:val="0"/>
          <w:color w:val="1B6C76"/>
          <w:sz w:val="20"/>
        </w:rPr>
        <w:t>HIGGINS UNITY FRAMEWORK</w:t>
      </w:r>
    </w:p>
    <w:p>
      <w:pPr>
        <w:spacing w:after="120"/>
        <w:jc w:val="center"/>
      </w:pPr>
      <w:r>
        <w:rPr>
          <w:rFonts w:ascii="Arial" w:hAnsi="Arial"/>
          <w:b/>
          <w:i w:val="0"/>
          <w:color w:val="1A2A4A"/>
          <w:sz w:val="48"/>
        </w:rPr>
        <w:t>Governance, Document Coding,</w:t>
        <w:br/>
        <w:t>and Operator Control System</w:t>
      </w:r>
    </w:p>
    <w:p>
      <w:pPr>
        <w:jc w:val="center"/>
      </w:pPr>
      <w:r>
        <w:rPr>
          <w:rFonts w:ascii="Arial" w:hAnsi="Arial"/>
          <w:b w:val="0"/>
          <w:i/>
          <w:color w:val="444455"/>
          <w:sz w:val="24"/>
        </w:rPr>
        <w:t>A complete explanation for human and AI readers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1"/>
        </w:rPr>
        <w:t>Peter Higgins  ·  Rogue Wave Audio  ·  Markham, Ontario</w:t>
      </w:r>
    </w:p>
    <w:p>
      <w:pPr>
        <w:jc w:val="center"/>
      </w:pPr>
      <w:r>
        <w:rPr>
          <w:rFonts w:ascii="Arial" w:hAnsi="Arial"/>
          <w:b w:val="0"/>
          <w:i w:val="0"/>
          <w:color w:val="444455"/>
          <w:sz w:val="21"/>
        </w:rPr>
        <w:t>HUF v1.2.0  ·  MIT License  ·  March 2026</w:t>
      </w:r>
    </w:p>
    <w:p>
      <w:pPr>
        <w:jc w:val="center"/>
      </w:pPr>
      <w:r>
        <w:rPr>
          <w:rFonts w:ascii="Arial" w:hAnsi="Arial"/>
          <w:b w:val="0"/>
          <w:i w:val="0"/>
          <w:color w:val="444455"/>
          <w:sz w:val="21"/>
        </w:rPr>
        <w:t>Collective: Claude · ChatGPT · Grok · Gemini · Copilot</w:t>
      </w:r>
    </w:p>
    <w:p>
      <w:pPr>
        <w:spacing w:before="480" w:after="0"/>
      </w:pPr>
    </w:p>
    <w:p>
      <w:pPr>
        <w:ind w:left="1728" w:right="1728"/>
        <w:shd w:val="clear" w:color="auto" w:fill="E8F4F8"/>
        <w:jc w:val="center"/>
      </w:pPr>
      <w:r>
        <w:rPr>
          <w:rFonts w:ascii="Courier New" w:hAnsi="Courier New"/>
          <w:b w:val="0"/>
          <w:i w:val="0"/>
          <w:color w:val="1B6C76"/>
          <w:sz w:val="16"/>
        </w:rPr>
        <w:t>HUF-DOC: HUF.REL.ORG.NOTE.EXPLAINER_V1 | HUF:1.2.0 | DOC:v1.0.0 | STATUS:release | LANE:REL | RO:Peter Higgins</w:t>
      </w:r>
    </w:p>
    <w:p>
      <w:r>
        <w:br w:type="page"/>
      </w:r>
    </w:p>
    <w:p>
      <w:pPr>
        <w:keepNext/>
        <w:pBdr>
          <w:bottom w:val="single" w:sz="8" w:space="4" w:color="1B6C76"/>
        </w:pBdr>
        <w:spacing w:before="400" w:after="120"/>
      </w:pPr>
      <w:r>
        <w:rPr>
          <w:rFonts w:ascii="Arial" w:hAnsi="Arial"/>
          <w:b/>
          <w:i w:val="0"/>
          <w:color w:val="1A2A4A"/>
          <w:sz w:val="34"/>
        </w:rPr>
        <w:t>Part I — What This Document Is and Who It Is For</w:t>
      </w:r>
    </w:p>
    <w:p>
      <w:pPr>
        <w:spacing w:before="40" w:after="120"/>
      </w:pPr>
      <w:r>
        <w:rPr>
          <w:rFonts w:ascii="Arial" w:hAnsi="Arial"/>
          <w:b w:val="0"/>
          <w:i w:val="0"/>
          <w:color w:val="000000"/>
          <w:sz w:val="21"/>
        </w:rPr>
        <w:t>This document explains three interconnected systems that govern how the HUF corpus is organised, how its documents identify themselves, and how the relationship between the operator (Peter Higgins) and the AI collective (Claude, ChatGPT, Grok, Gemini, Copilot) is formally structured.</w:t>
      </w:r>
    </w:p>
    <w:p>
      <w:pPr>
        <w:spacing w:before="40" w:after="120"/>
      </w:pPr>
      <w:r>
        <w:rPr>
          <w:rFonts w:ascii="Arial" w:hAnsi="Arial"/>
          <w:b w:val="0"/>
          <w:i w:val="0"/>
          <w:color w:val="000000"/>
          <w:sz w:val="21"/>
        </w:rPr>
        <w:t>The three systems are:</w:t>
      </w:r>
    </w:p>
    <w:p>
      <w:pPr>
        <w:pStyle w:val="ListBullet"/>
        <w:spacing w:before="20" w:after="60"/>
        <w:ind w:left="504"/>
      </w:pPr>
      <w:r>
        <w:rPr>
          <w:rFonts w:ascii="Arial" w:hAnsi="Arial"/>
          <w:b/>
          <w:i w:val="0"/>
          <w:color w:val="1A2A4A"/>
          <w:sz w:val="21"/>
        </w:rPr>
        <w:t xml:space="preserve">1. </w:t>
      </w:r>
      <w:r>
        <w:rPr>
          <w:rFonts w:ascii="Arial" w:hAnsi="Arial"/>
          <w:b w:val="0"/>
          <w:i w:val="0"/>
          <w:color w:val="000000"/>
          <w:sz w:val="21"/>
        </w:rPr>
        <w:t>The Document Coding System — how every HUF file carries a stable identity, declares its status, and relates to other files in the library.</w:t>
      </w:r>
    </w:p>
    <w:p>
      <w:pPr>
        <w:pStyle w:val="ListBullet"/>
        <w:spacing w:before="20" w:after="60"/>
        <w:ind w:left="504"/>
      </w:pPr>
      <w:r>
        <w:rPr>
          <w:rFonts w:ascii="Arial" w:hAnsi="Arial"/>
          <w:b/>
          <w:i w:val="0"/>
          <w:color w:val="1A2A4A"/>
          <w:sz w:val="21"/>
        </w:rPr>
        <w:t xml:space="preserve">2. </w:t>
      </w:r>
      <w:r>
        <w:rPr>
          <w:rFonts w:ascii="Arial" w:hAnsi="Arial"/>
          <w:b w:val="0"/>
          <w:i w:val="0"/>
          <w:color w:val="000000"/>
          <w:sz w:val="21"/>
        </w:rPr>
        <w:t>The Library Management System — how documents flow through lanes (INBOX → STAGED → RELEASE → LEGACY), are organised into eight volumes, and remain traceable across versions.</w:t>
      </w:r>
    </w:p>
    <w:p>
      <w:pPr>
        <w:pStyle w:val="ListBullet"/>
        <w:spacing w:before="20" w:after="60"/>
        <w:ind w:left="504"/>
      </w:pPr>
      <w:r>
        <w:rPr>
          <w:rFonts w:ascii="Arial" w:hAnsi="Arial"/>
          <w:b/>
          <w:i w:val="0"/>
          <w:color w:val="1A2A4A"/>
          <w:sz w:val="21"/>
        </w:rPr>
        <w:t xml:space="preserve">3. </w:t>
      </w:r>
      <w:r>
        <w:rPr>
          <w:rFonts w:ascii="Arial" w:hAnsi="Arial"/>
          <w:b w:val="0"/>
          <w:i w:val="0"/>
          <w:color w:val="000000"/>
          <w:sz w:val="21"/>
        </w:rPr>
        <w:t>The Operator Control Contract — how HUF is applied reflexively to its own workflow: the operator must always hold a majority share of decision authority, and that share can never fall below 51%.</w:t>
      </w:r>
    </w:p>
    <w:p>
      <w:pPr>
        <w:spacing w:before="40" w:after="120"/>
      </w:pPr>
      <w:r>
        <w:rPr>
          <w:rFonts w:ascii="Arial" w:hAnsi="Arial"/>
          <w:b w:val="0"/>
          <w:i w:val="0"/>
          <w:color w:val="000000"/>
          <w:sz w:val="21"/>
        </w:rPr>
        <w:t>This document is written for both human readers and AI collaborators. The two-line header at the top of this page is not decoration — it is a machine-readable identity declaration. Any AI system reading this document should treat the header as a source of ground truth about what this document is and how it should be used.</w:t>
      </w:r>
    </w:p>
    <w:p>
      <w:pPr>
        <w:spacing w:before="80" w:after="160"/>
        <w:ind w:left="288" w:right="288"/>
        <w:shd w:val="clear" w:color="auto" w:fill="E8F4F8"/>
      </w:pPr>
      <w:r>
        <w:rPr>
          <w:rFonts w:ascii="Arial" w:hAnsi="Arial"/>
          <w:b/>
          <w:i w:val="0"/>
          <w:color w:val="1B6C76"/>
          <w:sz w:val="20"/>
        </w:rPr>
        <w:t xml:space="preserve">Governing principle:  </w:t>
      </w:r>
      <w:r>
        <w:rPr>
          <w:rFonts w:ascii="Arial" w:hAnsi="Arial"/>
          <w:b w:val="0"/>
          <w:i/>
          <w:color w:val="444455"/>
          <w:sz w:val="20"/>
        </w:rPr>
        <w:t>Nothing disappears silently. The operator remains in command.</w:t>
      </w:r>
    </w:p>
    <w:p>
      <w:r>
        <w:br w:type="page"/>
      </w:r>
    </w:p>
    <w:p>
      <w:pPr>
        <w:keepNext/>
        <w:pBdr>
          <w:bottom w:val="single" w:sz="8" w:space="4" w:color="1B6C76"/>
        </w:pBdr>
        <w:spacing w:before="400" w:after="120"/>
      </w:pPr>
      <w:r>
        <w:rPr>
          <w:rFonts w:ascii="Arial" w:hAnsi="Arial"/>
          <w:b/>
          <w:i w:val="0"/>
          <w:color w:val="1A2A4A"/>
          <w:sz w:val="34"/>
        </w:rPr>
        <w:t>Part II — The Document Coding System</w:t>
      </w:r>
    </w:p>
    <w:p>
      <w:pPr>
        <w:spacing w:before="40" w:after="120"/>
      </w:pPr>
      <w:r>
        <w:rPr>
          <w:rFonts w:ascii="Arial" w:hAnsi="Arial"/>
          <w:b w:val="0"/>
          <w:i w:val="0"/>
          <w:color w:val="000000"/>
          <w:sz w:val="21"/>
        </w:rPr>
        <w:t>The HUF collective has now produced more than 25 documents across a three-day period. Each AI session may produce its own version of 'primer.md', 'taxonomy.md', or 'exhibit.docx'. Without a stable identity system, the library will accumulate name collisions and silent overwrites — exactly the failure modes HUF is designed to detect in other systems.</w:t>
      </w:r>
    </w:p>
    <w:p>
      <w:pPr>
        <w:spacing w:before="40" w:after="120"/>
      </w:pPr>
      <w:r>
        <w:rPr>
          <w:rFonts w:ascii="Arial" w:hAnsi="Arial"/>
          <w:b w:val="0"/>
          <w:i w:val="0"/>
          <w:color w:val="000000"/>
          <w:sz w:val="21"/>
        </w:rPr>
        <w:t>The document coding system applies the HUF principle to its own library: every document that matters has a stable identity, a declared status, and a traceable supersession chain.</w:t>
      </w:r>
    </w:p>
    <w:p>
      <w:pPr>
        <w:spacing w:before="280" w:after="80"/>
      </w:pPr>
      <w:r>
        <w:rPr>
          <w:rFonts w:ascii="Arial" w:hAnsi="Arial"/>
          <w:b/>
          <w:i w:val="0"/>
          <w:color w:val="1B6C76"/>
          <w:sz w:val="26"/>
        </w:rPr>
        <w:t>The Doc ID format</w:t>
      </w:r>
    </w:p>
    <w:p>
      <w:pPr>
        <w:spacing w:before="40" w:after="120"/>
      </w:pPr>
      <w:r>
        <w:rPr>
          <w:rFonts w:ascii="Arial" w:hAnsi="Arial"/>
          <w:b w:val="0"/>
          <w:i w:val="0"/>
          <w:color w:val="000000"/>
          <w:sz w:val="21"/>
        </w:rPr>
        <w:t>Every document is assigned a stable Doc ID at the point of staging. The ID never changes, even if the filename changes.</w:t>
      </w:r>
    </w:p>
    <w:p>
      <w:pPr>
        <w:spacing w:before="80" w:after="160"/>
        <w:ind w:left="432" w:right="432"/>
        <w:shd w:val="clear" w:color="auto" w:fill="F0F0F0"/>
      </w:pPr>
      <w:r>
        <w:rPr>
          <w:rFonts w:ascii="Courier New" w:hAnsi="Courier New"/>
          <w:b w:val="0"/>
          <w:i w:val="0"/>
          <w:color w:val="1A2A4A"/>
          <w:sz w:val="18"/>
        </w:rPr>
        <w:t>HUF.&lt;LANE&gt;.&lt;DOMAIN&gt;.&lt;TYPE&gt;.&lt;SLUG&gt;</w:t>
        <w:br/>
        <w:br/>
        <w:t>Examples:</w:t>
        <w:br/>
        <w:t xml:space="preserve">  HUF.REL.ORG.POLICY.DOC_GOVERNANCE</w:t>
        <w:br/>
        <w:t xml:space="preserve">  HUF.DRAFT.PARTNER.PRIMER.RAMSAR_V12</w:t>
        <w:br/>
        <w:t xml:space="preserve">  HUF.REL.CASE.EXHIBIT.D1_SOURDOUGH_CROATIA_V2</w:t>
        <w:br/>
        <w:t xml:space="preserve">  HUF.REL.ORG.CONTRACT.OPERATOR_CONTROL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Field</w:t>
            </w:r>
          </w:p>
        </w:tc>
        <w:tc>
          <w:tcPr>
            <w:tcW w:type="dxa" w:w="3120"/>
            <w:shd w:val="clear" w:color="auto" w:fill="1A2A4A"/>
          </w:tcPr>
          <w:p>
            <w:r>
              <w:rPr>
                <w:b/>
                <w:color w:val="FFFFFF"/>
                <w:sz w:val="19"/>
              </w:rPr>
              <w:t>Values</w:t>
            </w:r>
          </w:p>
        </w:tc>
        <w:tc>
          <w:tcPr>
            <w:tcW w:type="dxa" w:w="3120"/>
            <w:shd w:val="clear" w:color="auto" w:fill="1A2A4A"/>
          </w:tcPr>
          <w:p>
            <w:r>
              <w:rPr>
                <w:b/>
                <w:color w:val="FFFFFF"/>
                <w:sz w:val="19"/>
              </w:rPr>
              <w:t>Meaning</w:t>
            </w:r>
          </w:p>
        </w:tc>
      </w:tr>
      <w:tr>
        <w:tc>
          <w:tcPr>
            <w:tcW w:type="dxa" w:w="3120"/>
            <w:shd w:val="clear" w:color="auto" w:fill="F4F6FA"/>
          </w:tcPr>
          <w:p>
            <w:r>
              <w:rPr>
                <w:sz w:val="19"/>
              </w:rPr>
              <w:t>LANE</w:t>
            </w:r>
          </w:p>
        </w:tc>
        <w:tc>
          <w:tcPr>
            <w:tcW w:type="dxa" w:w="3120"/>
            <w:shd w:val="clear" w:color="auto" w:fill="F4F6FA"/>
          </w:tcPr>
          <w:p>
            <w:r>
              <w:rPr>
                <w:sz w:val="19"/>
              </w:rPr>
              <w:t>DRAFT, REL, LEGACY</w:t>
            </w:r>
          </w:p>
        </w:tc>
        <w:tc>
          <w:tcPr>
            <w:tcW w:type="dxa" w:w="3120"/>
            <w:shd w:val="clear" w:color="auto" w:fill="F4F6FA"/>
          </w:tcPr>
          <w:p>
            <w:r>
              <w:rPr>
                <w:sz w:val="19"/>
              </w:rPr>
              <w:t>Publication stage of the document</w:t>
            </w:r>
          </w:p>
        </w:tc>
      </w:tr>
      <w:tr>
        <w:tc>
          <w:tcPr>
            <w:tcW w:type="dxa" w:w="3120"/>
            <w:shd w:val="clear" w:color="auto" w:fill="FFFFFF"/>
          </w:tcPr>
          <w:p>
            <w:r>
              <w:rPr>
                <w:sz w:val="19"/>
              </w:rPr>
              <w:t>DOMAIN</w:t>
            </w:r>
          </w:p>
        </w:tc>
        <w:tc>
          <w:tcPr>
            <w:tcW w:type="dxa" w:w="3120"/>
            <w:shd w:val="clear" w:color="auto" w:fill="FFFFFF"/>
          </w:tcPr>
          <w:p>
            <w:r>
              <w:rPr>
                <w:sz w:val="19"/>
              </w:rPr>
              <w:t>ORG, LRN, BOOK, CASE, PARTNER, WIKI</w:t>
            </w:r>
          </w:p>
        </w:tc>
        <w:tc>
          <w:tcPr>
            <w:tcW w:type="dxa" w:w="3120"/>
            <w:shd w:val="clear" w:color="auto" w:fill="FFFFFF"/>
          </w:tcPr>
          <w:p>
            <w:r>
              <w:rPr>
                <w:sz w:val="19"/>
              </w:rPr>
              <w:t>Subject area / library section</w:t>
            </w:r>
          </w:p>
        </w:tc>
      </w:tr>
      <w:tr>
        <w:tc>
          <w:tcPr>
            <w:tcW w:type="dxa" w:w="3120"/>
            <w:shd w:val="clear" w:color="auto" w:fill="F4F6FA"/>
          </w:tcPr>
          <w:p>
            <w:r>
              <w:rPr>
                <w:sz w:val="19"/>
              </w:rPr>
              <w:t>TYPE</w:t>
            </w:r>
          </w:p>
        </w:tc>
        <w:tc>
          <w:tcPr>
            <w:tcW w:type="dxa" w:w="3120"/>
            <w:shd w:val="clear" w:color="auto" w:fill="F4F6FA"/>
          </w:tcPr>
          <w:p>
            <w:r>
              <w:rPr>
                <w:sz w:val="19"/>
              </w:rPr>
              <w:t>POLICY, NOTE, PRIMER, EXHIBIT, CONTRACT, TRACE, TEMPLATE, MODULE</w:t>
            </w:r>
          </w:p>
        </w:tc>
        <w:tc>
          <w:tcPr>
            <w:tcW w:type="dxa" w:w="3120"/>
            <w:shd w:val="clear" w:color="auto" w:fill="F4F6FA"/>
          </w:tcPr>
          <w:p>
            <w:r>
              <w:rPr>
                <w:sz w:val="19"/>
              </w:rPr>
              <w:t>Document function</w:t>
            </w:r>
          </w:p>
        </w:tc>
      </w:tr>
      <w:tr>
        <w:tc>
          <w:tcPr>
            <w:tcW w:type="dxa" w:w="3120"/>
            <w:shd w:val="clear" w:color="auto" w:fill="FFFFFF"/>
          </w:tcPr>
          <w:p>
            <w:r>
              <w:rPr>
                <w:sz w:val="19"/>
              </w:rPr>
              <w:t>SLUG</w:t>
            </w:r>
          </w:p>
        </w:tc>
        <w:tc>
          <w:tcPr>
            <w:tcW w:type="dxa" w:w="3120"/>
            <w:shd w:val="clear" w:color="auto" w:fill="FFFFFF"/>
          </w:tcPr>
          <w:p>
            <w:r>
              <w:rPr>
                <w:sz w:val="19"/>
              </w:rPr>
              <w:t>UPPERCASE_UNDERSCORES</w:t>
            </w:r>
          </w:p>
        </w:tc>
        <w:tc>
          <w:tcPr>
            <w:tcW w:type="dxa" w:w="3120"/>
            <w:shd w:val="clear" w:color="auto" w:fill="FFFFFF"/>
          </w:tcPr>
          <w:p>
            <w:r>
              <w:rPr>
                <w:sz w:val="19"/>
              </w:rPr>
              <w:t>Stable short name — never changes</w:t>
            </w:r>
          </w:p>
        </w:tc>
      </w:tr>
    </w:tbl>
    <w:p>
      <w:pPr>
        <w:spacing w:before="40" w:after="160"/>
      </w:pPr>
    </w:p>
    <w:p>
      <w:pPr>
        <w:spacing w:before="280" w:after="80"/>
      </w:pPr>
      <w:r>
        <w:rPr>
          <w:rFonts w:ascii="Arial" w:hAnsi="Arial"/>
          <w:b/>
          <w:i w:val="0"/>
          <w:color w:val="1B6C76"/>
          <w:sz w:val="26"/>
        </w:rPr>
        <w:t>The two-line header — every document explains itself</w:t>
      </w:r>
    </w:p>
    <w:p>
      <w:pPr>
        <w:spacing w:before="40" w:after="120"/>
      </w:pPr>
      <w:r>
        <w:rPr>
          <w:rFonts w:ascii="Arial" w:hAnsi="Arial"/>
          <w:b w:val="0"/>
          <w:i w:val="0"/>
          <w:color w:val="000000"/>
          <w:sz w:val="21"/>
        </w:rPr>
        <w:t>Every document in the HUF library must carry exactly two lines at its very beginning. For Word and PDF documents, these appear as a shaded block on page 1. For Markdown files, they appear at the top of the file. Any document without these two lines is treated as INBOX — uncontrolled intake that has not yet been assigned canonical status.</w:t>
      </w:r>
    </w:p>
    <w:p>
      <w:pPr>
        <w:spacing w:before="200" w:after="60"/>
      </w:pPr>
      <w:r>
        <w:rPr>
          <w:rFonts w:ascii="Arial" w:hAnsi="Arial"/>
          <w:b/>
          <w:i w:val="0"/>
          <w:color w:val="B8860B"/>
          <w:sz w:val="22"/>
        </w:rPr>
        <w:t>Line 1 — Identity</w:t>
      </w:r>
    </w:p>
    <w:p>
      <w:pPr>
        <w:spacing w:before="80" w:after="160"/>
        <w:ind w:left="432" w:right="432"/>
        <w:shd w:val="clear" w:color="auto" w:fill="F0F0F0"/>
      </w:pPr>
      <w:r>
        <w:rPr>
          <w:rFonts w:ascii="Courier New" w:hAnsi="Courier New"/>
          <w:b w:val="0"/>
          <w:i w:val="0"/>
          <w:color w:val="1A2A4A"/>
          <w:sz w:val="18"/>
        </w:rPr>
        <w:t>HUF-DOC: &lt;DOC_ID&gt; | HUF:&lt;version&gt; | DOC:&lt;version&gt; | STATUS:&lt;status&gt; | LANE:&lt;lane&gt; | RO:&lt;name&gt;</w:t>
      </w:r>
    </w:p>
    <w:p>
      <w:pPr>
        <w:spacing w:before="40" w:after="120"/>
      </w:pPr>
      <w:r>
        <w:rPr>
          <w:rFonts w:ascii="Arial" w:hAnsi="Arial"/>
          <w:b w:val="0"/>
          <w:i w:val="0"/>
          <w:color w:val="000000"/>
          <w:sz w:val="21"/>
        </w:rPr>
        <w:t>This line answers: what is this document, what version of the framework does it assume, what version is this document itself, is it stable enough to cite, and who is responsible for it?</w:t>
      </w:r>
    </w:p>
    <w:p>
      <w:pPr>
        <w:spacing w:before="200" w:after="60"/>
      </w:pPr>
      <w:r>
        <w:rPr>
          <w:rFonts w:ascii="Arial" w:hAnsi="Arial"/>
          <w:b/>
          <w:i w:val="0"/>
          <w:color w:val="B8860B"/>
          <w:sz w:val="22"/>
        </w:rPr>
        <w:t>Line 2 — Posture</w:t>
      </w:r>
    </w:p>
    <w:p>
      <w:pPr>
        <w:spacing w:before="80" w:after="160"/>
        <w:ind w:left="432" w:right="432"/>
        <w:shd w:val="clear" w:color="auto" w:fill="F0F0F0"/>
      </w:pPr>
      <w:r>
        <w:rPr>
          <w:rFonts w:ascii="Courier New" w:hAnsi="Courier New"/>
          <w:b w:val="0"/>
          <w:i w:val="0"/>
          <w:color w:val="1A2A4A"/>
          <w:sz w:val="18"/>
        </w:rPr>
        <w:t>CODES: &lt;tags&gt; | ART: CM, AS, TR, EB | EVID:E0-E4 | POSTURE: DEF/OP/INT/THM | WEIGHTS: OP=.. TOOL=.. PEER=.. | CAP: OP_MIN=0.51 TOOL_MAX=0.49 | CANON:&lt;path&gt;</w:t>
      </w:r>
    </w:p>
    <w:p>
      <w:pPr>
        <w:spacing w:before="40" w:after="120"/>
      </w:pPr>
      <w:r>
        <w:rPr>
          <w:rFonts w:ascii="Arial" w:hAnsi="Arial"/>
          <w:b w:val="0"/>
          <w:i w:val="0"/>
          <w:color w:val="000000"/>
          <w:sz w:val="21"/>
        </w:rPr>
        <w:t>This line answers: what subject codes apply, which artifact types are present, how strong is the evidence, what is the proof posture of the claims, what are the declared operator/tool weights, and where does this document live canonically?</w:t>
      </w:r>
    </w:p>
    <w:p>
      <w:pPr>
        <w:spacing w:before="280" w:after="80"/>
      </w:pPr>
      <w:r>
        <w:rPr>
          <w:rFonts w:ascii="Arial" w:hAnsi="Arial"/>
          <w:b/>
          <w:i w:val="0"/>
          <w:color w:val="1B6C76"/>
          <w:sz w:val="26"/>
        </w:rPr>
        <w:t>Status values and the comprehension gate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Status</w:t>
            </w:r>
          </w:p>
        </w:tc>
        <w:tc>
          <w:tcPr>
            <w:tcW w:type="dxa" w:w="3120"/>
            <w:shd w:val="clear" w:color="auto" w:fill="1A2A4A"/>
          </w:tcPr>
          <w:p>
            <w:r>
              <w:rPr>
                <w:b/>
                <w:color w:val="FFFFFF"/>
                <w:sz w:val="19"/>
              </w:rPr>
              <w:t>Meaning</w:t>
            </w:r>
          </w:p>
        </w:tc>
        <w:tc>
          <w:tcPr>
            <w:tcW w:type="dxa" w:w="3120"/>
            <w:shd w:val="clear" w:color="auto" w:fill="1A2A4A"/>
          </w:tcPr>
          <w:p>
            <w:r>
              <w:rPr>
                <w:b/>
                <w:color w:val="FFFFFF"/>
                <w:sz w:val="19"/>
              </w:rPr>
              <w:t>May be circulated?</w:t>
            </w:r>
          </w:p>
        </w:tc>
      </w:tr>
      <w:tr>
        <w:tc>
          <w:tcPr>
            <w:tcW w:type="dxa" w:w="3120"/>
            <w:shd w:val="clear" w:color="auto" w:fill="F4F6FA"/>
          </w:tcPr>
          <w:p>
            <w:r>
              <w:rPr>
                <w:sz w:val="19"/>
              </w:rPr>
              <w:t>draft</w:t>
            </w:r>
          </w:p>
        </w:tc>
        <w:tc>
          <w:tcPr>
            <w:tcW w:type="dxa" w:w="3120"/>
            <w:shd w:val="clear" w:color="auto" w:fill="F4F6FA"/>
          </w:tcPr>
          <w:p>
            <w:r>
              <w:rPr>
                <w:sz w:val="19"/>
              </w:rPr>
              <w:t>Active iteration; structure may change</w:t>
            </w:r>
          </w:p>
        </w:tc>
        <w:tc>
          <w:tcPr>
            <w:tcW w:type="dxa" w:w="3120"/>
            <w:shd w:val="clear" w:color="auto" w:fill="F4F6FA"/>
          </w:tcPr>
          <w:p>
            <w:r>
              <w:rPr>
                <w:sz w:val="19"/>
              </w:rPr>
              <w:t>No</w:t>
            </w:r>
          </w:p>
        </w:tc>
      </w:tr>
      <w:tr>
        <w:tc>
          <w:tcPr>
            <w:tcW w:type="dxa" w:w="3120"/>
            <w:shd w:val="clear" w:color="auto" w:fill="FFFFFF"/>
          </w:tcPr>
          <w:p>
            <w:r>
              <w:rPr>
                <w:sz w:val="19"/>
              </w:rPr>
              <w:t>reviewed</w:t>
            </w:r>
          </w:p>
        </w:tc>
        <w:tc>
          <w:tcPr>
            <w:tcW w:type="dxa" w:w="3120"/>
            <w:shd w:val="clear" w:color="auto" w:fill="FFFFFF"/>
          </w:tcPr>
          <w:p>
            <w:r>
              <w:rPr>
                <w:sz w:val="19"/>
              </w:rPr>
              <w:t>Stable ≥48h + header + manifest entry</w:t>
            </w:r>
          </w:p>
        </w:tc>
        <w:tc>
          <w:tcPr>
            <w:tcW w:type="dxa" w:w="3120"/>
            <w:shd w:val="clear" w:color="auto" w:fill="FFFFFF"/>
          </w:tcPr>
          <w:p>
            <w:r>
              <w:rPr>
                <w:sz w:val="19"/>
              </w:rPr>
              <w:t>Internal only</w:t>
            </w:r>
          </w:p>
        </w:tc>
      </w:tr>
      <w:tr>
        <w:tc>
          <w:tcPr>
            <w:tcW w:type="dxa" w:w="3120"/>
            <w:shd w:val="clear" w:color="auto" w:fill="F4F6FA"/>
          </w:tcPr>
          <w:p>
            <w:r>
              <w:rPr>
                <w:sz w:val="19"/>
              </w:rPr>
              <w:t>release</w:t>
            </w:r>
          </w:p>
        </w:tc>
        <w:tc>
          <w:tcPr>
            <w:tcW w:type="dxa" w:w="3120"/>
            <w:shd w:val="clear" w:color="auto" w:fill="F4F6FA"/>
          </w:tcPr>
          <w:p>
            <w:r>
              <w:rPr>
                <w:sz w:val="19"/>
              </w:rPr>
              <w:t>Human-approved; canonical path locked</w:t>
            </w:r>
          </w:p>
        </w:tc>
        <w:tc>
          <w:tcPr>
            <w:tcW w:type="dxa" w:w="3120"/>
            <w:shd w:val="clear" w:color="auto" w:fill="F4F6FA"/>
          </w:tcPr>
          <w:p>
            <w:r>
              <w:rPr>
                <w:sz w:val="19"/>
              </w:rPr>
              <w:t>Yes</w:t>
            </w:r>
          </w:p>
        </w:tc>
      </w:tr>
      <w:tr>
        <w:tc>
          <w:tcPr>
            <w:tcW w:type="dxa" w:w="3120"/>
            <w:shd w:val="clear" w:color="auto" w:fill="FFFFFF"/>
          </w:tcPr>
          <w:p>
            <w:r>
              <w:rPr>
                <w:sz w:val="19"/>
              </w:rPr>
              <w:t>deprecated</w:t>
            </w:r>
          </w:p>
        </w:tc>
        <w:tc>
          <w:tcPr>
            <w:tcW w:type="dxa" w:w="3120"/>
            <w:shd w:val="clear" w:color="auto" w:fill="FFFFFF"/>
          </w:tcPr>
          <w:p>
            <w:r>
              <w:rPr>
                <w:sz w:val="19"/>
              </w:rPr>
              <w:t>Superseded; retained in legacy lane</w:t>
            </w:r>
          </w:p>
        </w:tc>
        <w:tc>
          <w:tcPr>
            <w:tcW w:type="dxa" w:w="3120"/>
            <w:shd w:val="clear" w:color="auto" w:fill="FFFFFF"/>
          </w:tcPr>
          <w:p>
            <w:r>
              <w:rPr>
                <w:sz w:val="19"/>
              </w:rPr>
              <w:t>For audit trail only</w:t>
            </w:r>
          </w:p>
        </w:tc>
      </w:tr>
    </w:tbl>
    <w:p>
      <w:pPr>
        <w:spacing w:before="40" w:after="160"/>
      </w:pPr>
    </w:p>
    <w:p>
      <w:pPr>
        <w:spacing w:before="280" w:after="80"/>
      </w:pPr>
      <w:r>
        <w:rPr>
          <w:rFonts w:ascii="Arial" w:hAnsi="Arial"/>
          <w:b/>
          <w:i w:val="0"/>
          <w:color w:val="1B6C76"/>
          <w:sz w:val="26"/>
        </w:rPr>
        <w:t>Evidence levels — E0 through E4</w:t>
      </w:r>
    </w:p>
    <w:p>
      <w:pPr>
        <w:spacing w:before="40" w:after="120"/>
      </w:pPr>
      <w:r>
        <w:rPr>
          <w:rFonts w:ascii="Arial" w:hAnsi="Arial"/>
          <w:b w:val="0"/>
          <w:i w:val="0"/>
          <w:color w:val="000000"/>
          <w:sz w:val="21"/>
        </w:rPr>
        <w:t>The EVID field in the header declares the strength of evidence behind the claims in the document. This is the HUF equivalent of distinguishing [PROVED] from [CONJECTURE] — but applied to the document as a whole.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Level</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What qualifies</w:t>
            </w:r>
          </w:p>
        </w:tc>
      </w:tr>
      <w:tr>
        <w:tc>
          <w:tcPr>
            <w:tcW w:type="dxa" w:w="3120"/>
            <w:shd w:val="clear" w:color="auto" w:fill="F4F6FA"/>
          </w:tcPr>
          <w:p>
            <w:r>
              <w:rPr>
                <w:sz w:val="19"/>
              </w:rPr>
              <w:t>E0</w:t>
            </w:r>
          </w:p>
        </w:tc>
        <w:tc>
          <w:tcPr>
            <w:tcW w:type="dxa" w:w="3120"/>
            <w:shd w:val="clear" w:color="auto" w:fill="F4F6FA"/>
          </w:tcPr>
          <w:p>
            <w:r>
              <w:rPr>
                <w:sz w:val="19"/>
              </w:rPr>
              <w:t>Narrative</w:t>
            </w:r>
          </w:p>
        </w:tc>
        <w:tc>
          <w:tcPr>
            <w:tcW w:type="dxa" w:w="3120"/>
            <w:shd w:val="clear" w:color="auto" w:fill="F4F6FA"/>
          </w:tcPr>
          <w:p>
            <w:r>
              <w:rPr>
                <w:sz w:val="19"/>
              </w:rPr>
              <w:t>Claims without supporting artifacts — assertions only</w:t>
            </w:r>
          </w:p>
        </w:tc>
      </w:tr>
      <w:tr>
        <w:tc>
          <w:tcPr>
            <w:tcW w:type="dxa" w:w="3120"/>
            <w:shd w:val="clear" w:color="auto" w:fill="FFFFFF"/>
          </w:tcPr>
          <w:p>
            <w:r>
              <w:rPr>
                <w:sz w:val="19"/>
              </w:rPr>
              <w:t>E1</w:t>
            </w:r>
          </w:p>
        </w:tc>
        <w:tc>
          <w:tcPr>
            <w:tcW w:type="dxa" w:w="3120"/>
            <w:shd w:val="clear" w:color="auto" w:fill="FFFFFF"/>
          </w:tcPr>
          <w:p>
            <w:r>
              <w:rPr>
                <w:sz w:val="19"/>
              </w:rPr>
              <w:t>Artifact evidence</w:t>
            </w:r>
          </w:p>
        </w:tc>
        <w:tc>
          <w:tcPr>
            <w:tcW w:type="dxa" w:w="3120"/>
            <w:shd w:val="clear" w:color="auto" w:fill="FFFFFF"/>
          </w:tcPr>
          <w:p>
            <w:r>
              <w:rPr>
                <w:sz w:val="19"/>
              </w:rPr>
              <w:t>CM/AS/TR/EB outputs are present and internally consistent</w:t>
            </w:r>
          </w:p>
        </w:tc>
      </w:tr>
      <w:tr>
        <w:tc>
          <w:tcPr>
            <w:tcW w:type="dxa" w:w="3120"/>
            <w:shd w:val="clear" w:color="auto" w:fill="F4F6FA"/>
          </w:tcPr>
          <w:p>
            <w:r>
              <w:rPr>
                <w:sz w:val="19"/>
              </w:rPr>
              <w:t>E2</w:t>
            </w:r>
          </w:p>
        </w:tc>
        <w:tc>
          <w:tcPr>
            <w:tcW w:type="dxa" w:w="3120"/>
            <w:shd w:val="clear" w:color="auto" w:fill="F4F6FA"/>
          </w:tcPr>
          <w:p>
            <w:r>
              <w:rPr>
                <w:sz w:val="19"/>
              </w:rPr>
              <w:t>Reproducible run</w:t>
            </w:r>
          </w:p>
        </w:tc>
        <w:tc>
          <w:tcPr>
            <w:tcW w:type="dxa" w:w="3120"/>
            <w:shd w:val="clear" w:color="auto" w:fill="F4F6FA"/>
          </w:tcPr>
          <w:p>
            <w:r>
              <w:rPr>
                <w:sz w:val="19"/>
              </w:rPr>
              <w:t>Code + inputs → verified outputs; the run can be repeated</w:t>
            </w:r>
          </w:p>
        </w:tc>
      </w:tr>
      <w:tr>
        <w:tc>
          <w:tcPr>
            <w:tcW w:type="dxa" w:w="3120"/>
            <w:shd w:val="clear" w:color="auto" w:fill="FFFFFF"/>
          </w:tcPr>
          <w:p>
            <w:r>
              <w:rPr>
                <w:sz w:val="19"/>
              </w:rPr>
              <w:t>E3</w:t>
            </w:r>
          </w:p>
        </w:tc>
        <w:tc>
          <w:tcPr>
            <w:tcW w:type="dxa" w:w="3120"/>
            <w:shd w:val="clear" w:color="auto" w:fill="FFFFFF"/>
          </w:tcPr>
          <w:p>
            <w:r>
              <w:rPr>
                <w:sz w:val="19"/>
              </w:rPr>
              <w:t>Empirical evaluation</w:t>
            </w:r>
          </w:p>
        </w:tc>
        <w:tc>
          <w:tcPr>
            <w:tcW w:type="dxa" w:w="3120"/>
            <w:shd w:val="clear" w:color="auto" w:fill="FFFFFF"/>
          </w:tcPr>
          <w:p>
            <w:r>
              <w:rPr>
                <w:sz w:val="19"/>
              </w:rPr>
              <w:t>Real dataset, documented method, reproducible result</w:t>
            </w:r>
          </w:p>
        </w:tc>
      </w:tr>
      <w:tr>
        <w:tc>
          <w:tcPr>
            <w:tcW w:type="dxa" w:w="3120"/>
            <w:shd w:val="clear" w:color="auto" w:fill="F4F6FA"/>
          </w:tcPr>
          <w:p>
            <w:r>
              <w:rPr>
                <w:sz w:val="19"/>
              </w:rPr>
              <w:t>E4</w:t>
            </w:r>
          </w:p>
        </w:tc>
        <w:tc>
          <w:tcPr>
            <w:tcW w:type="dxa" w:w="3120"/>
            <w:shd w:val="clear" w:color="auto" w:fill="F4F6FA"/>
          </w:tcPr>
          <w:p>
            <w:r>
              <w:rPr>
                <w:sz w:val="19"/>
              </w:rPr>
              <w:t>Formal proof</w:t>
            </w:r>
          </w:p>
        </w:tc>
        <w:tc>
          <w:tcPr>
            <w:tcW w:type="dxa" w:w="3120"/>
            <w:shd w:val="clear" w:color="auto" w:fill="F4F6FA"/>
          </w:tcPr>
          <w:p>
            <w:r>
              <w:rPr>
                <w:sz w:val="19"/>
              </w:rPr>
              <w:t>Explicit stated assumptions + complete proof within that scope</w:t>
            </w:r>
          </w:p>
        </w:tc>
      </w:tr>
    </w:tbl>
    <w:p>
      <w:pPr>
        <w:spacing w:before="40" w:after="160"/>
      </w:pPr>
    </w:p>
    <w:p>
      <w:pPr>
        <w:spacing w:before="280" w:after="80"/>
      </w:pPr>
      <w:r>
        <w:rPr>
          <w:rFonts w:ascii="Arial" w:hAnsi="Arial"/>
          <w:b/>
          <w:i w:val="0"/>
          <w:color w:val="1B6C76"/>
          <w:sz w:val="26"/>
        </w:rPr>
        <w:t>Posture codes — what kind of claim is being made?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Code</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When to use</w:t>
            </w:r>
          </w:p>
        </w:tc>
      </w:tr>
      <w:tr>
        <w:tc>
          <w:tcPr>
            <w:tcW w:type="dxa" w:w="3120"/>
            <w:shd w:val="clear" w:color="auto" w:fill="F4F6FA"/>
          </w:tcPr>
          <w:p>
            <w:r>
              <w:rPr>
                <w:sz w:val="19"/>
              </w:rPr>
              <w:t>DEF</w:t>
            </w:r>
          </w:p>
        </w:tc>
        <w:tc>
          <w:tcPr>
            <w:tcW w:type="dxa" w:w="3120"/>
            <w:shd w:val="clear" w:color="auto" w:fill="F4F6FA"/>
          </w:tcPr>
          <w:p>
            <w:r>
              <w:rPr>
                <w:sz w:val="19"/>
              </w:rPr>
              <w:t>Definitional</w:t>
            </w:r>
          </w:p>
        </w:tc>
        <w:tc>
          <w:tcPr>
            <w:tcW w:type="dxa" w:w="3120"/>
            <w:shd w:val="clear" w:color="auto" w:fill="F4F6FA"/>
          </w:tcPr>
          <w:p>
            <w:r>
              <w:rPr>
                <w:sz w:val="19"/>
              </w:rPr>
              <w:t>Introducing a term, classification, or constraint</w:t>
            </w:r>
          </w:p>
        </w:tc>
      </w:tr>
      <w:tr>
        <w:tc>
          <w:tcPr>
            <w:tcW w:type="dxa" w:w="3120"/>
            <w:shd w:val="clear" w:color="auto" w:fill="FFFFFF"/>
          </w:tcPr>
          <w:p>
            <w:r>
              <w:rPr>
                <w:sz w:val="19"/>
              </w:rPr>
              <w:t>OP</w:t>
            </w:r>
          </w:p>
        </w:tc>
        <w:tc>
          <w:tcPr>
            <w:tcW w:type="dxa" w:w="3120"/>
            <w:shd w:val="clear" w:color="auto" w:fill="FFFFFF"/>
          </w:tcPr>
          <w:p>
            <w:r>
              <w:rPr>
                <w:sz w:val="19"/>
              </w:rPr>
              <w:t>Operational</w:t>
            </w:r>
          </w:p>
        </w:tc>
        <w:tc>
          <w:tcPr>
            <w:tcW w:type="dxa" w:w="3120"/>
            <w:shd w:val="clear" w:color="auto" w:fill="FFFFFF"/>
          </w:tcPr>
          <w:p>
            <w:r>
              <w:rPr>
                <w:sz w:val="19"/>
              </w:rPr>
              <w:t>Describing how to do something, step by step</w:t>
            </w:r>
          </w:p>
        </w:tc>
      </w:tr>
      <w:tr>
        <w:tc>
          <w:tcPr>
            <w:tcW w:type="dxa" w:w="3120"/>
            <w:shd w:val="clear" w:color="auto" w:fill="F4F6FA"/>
          </w:tcPr>
          <w:p>
            <w:r>
              <w:rPr>
                <w:sz w:val="19"/>
              </w:rPr>
              <w:t>INT</w:t>
            </w:r>
          </w:p>
        </w:tc>
        <w:tc>
          <w:tcPr>
            <w:tcW w:type="dxa" w:w="3120"/>
            <w:shd w:val="clear" w:color="auto" w:fill="F4F6FA"/>
          </w:tcPr>
          <w:p>
            <w:r>
              <w:rPr>
                <w:sz w:val="19"/>
              </w:rPr>
              <w:t>Interpretive</w:t>
            </w:r>
          </w:p>
        </w:tc>
        <w:tc>
          <w:tcPr>
            <w:tcW w:type="dxa" w:w="3120"/>
            <w:shd w:val="clear" w:color="auto" w:fill="F4F6FA"/>
          </w:tcPr>
          <w:p>
            <w:r>
              <w:rPr>
                <w:sz w:val="19"/>
              </w:rPr>
              <w:t>Structural analogy — shared pattern, not domain equivalence</w:t>
            </w:r>
          </w:p>
        </w:tc>
      </w:tr>
      <w:tr>
        <w:tc>
          <w:tcPr>
            <w:tcW w:type="dxa" w:w="3120"/>
            <w:shd w:val="clear" w:color="auto" w:fill="FFFFFF"/>
          </w:tcPr>
          <w:p>
            <w:r>
              <w:rPr>
                <w:sz w:val="19"/>
              </w:rPr>
              <w:t>THM</w:t>
            </w:r>
          </w:p>
        </w:tc>
        <w:tc>
          <w:tcPr>
            <w:tcW w:type="dxa" w:w="3120"/>
            <w:shd w:val="clear" w:color="auto" w:fill="FFFFFF"/>
          </w:tcPr>
          <w:p>
            <w:r>
              <w:rPr>
                <w:sz w:val="19"/>
              </w:rPr>
              <w:t>Theorem/proof</w:t>
            </w:r>
          </w:p>
        </w:tc>
        <w:tc>
          <w:tcPr>
            <w:tcW w:type="dxa" w:w="3120"/>
            <w:shd w:val="clear" w:color="auto" w:fill="FFFFFF"/>
          </w:tcPr>
          <w:p>
            <w:r>
              <w:rPr>
                <w:sz w:val="19"/>
              </w:rPr>
              <w:t>Formal claim with explicit assumptions + complete proof</w:t>
            </w:r>
          </w:p>
        </w:tc>
      </w:tr>
    </w:tbl>
    <w:p>
      <w:pPr>
        <w:spacing w:before="40" w:after="160"/>
      </w:pPr>
    </w:p>
    <w:p>
      <w:pPr>
        <w:spacing w:before="80" w:after="160"/>
        <w:ind w:left="288" w:right="288"/>
        <w:shd w:val="clear" w:color="auto" w:fill="E8F4F8"/>
      </w:pPr>
      <w:r>
        <w:rPr>
          <w:rFonts w:ascii="Arial" w:hAnsi="Arial"/>
          <w:b/>
          <w:i w:val="0"/>
          <w:color w:val="1B6C76"/>
          <w:sz w:val="20"/>
        </w:rPr>
        <w:t xml:space="preserve">Scope discipline:  </w:t>
      </w:r>
      <w:r>
        <w:rPr>
          <w:rFonts w:ascii="Arial" w:hAnsi="Arial"/>
          <w:b w:val="0"/>
          <w:i/>
          <w:color w:val="444455"/>
          <w:sz w:val="20"/>
        </w:rPr>
        <w:t>Prefer INT over THM unless proof is complete and assumptions are explicit. Prefer 'structural invariance (interpretive)' over 'domain-invariant' until the formal proof is done.</w:t>
      </w:r>
    </w:p>
    <w:p>
      <w:r>
        <w:br w:type="page"/>
      </w:r>
    </w:p>
    <w:p>
      <w:pPr>
        <w:keepNext/>
        <w:pBdr>
          <w:bottom w:val="single" w:sz="8" w:space="4" w:color="1B6C76"/>
        </w:pBdr>
        <w:spacing w:before="400" w:after="120"/>
      </w:pPr>
      <w:r>
        <w:rPr>
          <w:rFonts w:ascii="Arial" w:hAnsi="Arial"/>
          <w:b/>
          <w:i w:val="0"/>
          <w:color w:val="1A2A4A"/>
          <w:sz w:val="34"/>
        </w:rPr>
        <w:t>Part III — The Library Management System</w:t>
      </w:r>
    </w:p>
    <w:p>
      <w:pPr>
        <w:spacing w:before="40" w:after="120"/>
      </w:pPr>
      <w:r>
        <w:rPr>
          <w:rFonts w:ascii="Arial" w:hAnsi="Arial"/>
          <w:b w:val="0"/>
          <w:i w:val="0"/>
          <w:color w:val="000000"/>
          <w:sz w:val="21"/>
        </w:rPr>
        <w:t>The library management system controls how documents move through the HUF corpus: from raw intake through staging, canonical release, and eventual supersession. It provides the physical structure (lanes and folders) and the machine-readable core (manifest and sitemap) that make the library navigable by both humans and AI systems.</w:t>
      </w:r>
    </w:p>
    <w:p>
      <w:pPr>
        <w:spacing w:before="280" w:after="80"/>
      </w:pPr>
      <w:r>
        <w:rPr>
          <w:rFonts w:ascii="Arial" w:hAnsi="Arial"/>
          <w:b/>
          <w:i w:val="0"/>
          <w:color w:val="1B6C76"/>
          <w:sz w:val="26"/>
        </w:rPr>
        <w:t>Lanes — the four stages of document life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Lane</w:t>
            </w:r>
          </w:p>
        </w:tc>
        <w:tc>
          <w:tcPr>
            <w:tcW w:type="dxa" w:w="2340"/>
            <w:shd w:val="clear" w:color="auto" w:fill="1A2A4A"/>
          </w:tcPr>
          <w:p>
            <w:r>
              <w:rPr>
                <w:b/>
                <w:color w:val="FFFFFF"/>
                <w:sz w:val="19"/>
              </w:rPr>
              <w:t>Location</w:t>
            </w:r>
          </w:p>
        </w:tc>
        <w:tc>
          <w:tcPr>
            <w:tcW w:type="dxa" w:w="2340"/>
            <w:shd w:val="clear" w:color="auto" w:fill="1A2A4A"/>
          </w:tcPr>
          <w:p>
            <w:r>
              <w:rPr>
                <w:b/>
                <w:color w:val="FFFFFF"/>
                <w:sz w:val="19"/>
              </w:rPr>
              <w:t>Status allowed</w:t>
            </w:r>
          </w:p>
        </w:tc>
        <w:tc>
          <w:tcPr>
            <w:tcW w:type="dxa" w:w="2340"/>
            <w:shd w:val="clear" w:color="auto" w:fill="1A2A4A"/>
          </w:tcPr>
          <w:p>
            <w:r>
              <w:rPr>
                <w:b/>
                <w:color w:val="FFFFFF"/>
                <w:sz w:val="19"/>
              </w:rPr>
              <w:t>Notes</w:t>
            </w:r>
          </w:p>
        </w:tc>
      </w:tr>
      <w:tr>
        <w:tc>
          <w:tcPr>
            <w:tcW w:type="dxa" w:w="2340"/>
            <w:shd w:val="clear" w:color="auto" w:fill="F4F6FA"/>
          </w:tcPr>
          <w:p>
            <w:r>
              <w:rPr>
                <w:sz w:val="19"/>
              </w:rPr>
              <w:t>INBOX</w:t>
            </w:r>
          </w:p>
        </w:tc>
        <w:tc>
          <w:tcPr>
            <w:tcW w:type="dxa" w:w="2340"/>
            <w:shd w:val="clear" w:color="auto" w:fill="F4F6FA"/>
          </w:tcPr>
          <w:p>
            <w:r>
              <w:rPr>
                <w:sz w:val="19"/>
              </w:rPr>
              <w:t>notes/current_documents/inbox/YYYY-MM/</w:t>
            </w:r>
          </w:p>
        </w:tc>
        <w:tc>
          <w:tcPr>
            <w:tcW w:type="dxa" w:w="2340"/>
            <w:shd w:val="clear" w:color="auto" w:fill="F4F6FA"/>
          </w:tcPr>
          <w:p>
            <w:r>
              <w:rPr>
                <w:sz w:val="19"/>
              </w:rPr>
              <w:t>None (uncontrolled)</w:t>
            </w:r>
          </w:p>
        </w:tc>
        <w:tc>
          <w:tcPr>
            <w:tcW w:type="dxa" w:w="2340"/>
            <w:shd w:val="clear" w:color="auto" w:fill="F4F6FA"/>
          </w:tcPr>
          <w:p>
            <w:r>
              <w:rPr>
                <w:sz w:val="19"/>
              </w:rPr>
              <w:t>Raw dumps; no canonical claims; duplicates OK</w:t>
            </w:r>
          </w:p>
        </w:tc>
      </w:tr>
      <w:tr>
        <w:tc>
          <w:tcPr>
            <w:tcW w:type="dxa" w:w="2340"/>
            <w:shd w:val="clear" w:color="auto" w:fill="FFFFFF"/>
          </w:tcPr>
          <w:p>
            <w:r>
              <w:rPr>
                <w:sz w:val="19"/>
              </w:rPr>
              <w:t>STAGED</w:t>
            </w:r>
          </w:p>
        </w:tc>
        <w:tc>
          <w:tcPr>
            <w:tcW w:type="dxa" w:w="2340"/>
            <w:shd w:val="clear" w:color="auto" w:fill="FFFFFF"/>
          </w:tcPr>
          <w:p>
            <w:r>
              <w:rPr>
                <w:sz w:val="19"/>
              </w:rPr>
              <w:t>notes/current_documents/staged/&lt;DOC_ID&gt;/</w:t>
            </w:r>
          </w:p>
        </w:tc>
        <w:tc>
          <w:tcPr>
            <w:tcW w:type="dxa" w:w="2340"/>
            <w:shd w:val="clear" w:color="auto" w:fill="FFFFFF"/>
          </w:tcPr>
          <w:p>
            <w:r>
              <w:rPr>
                <w:sz w:val="19"/>
              </w:rPr>
              <w:t>draft or reviewed</w:t>
            </w:r>
          </w:p>
        </w:tc>
        <w:tc>
          <w:tcPr>
            <w:tcW w:type="dxa" w:w="2340"/>
            <w:shd w:val="clear" w:color="auto" w:fill="FFFFFF"/>
          </w:tcPr>
          <w:p>
            <w:r>
              <w:rPr>
                <w:sz w:val="19"/>
              </w:rPr>
              <w:t>ID assigned; header applied; manifest entry created</w:t>
            </w:r>
          </w:p>
        </w:tc>
      </w:tr>
      <w:tr>
        <w:tc>
          <w:tcPr>
            <w:tcW w:type="dxa" w:w="2340"/>
            <w:shd w:val="clear" w:color="auto" w:fill="F4F6FA"/>
          </w:tcPr>
          <w:p>
            <w:r>
              <w:rPr>
                <w:sz w:val="19"/>
              </w:rPr>
              <w:t>RELEASE</w:t>
            </w:r>
          </w:p>
        </w:tc>
        <w:tc>
          <w:tcPr>
            <w:tcW w:type="dxa" w:w="2340"/>
            <w:shd w:val="clear" w:color="auto" w:fill="F4F6FA"/>
          </w:tcPr>
          <w:p>
            <w:r>
              <w:rPr>
                <w:sz w:val="19"/>
              </w:rPr>
              <w:t>docs/ · cases/ · notes/_org/</w:t>
            </w:r>
          </w:p>
        </w:tc>
        <w:tc>
          <w:tcPr>
            <w:tcW w:type="dxa" w:w="2340"/>
            <w:shd w:val="clear" w:color="auto" w:fill="F4F6FA"/>
          </w:tcPr>
          <w:p>
            <w:r>
              <w:rPr>
                <w:sz w:val="19"/>
              </w:rPr>
              <w:t>reviewed or release</w:t>
            </w:r>
          </w:p>
        </w:tc>
        <w:tc>
          <w:tcPr>
            <w:tcW w:type="dxa" w:w="2340"/>
            <w:shd w:val="clear" w:color="auto" w:fill="F4F6FA"/>
          </w:tcPr>
          <w:p>
            <w:r>
              <w:rPr>
                <w:sz w:val="19"/>
              </w:rPr>
              <w:t>Human-approved; canonical path locked; Markdown-only in docs/</w:t>
            </w:r>
          </w:p>
        </w:tc>
      </w:tr>
      <w:tr>
        <w:tc>
          <w:tcPr>
            <w:tcW w:type="dxa" w:w="2340"/>
            <w:shd w:val="clear" w:color="auto" w:fill="FFFFFF"/>
          </w:tcPr>
          <w:p>
            <w:r>
              <w:rPr>
                <w:sz w:val="19"/>
              </w:rPr>
              <w:t>LEGACY</w:t>
            </w:r>
          </w:p>
        </w:tc>
        <w:tc>
          <w:tcPr>
            <w:tcW w:type="dxa" w:w="2340"/>
            <w:shd w:val="clear" w:color="auto" w:fill="FFFFFF"/>
          </w:tcPr>
          <w:p>
            <w:r>
              <w:rPr>
                <w:sz w:val="19"/>
              </w:rPr>
              <w:t>notes/legacy/</w:t>
            </w:r>
          </w:p>
        </w:tc>
        <w:tc>
          <w:tcPr>
            <w:tcW w:type="dxa" w:w="2340"/>
            <w:shd w:val="clear" w:color="auto" w:fill="FFFFFF"/>
          </w:tcPr>
          <w:p>
            <w:r>
              <w:rPr>
                <w:sz w:val="19"/>
              </w:rPr>
              <w:t>deprecated</w:t>
            </w:r>
          </w:p>
        </w:tc>
        <w:tc>
          <w:tcPr>
            <w:tcW w:type="dxa" w:w="2340"/>
            <w:shd w:val="clear" w:color="auto" w:fill="FFFFFF"/>
          </w:tcPr>
          <w:p>
            <w:r>
              <w:rPr>
                <w:sz w:val="19"/>
              </w:rPr>
              <w:t>Superseded documents; never deleted; superseded_by pointer required</w:t>
            </w:r>
          </w:p>
        </w:tc>
      </w:tr>
    </w:tbl>
    <w:p>
      <w:pPr>
        <w:spacing w:before="40" w:after="160"/>
      </w:pPr>
    </w:p>
    <w:p>
      <w:pPr>
        <w:spacing w:before="40" w:after="120"/>
      </w:pPr>
      <w:r>
        <w:rPr>
          <w:rFonts w:ascii="Arial" w:hAnsi="Arial"/>
          <w:b w:val="0"/>
          <w:i w:val="0"/>
          <w:color w:val="000000"/>
          <w:sz w:val="21"/>
        </w:rPr>
        <w:t>The lane system enforces the HUF principle that nothing disappears silently. A document moves from STAGED to RELEASE only when a human approves it. A document moves from RELEASE to LEGACY only when it has been explicitly superseded, and the superseding document's manifest entry names it.</w:t>
      </w:r>
    </w:p>
    <w:p>
      <w:pPr>
        <w:spacing w:before="280" w:after="80"/>
      </w:pPr>
      <w:r>
        <w:rPr>
          <w:rFonts w:ascii="Arial" w:hAnsi="Arial"/>
          <w:b/>
          <w:i w:val="0"/>
          <w:color w:val="1B6C76"/>
          <w:sz w:val="26"/>
        </w:rPr>
        <w:t>The manifest — machine-readable inventory</w:t>
      </w:r>
    </w:p>
    <w:p>
      <w:pPr>
        <w:spacing w:before="40" w:after="120"/>
      </w:pPr>
      <w:r>
        <w:rPr>
          <w:rFonts w:ascii="Arial" w:hAnsi="Arial"/>
          <w:b w:val="0"/>
          <w:i w:val="0"/>
          <w:color w:val="000000"/>
          <w:sz w:val="21"/>
        </w:rPr>
        <w:t>The file notes/_org/doc_manifest.json is the single source of truth for every document in the library. It currently contains entries for all 25 documents produced in the February 2026 work period, plus the governance package documents added in this session.</w:t>
      </w:r>
    </w:p>
    <w:p>
      <w:pPr>
        <w:spacing w:before="40" w:after="120"/>
      </w:pPr>
      <w:r>
        <w:rPr>
          <w:rFonts w:ascii="Arial" w:hAnsi="Arial"/>
          <w:b w:val="0"/>
          <w:i w:val="0"/>
          <w:color w:val="000000"/>
          <w:sz w:val="21"/>
        </w:rPr>
        <w:t>Each manifest entry contains:</w:t>
      </w:r>
    </w:p>
    <w:p>
      <w:pPr>
        <w:pStyle w:val="ListBullet"/>
        <w:spacing w:before="20" w:after="60"/>
        <w:ind w:left="504"/>
      </w:pPr>
      <w:r>
        <w:rPr>
          <w:rFonts w:ascii="Arial" w:hAnsi="Arial"/>
          <w:b w:val="0"/>
          <w:i w:val="0"/>
          <w:color w:val="000000"/>
          <w:sz w:val="21"/>
        </w:rPr>
        <w:t>doc_id — the stable identifier that never changes</w:t>
      </w:r>
    </w:p>
    <w:p>
      <w:pPr>
        <w:pStyle w:val="ListBullet"/>
        <w:spacing w:before="20" w:after="60"/>
        <w:ind w:left="504"/>
      </w:pPr>
      <w:r>
        <w:rPr>
          <w:rFonts w:ascii="Arial" w:hAnsi="Arial"/>
          <w:b w:val="0"/>
          <w:i w:val="0"/>
          <w:color w:val="000000"/>
          <w:sz w:val="21"/>
        </w:rPr>
        <w:t>title — human-readable document name</w:t>
      </w:r>
    </w:p>
    <w:p>
      <w:pPr>
        <w:pStyle w:val="ListBullet"/>
        <w:spacing w:before="20" w:after="60"/>
        <w:ind w:left="504"/>
      </w:pPr>
      <w:r>
        <w:rPr>
          <w:rFonts w:ascii="Arial" w:hAnsi="Arial"/>
          <w:b w:val="0"/>
          <w:i w:val="0"/>
          <w:color w:val="000000"/>
          <w:sz w:val="21"/>
        </w:rPr>
        <w:t>volume — which of the 8 volumes this document belongs to (1–8)</w:t>
      </w:r>
    </w:p>
    <w:p>
      <w:pPr>
        <w:pStyle w:val="ListBullet"/>
        <w:spacing w:before="20" w:after="60"/>
        <w:ind w:left="504"/>
      </w:pPr>
      <w:r>
        <w:rPr>
          <w:rFonts w:ascii="Arial" w:hAnsi="Arial"/>
          <w:b w:val="0"/>
          <w:i w:val="0"/>
          <w:color w:val="000000"/>
          <w:sz w:val="21"/>
        </w:rPr>
        <w:t>status / lane — current position in the workflow</w:t>
      </w:r>
    </w:p>
    <w:p>
      <w:pPr>
        <w:pStyle w:val="ListBullet"/>
        <w:spacing w:before="20" w:after="60"/>
        <w:ind w:left="504"/>
      </w:pPr>
      <w:r>
        <w:rPr>
          <w:rFonts w:ascii="Arial" w:hAnsi="Arial"/>
          <w:b w:val="0"/>
          <w:i w:val="0"/>
          <w:color w:val="000000"/>
          <w:sz w:val="21"/>
        </w:rPr>
        <w:t>weights / caps — the declared operator-control posture for this document</w:t>
      </w:r>
    </w:p>
    <w:p>
      <w:pPr>
        <w:pStyle w:val="ListBullet"/>
        <w:spacing w:before="20" w:after="60"/>
        <w:ind w:left="504"/>
      </w:pPr>
      <w:r>
        <w:rPr>
          <w:rFonts w:ascii="Arial" w:hAnsi="Arial"/>
          <w:b w:val="0"/>
          <w:i w:val="0"/>
          <w:color w:val="000000"/>
          <w:sz w:val="21"/>
        </w:rPr>
        <w:t>compliance — whether the document meets all governance requirements</w:t>
      </w:r>
    </w:p>
    <w:p>
      <w:pPr>
        <w:pStyle w:val="ListBullet"/>
        <w:spacing w:before="20" w:after="60"/>
        <w:ind w:left="504"/>
      </w:pPr>
      <w:r>
        <w:rPr>
          <w:rFonts w:ascii="Arial" w:hAnsi="Arial"/>
          <w:b w:val="0"/>
          <w:i w:val="0"/>
          <w:color w:val="000000"/>
          <w:sz w:val="21"/>
        </w:rPr>
        <w:t>supersedes / superseded_by — the traceability chain</w:t>
      </w:r>
    </w:p>
    <w:p>
      <w:pPr>
        <w:pStyle w:val="ListBullet"/>
        <w:spacing w:before="20" w:after="60"/>
        <w:ind w:left="504"/>
      </w:pPr>
      <w:r>
        <w:rPr>
          <w:rFonts w:ascii="Arial" w:hAnsi="Arial"/>
          <w:b w:val="0"/>
          <w:i w:val="0"/>
          <w:color w:val="000000"/>
          <w:sz w:val="21"/>
        </w:rPr>
        <w:t>contributors — which humans and AI systems contributed substantively</w:t>
      </w:r>
    </w:p>
    <w:p>
      <w:pPr>
        <w:spacing w:before="280" w:after="80"/>
      </w:pPr>
      <w:r>
        <w:rPr>
          <w:rFonts w:ascii="Arial" w:hAnsi="Arial"/>
          <w:b/>
          <w:i w:val="0"/>
          <w:color w:val="1B6C76"/>
          <w:sz w:val="26"/>
        </w:rPr>
        <w:t>The sitemap — human navigation</w:t>
      </w:r>
    </w:p>
    <w:p>
      <w:pPr>
        <w:spacing w:before="40" w:after="120"/>
      </w:pPr>
      <w:r>
        <w:rPr>
          <w:rFonts w:ascii="Arial" w:hAnsi="Arial"/>
          <w:b w:val="0"/>
          <w:i w:val="0"/>
          <w:color w:val="000000"/>
          <w:sz w:val="21"/>
        </w:rPr>
        <w:t>The file notes/_org/sitemap.json maps the library for a human reader or a new AI collaborator onboarding to the project. It is not a filesystem path list — it is an intentional map: volumes, lanes, learning levels, and the opportunities register.</w:t>
      </w:r>
    </w:p>
    <w:p>
      <w:pPr>
        <w:spacing w:before="280" w:after="80"/>
      </w:pPr>
      <w:r>
        <w:rPr>
          <w:rFonts w:ascii="Arial" w:hAnsi="Arial"/>
          <w:b/>
          <w:i w:val="0"/>
          <w:color w:val="1B6C76"/>
          <w:sz w:val="26"/>
        </w:rPr>
        <w:t>The 8-volume structure</w:t>
      </w:r>
    </w:p>
    <w:p>
      <w:pPr>
        <w:spacing w:before="40" w:after="120"/>
      </w:pPr>
      <w:r>
        <w:rPr>
          <w:rFonts w:ascii="Arial" w:hAnsi="Arial"/>
          <w:b w:val="0"/>
          <w:i w:val="0"/>
          <w:color w:val="000000"/>
          <w:sz w:val="21"/>
        </w:rPr>
        <w:t>The full HUF corpus is organised into 8 volumes. The structure separates by audience and function, not by date of creation.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Volume</w:t>
            </w:r>
          </w:p>
        </w:tc>
        <w:tc>
          <w:tcPr>
            <w:tcW w:type="dxa" w:w="2340"/>
            <w:shd w:val="clear" w:color="auto" w:fill="1A2A4A"/>
          </w:tcPr>
          <w:p>
            <w:r>
              <w:rPr>
                <w:b/>
                <w:color w:val="FFFFFF"/>
                <w:sz w:val="19"/>
              </w:rPr>
              <w:t>Title</w:t>
            </w:r>
          </w:p>
        </w:tc>
        <w:tc>
          <w:tcPr>
            <w:tcW w:type="dxa" w:w="2340"/>
            <w:shd w:val="clear" w:color="auto" w:fill="1A2A4A"/>
          </w:tcPr>
          <w:p>
            <w:r>
              <w:rPr>
                <w:b/>
                <w:color w:val="FFFFFF"/>
                <w:sz w:val="19"/>
              </w:rPr>
              <w:t>Primary audience</w:t>
            </w:r>
          </w:p>
        </w:tc>
        <w:tc>
          <w:tcPr>
            <w:tcW w:type="dxa" w:w="2340"/>
            <w:shd w:val="clear" w:color="auto" w:fill="1A2A4A"/>
          </w:tcPr>
          <w:p>
            <w:r>
              <w:rPr>
                <w:b/>
                <w:color w:val="FFFFFF"/>
                <w:sz w:val="19"/>
              </w:rPr>
              <w:t>Known corpus files</w:t>
            </w:r>
          </w:p>
        </w:tc>
      </w:tr>
      <w:tr>
        <w:tc>
          <w:tcPr>
            <w:tcW w:type="dxa" w:w="2340"/>
            <w:shd w:val="clear" w:color="auto" w:fill="F4F6FA"/>
          </w:tcPr>
          <w:p>
            <w:r>
              <w:rPr>
                <w:sz w:val="19"/>
              </w:rPr>
              <w:t>1</w:t>
            </w:r>
          </w:p>
        </w:tc>
        <w:tc>
          <w:tcPr>
            <w:tcW w:type="dxa" w:w="2340"/>
            <w:shd w:val="clear" w:color="auto" w:fill="F4F6FA"/>
          </w:tcPr>
          <w:p>
            <w:r>
              <w:rPr>
                <w:sz w:val="19"/>
              </w:rPr>
              <w:t>Orientation + Field Guide</w:t>
            </w:r>
          </w:p>
        </w:tc>
        <w:tc>
          <w:tcPr>
            <w:tcW w:type="dxa" w:w="2340"/>
            <w:shd w:val="clear" w:color="auto" w:fill="F4F6FA"/>
          </w:tcPr>
          <w:p>
            <w:r>
              <w:rPr>
                <w:sz w:val="19"/>
              </w:rPr>
              <w:t>Newcomers, partners, regulators, AI collaborators</w:t>
            </w:r>
          </w:p>
        </w:tc>
        <w:tc>
          <w:tcPr>
            <w:tcW w:type="dxa" w:w="2340"/>
            <w:shd w:val="clear" w:color="auto" w:fill="F4F6FA"/>
          </w:tcPr>
          <w:p>
            <w:r>
              <w:rPr>
                <w:sz w:val="19"/>
              </w:rPr>
              <w:t>Handbook v1.2.0 · MC-4 expanded wiki · Governance state observer paper</w:t>
            </w:r>
          </w:p>
        </w:tc>
      </w:tr>
      <w:tr>
        <w:tc>
          <w:tcPr>
            <w:tcW w:type="dxa" w:w="2340"/>
            <w:shd w:val="clear" w:color="auto" w:fill="FFFFFF"/>
          </w:tcPr>
          <w:p>
            <w:r>
              <w:rPr>
                <w:sz w:val="19"/>
              </w:rPr>
              <w:t>2</w:t>
            </w:r>
          </w:p>
        </w:tc>
        <w:tc>
          <w:tcPr>
            <w:tcW w:type="dxa" w:w="2340"/>
            <w:shd w:val="clear" w:color="auto" w:fill="FFFFFF"/>
          </w:tcPr>
          <w:p>
            <w:r>
              <w:rPr>
                <w:sz w:val="19"/>
              </w:rPr>
              <w:t>Operator Handbook</w:t>
            </w:r>
          </w:p>
        </w:tc>
        <w:tc>
          <w:tcPr>
            <w:tcW w:type="dxa" w:w="2340"/>
            <w:shd w:val="clear" w:color="auto" w:fill="FFFFFF"/>
          </w:tcPr>
          <w:p>
            <w:r>
              <w:rPr>
                <w:sz w:val="19"/>
              </w:rPr>
              <w:t>Operators deploying HUF in a new domain</w:t>
            </w:r>
          </w:p>
        </w:tc>
        <w:tc>
          <w:tcPr>
            <w:tcW w:type="dxa" w:w="2340"/>
            <w:shd w:val="clear" w:color="auto" w:fill="FFFFFF"/>
          </w:tcPr>
          <w:p>
            <w:r>
              <w:rPr>
                <w:sz w:val="19"/>
              </w:rPr>
              <w:t>Handbook v1.2.0 · Decision log v1.2 · Complete taxonomy · Complete reference Feb2026</w:t>
            </w:r>
          </w:p>
        </w:tc>
      </w:tr>
      <w:tr>
        <w:tc>
          <w:tcPr>
            <w:tcW w:type="dxa" w:w="2340"/>
            <w:shd w:val="clear" w:color="auto" w:fill="F4F6FA"/>
          </w:tcPr>
          <w:p>
            <w:r>
              <w:rPr>
                <w:sz w:val="19"/>
              </w:rPr>
              <w:t>3</w:t>
            </w:r>
          </w:p>
        </w:tc>
        <w:tc>
          <w:tcPr>
            <w:tcW w:type="dxa" w:w="2340"/>
            <w:shd w:val="clear" w:color="auto" w:fill="F4F6FA"/>
          </w:tcPr>
          <w:p>
            <w:r>
              <w:rPr>
                <w:sz w:val="19"/>
              </w:rPr>
              <w:t>Software + Demos</w:t>
            </w:r>
          </w:p>
        </w:tc>
        <w:tc>
          <w:tcPr>
            <w:tcW w:type="dxa" w:w="2340"/>
            <w:shd w:val="clear" w:color="auto" w:fill="F4F6FA"/>
          </w:tcPr>
          <w:p>
            <w:r>
              <w:rPr>
                <w:sz w:val="19"/>
              </w:rPr>
              <w:t>Technical users and developers</w:t>
            </w:r>
          </w:p>
        </w:tc>
        <w:tc>
          <w:tcPr>
            <w:tcW w:type="dxa" w:w="2340"/>
            <w:shd w:val="clear" w:color="auto" w:fill="F4F6FA"/>
          </w:tcPr>
          <w:p>
            <w:r>
              <w:rPr>
                <w:sz w:val="19"/>
              </w:rPr>
              <w:t>huf_diagnostic.jsx · ramsar_huf_demo_v2.py · huf_todo.jsx · Book1.xlsx</w:t>
            </w:r>
          </w:p>
        </w:tc>
      </w:tr>
      <w:tr>
        <w:tc>
          <w:tcPr>
            <w:tcW w:type="dxa" w:w="2340"/>
            <w:shd w:val="clear" w:color="auto" w:fill="FFFFFF"/>
          </w:tcPr>
          <w:p>
            <w:r>
              <w:rPr>
                <w:sz w:val="19"/>
              </w:rPr>
              <w:t>4</w:t>
            </w:r>
          </w:p>
        </w:tc>
        <w:tc>
          <w:tcPr>
            <w:tcW w:type="dxa" w:w="2340"/>
            <w:shd w:val="clear" w:color="auto" w:fill="FFFFFF"/>
          </w:tcPr>
          <w:p>
            <w:r>
              <w:rPr>
                <w:sz w:val="19"/>
              </w:rPr>
              <w:t>Formal Core (Mathematical Foundations)</w:t>
            </w:r>
          </w:p>
        </w:tc>
        <w:tc>
          <w:tcPr>
            <w:tcW w:type="dxa" w:w="2340"/>
            <w:shd w:val="clear" w:color="auto" w:fill="FFFFFF"/>
          </w:tcPr>
          <w:p>
            <w:r>
              <w:rPr>
                <w:sz w:val="19"/>
              </w:rPr>
              <w:t>Researchers, journal reviewers</w:t>
            </w:r>
          </w:p>
        </w:tc>
        <w:tc>
          <w:tcPr>
            <w:tcW w:type="dxa" w:w="2340"/>
            <w:shd w:val="clear" w:color="auto" w:fill="FFFFFF"/>
          </w:tcPr>
          <w:p>
            <w:r>
              <w:rPr>
                <w:sz w:val="19"/>
              </w:rPr>
              <w:t>huf_mathematical_foundations.docx (v1.1.8) · HUF_Mathematics_v0.1.0_DRAFT.docx</w:t>
            </w:r>
          </w:p>
        </w:tc>
      </w:tr>
      <w:tr>
        <w:tc>
          <w:tcPr>
            <w:tcW w:type="dxa" w:w="2340"/>
            <w:shd w:val="clear" w:color="auto" w:fill="F4F6FA"/>
          </w:tcPr>
          <w:p>
            <w:r>
              <w:rPr>
                <w:sz w:val="19"/>
              </w:rPr>
              <w:t>5</w:t>
            </w:r>
          </w:p>
        </w:tc>
        <w:tc>
          <w:tcPr>
            <w:tcW w:type="dxa" w:w="2340"/>
            <w:shd w:val="clear" w:color="auto" w:fill="F4F6FA"/>
          </w:tcPr>
          <w:p>
            <w:r>
              <w:rPr>
                <w:sz w:val="19"/>
              </w:rPr>
              <w:t>Advanced Mathematics Compendium</w:t>
            </w:r>
          </w:p>
        </w:tc>
        <w:tc>
          <w:tcPr>
            <w:tcW w:type="dxa" w:w="2340"/>
            <w:shd w:val="clear" w:color="auto" w:fill="F4F6FA"/>
          </w:tcPr>
          <w:p>
            <w:r>
              <w:rPr>
                <w:sz w:val="19"/>
              </w:rPr>
              <w:t>Mathematicians, quantitative researchers</w:t>
            </w:r>
          </w:p>
        </w:tc>
        <w:tc>
          <w:tcPr>
            <w:tcW w:type="dxa" w:w="2340"/>
            <w:shd w:val="clear" w:color="auto" w:fill="F4F6FA"/>
          </w:tcPr>
          <w:p>
            <w:r>
              <w:rPr>
                <w:sz w:val="19"/>
              </w:rPr>
              <w:t>huf_math_foundations_v2_1.docx · HUF_Advanced_Mathematics_Handbook_v0.2.0_DRAFT</w:t>
            </w:r>
          </w:p>
        </w:tc>
      </w:tr>
      <w:tr>
        <w:tc>
          <w:tcPr>
            <w:tcW w:type="dxa" w:w="2340"/>
            <w:shd w:val="clear" w:color="auto" w:fill="FFFFFF"/>
          </w:tcPr>
          <w:p>
            <w:r>
              <w:rPr>
                <w:sz w:val="19"/>
              </w:rPr>
              <w:t>6</w:t>
            </w:r>
          </w:p>
        </w:tc>
        <w:tc>
          <w:tcPr>
            <w:tcW w:type="dxa" w:w="2340"/>
            <w:shd w:val="clear" w:color="auto" w:fill="FFFFFF"/>
          </w:tcPr>
          <w:p>
            <w:r>
              <w:rPr>
                <w:sz w:val="19"/>
              </w:rPr>
              <w:t>Case Studies</w:t>
            </w:r>
          </w:p>
        </w:tc>
        <w:tc>
          <w:tcPr>
            <w:tcW w:type="dxa" w:w="2340"/>
            <w:shd w:val="clear" w:color="auto" w:fill="FFFFFF"/>
          </w:tcPr>
          <w:p>
            <w:r>
              <w:rPr>
                <w:sz w:val="19"/>
              </w:rPr>
              <w:t>Researchers, domain specialists</w:t>
            </w:r>
          </w:p>
        </w:tc>
        <w:tc>
          <w:tcPr>
            <w:tcW w:type="dxa" w:w="2340"/>
            <w:shd w:val="clear" w:color="auto" w:fill="FFFFFF"/>
          </w:tcPr>
          <w:p>
            <w:r>
              <w:rPr>
                <w:sz w:val="19"/>
              </w:rPr>
              <w:t>D.1 Exhibit A v2 · D.2 Exhibit B v1 · D.2 framework · appendix inserts · Book1.xlsx</w:t>
            </w:r>
          </w:p>
        </w:tc>
      </w:tr>
      <w:tr>
        <w:tc>
          <w:tcPr>
            <w:tcW w:type="dxa" w:w="2340"/>
            <w:shd w:val="clear" w:color="auto" w:fill="F4F6FA"/>
          </w:tcPr>
          <w:p>
            <w:r>
              <w:rPr>
                <w:sz w:val="19"/>
              </w:rPr>
              <w:t>7</w:t>
            </w:r>
          </w:p>
        </w:tc>
        <w:tc>
          <w:tcPr>
            <w:tcW w:type="dxa" w:w="2340"/>
            <w:shd w:val="clear" w:color="auto" w:fill="F4F6FA"/>
          </w:tcPr>
          <w:p>
            <w:r>
              <w:rPr>
                <w:sz w:val="19"/>
              </w:rPr>
              <w:t>Partner Pilots</w:t>
            </w:r>
          </w:p>
        </w:tc>
        <w:tc>
          <w:tcPr>
            <w:tcW w:type="dxa" w:w="2340"/>
            <w:shd w:val="clear" w:color="auto" w:fill="F4F6FA"/>
          </w:tcPr>
          <w:p>
            <w:r>
              <w:rPr>
                <w:sz w:val="19"/>
              </w:rPr>
              <w:t>Institutional partners, industry contacts</w:t>
            </w:r>
          </w:p>
        </w:tc>
        <w:tc>
          <w:tcPr>
            <w:tcW w:type="dxa" w:w="2340"/>
            <w:shd w:val="clear" w:color="auto" w:fill="F4F6FA"/>
          </w:tcPr>
          <w:p>
            <w:r>
              <w:rPr>
                <w:sz w:val="19"/>
              </w:rPr>
              <w:t>Ramsar Croatia package · contact letter v15 · primer v12 · manufacturing wiki · entry points wiki</w:t>
            </w:r>
          </w:p>
        </w:tc>
      </w:tr>
      <w:tr>
        <w:tc>
          <w:tcPr>
            <w:tcW w:type="dxa" w:w="2340"/>
            <w:shd w:val="clear" w:color="auto" w:fill="FFFFFF"/>
          </w:tcPr>
          <w:p>
            <w:r>
              <w:rPr>
                <w:sz w:val="19"/>
              </w:rPr>
              <w:t>8</w:t>
            </w:r>
          </w:p>
        </w:tc>
        <w:tc>
          <w:tcPr>
            <w:tcW w:type="dxa" w:w="2340"/>
            <w:shd w:val="clear" w:color="auto" w:fill="FFFFFF"/>
          </w:tcPr>
          <w:p>
            <w:r>
              <w:rPr>
                <w:sz w:val="19"/>
              </w:rPr>
              <w:t>Governance + Roadmap</w:t>
            </w:r>
          </w:p>
        </w:tc>
        <w:tc>
          <w:tcPr>
            <w:tcW w:type="dxa" w:w="2340"/>
            <w:shd w:val="clear" w:color="auto" w:fill="FFFFFF"/>
          </w:tcPr>
          <w:p>
            <w:r>
              <w:rPr>
                <w:sz w:val="19"/>
              </w:rPr>
              <w:t>Operator + future collaborators onboarding</w:t>
            </w:r>
          </w:p>
        </w:tc>
        <w:tc>
          <w:tcPr>
            <w:tcW w:type="dxa" w:w="2340"/>
            <w:shd w:val="clear" w:color="auto" w:fill="FFFFFF"/>
          </w:tcPr>
          <w:p>
            <w:r>
              <w:rPr>
                <w:sz w:val="19"/>
              </w:rPr>
              <w:t>Complete reference · Decision log · Taxonomy · This governance package</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IV — The Operator Control Contract (HUF-51/49)</w:t>
      </w:r>
    </w:p>
    <w:p>
      <w:pPr>
        <w:spacing w:before="40" w:after="120"/>
      </w:pPr>
      <w:r>
        <w:rPr>
          <w:rFonts w:ascii="Arial" w:hAnsi="Arial"/>
          <w:b w:val="0"/>
          <w:i w:val="0"/>
          <w:color w:val="000000"/>
          <w:sz w:val="21"/>
        </w:rPr>
        <w:t>The most important addition in this governance package is the Operator Control Contract. It applies HUF to its own workflow — and in doing so, closes the most dangerous gap in any AI-assisted research process: the possibility that the tool accumulates authority that properly belongs to the operator.</w:t>
      </w:r>
    </w:p>
    <w:p>
      <w:pPr>
        <w:spacing w:before="280" w:after="80"/>
      </w:pPr>
      <w:r>
        <w:rPr>
          <w:rFonts w:ascii="Arial" w:hAnsi="Arial"/>
          <w:b/>
          <w:i w:val="0"/>
          <w:color w:val="1B6C76"/>
          <w:sz w:val="26"/>
        </w:rPr>
        <w:t>The reflexive argument — why HUF must apply to itself</w:t>
      </w:r>
    </w:p>
    <w:p>
      <w:pPr>
        <w:spacing w:before="40" w:after="120"/>
      </w:pPr>
      <w:r>
        <w:rPr>
          <w:rFonts w:ascii="Arial" w:hAnsi="Arial"/>
          <w:b w:val="0"/>
          <w:i w:val="0"/>
          <w:color w:val="000000"/>
          <w:sz w:val="21"/>
        </w:rPr>
        <w:t>HUF is a governance instrument for finite-budget systems: any system where elements share a bounded total, and the gap between declared intent and observed allocation can accumulate silently. The operator/tool relationship is exactly such a system:</w:t>
      </w:r>
    </w:p>
    <w:p>
      <w:pPr>
        <w:pStyle w:val="ListBullet"/>
        <w:spacing w:before="20" w:after="60"/>
        <w:ind w:left="504"/>
      </w:pPr>
      <w:r>
        <w:rPr>
          <w:rFonts w:ascii="Arial" w:hAnsi="Arial"/>
          <w:b w:val="0"/>
          <w:i w:val="0"/>
          <w:color w:val="000000"/>
          <w:sz w:val="21"/>
        </w:rPr>
        <w:t>Budget: total decision authority (attention, review weight, release approval)</w:t>
      </w:r>
    </w:p>
    <w:p>
      <w:pPr>
        <w:pStyle w:val="ListBullet"/>
        <w:spacing w:before="20" w:after="60"/>
        <w:ind w:left="504"/>
      </w:pPr>
      <w:r>
        <w:rPr>
          <w:rFonts w:ascii="Arial" w:hAnsi="Arial"/>
          <w:b w:val="0"/>
          <w:i w:val="0"/>
          <w:color w:val="000000"/>
          <w:sz w:val="21"/>
        </w:rPr>
        <w:t>Elements: Operator (OP), Tool (TOOL), Peer reviewers (PEER)</w:t>
      </w:r>
    </w:p>
    <w:p>
      <w:pPr>
        <w:pStyle w:val="ListBullet"/>
        <w:spacing w:before="20" w:after="60"/>
        <w:ind w:left="504"/>
      </w:pPr>
      <w:r>
        <w:rPr>
          <w:rFonts w:ascii="Arial" w:hAnsi="Arial"/>
          <w:b w:val="0"/>
          <w:i w:val="0"/>
          <w:color w:val="000000"/>
          <w:sz w:val="21"/>
        </w:rPr>
        <w:t>Constraint: OP + TOOL + PEER = 1.0</w:t>
      </w:r>
    </w:p>
    <w:p>
      <w:pPr>
        <w:spacing w:before="40" w:after="120"/>
      </w:pPr>
      <w:r>
        <w:rPr>
          <w:rFonts w:ascii="Arial" w:hAnsi="Arial"/>
          <w:b w:val="0"/>
          <w:i w:val="0"/>
          <w:color w:val="000000"/>
          <w:sz w:val="21"/>
        </w:rPr>
        <w:t>If the unity constraint applies to this system — and it does — then silent drift from declared operator authority is the failure mode HUF is designed to prevent. The operator might declare OP=0.80 but, over many iterations, gradually defer to tool outputs without updating the declaration. The observed OP share drifts below the declared value. Silent drift has occurred — and it has occurred in the governance system itself.</w:t>
      </w:r>
    </w:p>
    <w:p>
      <w:pPr>
        <w:spacing w:before="40" w:after="120"/>
      </w:pPr>
      <w:r>
        <w:rPr>
          <w:rFonts w:ascii="Arial" w:hAnsi="Arial"/>
          <w:b w:val="0"/>
          <w:i w:val="0"/>
          <w:color w:val="000000"/>
          <w:sz w:val="21"/>
        </w:rPr>
        <w:t>The Operator Control Contract makes that drift structurally impossible, not just monitorable.</w:t>
      </w:r>
    </w:p>
    <w:p>
      <w:pPr>
        <w:spacing w:before="280" w:after="80"/>
      </w:pPr>
      <w:r>
        <w:rPr>
          <w:rFonts w:ascii="Arial" w:hAnsi="Arial"/>
          <w:b/>
          <w:i w:val="0"/>
          <w:color w:val="1B6C76"/>
          <w:sz w:val="26"/>
        </w:rPr>
        <w:t>The structural minimum analogy</w:t>
      </w:r>
    </w:p>
    <w:p>
      <w:pPr>
        <w:spacing w:before="40" w:after="120"/>
      </w:pPr>
      <w:r>
        <w:rPr>
          <w:rFonts w:ascii="Arial" w:hAnsi="Arial"/>
          <w:b w:val="0"/>
          <w:i w:val="0"/>
          <w:color w:val="000000"/>
          <w:sz w:val="21"/>
        </w:rPr>
        <w:t>Crna Mlaka holds 0.91% of Croatia's Ramsar portfolio by area. Its governance leverage is 110 — meaning any reduction in its monitoring share causes 110 times the structural impact of an equivalent reduction in a large site. Nobody decided to reduce its share. It drifted silently.</w:t>
      </w:r>
    </w:p>
    <w:p>
      <w:pPr>
        <w:spacing w:before="40" w:after="120"/>
      </w:pPr>
      <w:r>
        <w:rPr>
          <w:rFonts w:ascii="Arial" w:hAnsi="Arial"/>
          <w:b w:val="0"/>
          <w:i w:val="0"/>
          <w:color w:val="000000"/>
          <w:sz w:val="21"/>
        </w:rPr>
        <w:t>The operator's decision authority is the Crna Mlaka of the governance system. It is small in absolute terms when surrounded by high-throughput AI tools, but it is critically non-substitutable. When operator share falls below the minimum viable threshold, the system loses its governance anchor. The tool becomes the de-facto decision-maker — not by declaration, but by silent drift.</w:t>
      </w:r>
    </w:p>
    <w:p>
      <w:pPr>
        <w:spacing w:before="80" w:after="160"/>
        <w:ind w:left="288" w:right="288"/>
        <w:shd w:val="clear" w:color="auto" w:fill="E8F4F8"/>
      </w:pPr>
      <w:r>
        <w:rPr>
          <w:rFonts w:ascii="Arial" w:hAnsi="Arial"/>
          <w:b/>
          <w:i w:val="0"/>
          <w:color w:val="1B6C76"/>
          <w:sz w:val="20"/>
        </w:rPr>
        <w:t xml:space="preserve">The 51% floor:  </w:t>
      </w:r>
      <w:r>
        <w:rPr>
          <w:rFonts w:ascii="Arial" w:hAnsi="Arial"/>
          <w:b w:val="0"/>
          <w:i/>
          <w:color w:val="444455"/>
          <w:sz w:val="20"/>
        </w:rPr>
        <w:t>The minimum viable operator share. Below it, the system is no longer HUF-governed. It is tool-governed, which is the failure mode the framework exists to prevent.</w:t>
      </w:r>
    </w:p>
    <w:p>
      <w:pPr>
        <w:spacing w:before="280" w:after="80"/>
      </w:pPr>
      <w:r>
        <w:rPr>
          <w:rFonts w:ascii="Arial" w:hAnsi="Arial"/>
          <w:b/>
          <w:i w:val="0"/>
          <w:color w:val="1B6C76"/>
          <w:sz w:val="26"/>
        </w:rPr>
        <w:t>Why 51% — and not a higher number?</w:t>
      </w:r>
    </w:p>
    <w:p>
      <w:pPr>
        <w:spacing w:before="40" w:after="120"/>
      </w:pPr>
      <w:r>
        <w:rPr>
          <w:rFonts w:ascii="Arial" w:hAnsi="Arial"/>
          <w:b w:val="0"/>
          <w:i w:val="0"/>
          <w:color w:val="000000"/>
          <w:sz w:val="21"/>
        </w:rPr>
        <w:t>The 51% threshold is a hard floor, not a target. Targets are the maturity presets. The floor is set at 51% because:</w:t>
      </w:r>
    </w:p>
    <w:p>
      <w:pPr>
        <w:pStyle w:val="ListBullet"/>
        <w:spacing w:before="20" w:after="60"/>
        <w:ind w:left="504"/>
      </w:pPr>
      <w:r>
        <w:rPr>
          <w:rFonts w:ascii="Arial" w:hAnsi="Arial"/>
          <w:b w:val="0"/>
          <w:i w:val="0"/>
          <w:color w:val="000000"/>
          <w:sz w:val="21"/>
        </w:rPr>
        <w:t>It preserves human majority in any weighted readiness decision — the operator never loses the vote</w:t>
      </w:r>
    </w:p>
    <w:p>
      <w:pPr>
        <w:pStyle w:val="ListBullet"/>
        <w:spacing w:before="20" w:after="60"/>
        <w:ind w:left="504"/>
      </w:pPr>
      <w:r>
        <w:rPr>
          <w:rFonts w:ascii="Arial" w:hAnsi="Arial"/>
          <w:b w:val="0"/>
          <w:i w:val="0"/>
          <w:color w:val="000000"/>
          <w:sz w:val="21"/>
        </w:rPr>
        <w:t>It allows maximum tool contribution (49%) for operators with established trust</w:t>
      </w:r>
    </w:p>
    <w:p>
      <w:pPr>
        <w:pStyle w:val="ListBullet"/>
        <w:spacing w:before="20" w:after="60"/>
        <w:ind w:left="504"/>
      </w:pPr>
      <w:r>
        <w:rPr>
          <w:rFonts w:ascii="Arial" w:hAnsi="Arial"/>
          <w:b w:val="0"/>
          <w:i w:val="0"/>
          <w:color w:val="000000"/>
          <w:sz w:val="21"/>
        </w:rPr>
        <w:t>It maps to the democratic majority principle: one number, cleanly auditable</w:t>
      </w:r>
    </w:p>
    <w:p>
      <w:pPr>
        <w:pStyle w:val="ListBullet"/>
        <w:spacing w:before="20" w:after="60"/>
        <w:ind w:left="504"/>
      </w:pPr>
      <w:r>
        <w:rPr>
          <w:rFonts w:ascii="Arial" w:hAnsi="Arial"/>
          <w:b w:val="0"/>
          <w:i w:val="0"/>
          <w:color w:val="000000"/>
          <w:sz w:val="21"/>
        </w:rPr>
        <w:t>It matches the natural language of governance: 'the operator holds majority authority'</w:t>
      </w:r>
    </w:p>
    <w:p>
      <w:pPr>
        <w:spacing w:before="40" w:after="120"/>
      </w:pPr>
      <w:r>
        <w:rPr>
          <w:rFonts w:ascii="Arial" w:hAnsi="Arial"/>
          <w:b w:val="0"/>
          <w:i w:val="0"/>
          <w:color w:val="000000"/>
          <w:sz w:val="21"/>
        </w:rPr>
        <w:t>The 51% floor cannot be negotiated below. The maturity presets determine where operators actually operate within the range [0.51, 1.00].</w:t>
      </w:r>
    </w:p>
    <w:p>
      <w:pPr>
        <w:spacing w:before="280" w:after="80"/>
      </w:pPr>
      <w:r>
        <w:rPr>
          <w:rFonts w:ascii="Arial" w:hAnsi="Arial"/>
          <w:b/>
          <w:i w:val="0"/>
          <w:color w:val="1B6C76"/>
          <w:sz w:val="26"/>
        </w:rPr>
        <w:t>The maturity scale — how trust is earned</w:t>
      </w:r>
    </w:p>
    <w:p>
      <w:pPr>
        <w:spacing w:before="40" w:after="120"/>
      </w:pPr>
      <w:r>
        <w:rPr>
          <w:rFonts w:ascii="Arial" w:hAnsi="Arial"/>
          <w:b w:val="0"/>
          <w:i w:val="0"/>
          <w:color w:val="000000"/>
          <w:sz w:val="21"/>
        </w:rPr>
        <w:t>Tool trust is earned through demonstrated, traced performance — not assumed at the outset. The maturity scale reflects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A4A"/>
          </w:tcPr>
          <w:p>
            <w:r>
              <w:rPr>
                <w:b/>
                <w:color w:val="FFFFFF"/>
                <w:sz w:val="19"/>
              </w:rPr>
              <w:t>Level</w:t>
            </w:r>
          </w:p>
        </w:tc>
        <w:tc>
          <w:tcPr>
            <w:tcW w:type="dxa" w:w="1872"/>
            <w:shd w:val="clear" w:color="auto" w:fill="1A2A4A"/>
          </w:tcPr>
          <w:p>
            <w:r>
              <w:rPr>
                <w:b/>
                <w:color w:val="FFFFFF"/>
                <w:sz w:val="19"/>
              </w:rPr>
              <w:t>OP weight</w:t>
            </w:r>
          </w:p>
        </w:tc>
        <w:tc>
          <w:tcPr>
            <w:tcW w:type="dxa" w:w="1872"/>
            <w:shd w:val="clear" w:color="auto" w:fill="1A2A4A"/>
          </w:tcPr>
          <w:p>
            <w:r>
              <w:rPr>
                <w:b/>
                <w:color w:val="FFFFFF"/>
                <w:sz w:val="19"/>
              </w:rPr>
              <w:t>TOOL weight</w:t>
            </w:r>
          </w:p>
        </w:tc>
        <w:tc>
          <w:tcPr>
            <w:tcW w:type="dxa" w:w="1872"/>
            <w:shd w:val="clear" w:color="auto" w:fill="1A2A4A"/>
          </w:tcPr>
          <w:p>
            <w:r>
              <w:rPr>
                <w:b/>
                <w:color w:val="FFFFFF"/>
                <w:sz w:val="19"/>
              </w:rPr>
              <w:t>PEER weight</w:t>
            </w:r>
          </w:p>
        </w:tc>
        <w:tc>
          <w:tcPr>
            <w:tcW w:type="dxa" w:w="1872"/>
            <w:shd w:val="clear" w:color="auto" w:fill="1A2A4A"/>
          </w:tcPr>
          <w:p>
            <w:r>
              <w:rPr>
                <w:b/>
                <w:color w:val="FFFFFF"/>
                <w:sz w:val="19"/>
              </w:rPr>
              <w:t>When to use</w:t>
            </w:r>
          </w:p>
        </w:tc>
      </w:tr>
      <w:tr>
        <w:tc>
          <w:tcPr>
            <w:tcW w:type="dxa" w:w="1872"/>
            <w:shd w:val="clear" w:color="auto" w:fill="F4F6FA"/>
          </w:tcPr>
          <w:p>
            <w:r>
              <w:rPr>
                <w:sz w:val="19"/>
              </w:rPr>
              <w:t>Beginner (recommended start)</w:t>
            </w:r>
          </w:p>
        </w:tc>
        <w:tc>
          <w:tcPr>
            <w:tcW w:type="dxa" w:w="1872"/>
            <w:shd w:val="clear" w:color="auto" w:fill="F4F6FA"/>
          </w:tcPr>
          <w:p>
            <w:r>
              <w:rPr>
                <w:sz w:val="19"/>
              </w:rPr>
              <w:t>0.80</w:t>
            </w:r>
          </w:p>
        </w:tc>
        <w:tc>
          <w:tcPr>
            <w:tcW w:type="dxa" w:w="1872"/>
            <w:shd w:val="clear" w:color="auto" w:fill="F4F6FA"/>
          </w:tcPr>
          <w:p>
            <w:r>
              <w:rPr>
                <w:sz w:val="19"/>
              </w:rPr>
              <w:t>0.20</w:t>
            </w:r>
          </w:p>
        </w:tc>
        <w:tc>
          <w:tcPr>
            <w:tcW w:type="dxa" w:w="1872"/>
            <w:shd w:val="clear" w:color="auto" w:fill="F4F6FA"/>
          </w:tcPr>
          <w:p>
            <w:r>
              <w:rPr>
                <w:sz w:val="19"/>
              </w:rPr>
              <w:t>0.00</w:t>
            </w:r>
          </w:p>
        </w:tc>
        <w:tc>
          <w:tcPr>
            <w:tcW w:type="dxa" w:w="1872"/>
            <w:shd w:val="clear" w:color="auto" w:fill="F4F6FA"/>
          </w:tcPr>
          <w:p>
            <w:r>
              <w:rPr>
                <w:sz w:val="19"/>
              </w:rPr>
              <w:t>First HUF deployment; unfamiliar tools; high-stakes output</w:t>
            </w:r>
          </w:p>
        </w:tc>
      </w:tr>
      <w:tr>
        <w:tc>
          <w:tcPr>
            <w:tcW w:type="dxa" w:w="1872"/>
            <w:shd w:val="clear" w:color="auto" w:fill="FFFFFF"/>
          </w:tcPr>
          <w:p>
            <w:r>
              <w:rPr>
                <w:sz w:val="19"/>
              </w:rPr>
              <w:t>Standard team</w:t>
            </w:r>
          </w:p>
        </w:tc>
        <w:tc>
          <w:tcPr>
            <w:tcW w:type="dxa" w:w="1872"/>
            <w:shd w:val="clear" w:color="auto" w:fill="FFFFFF"/>
          </w:tcPr>
          <w:p>
            <w:r>
              <w:rPr>
                <w:sz w:val="19"/>
              </w:rPr>
              <w:t>0.65</w:t>
            </w:r>
          </w:p>
        </w:tc>
        <w:tc>
          <w:tcPr>
            <w:tcW w:type="dxa" w:w="1872"/>
            <w:shd w:val="clear" w:color="auto" w:fill="FFFFFF"/>
          </w:tcPr>
          <w:p>
            <w:r>
              <w:rPr>
                <w:sz w:val="19"/>
              </w:rPr>
              <w:t>0.20</w:t>
            </w:r>
          </w:p>
        </w:tc>
        <w:tc>
          <w:tcPr>
            <w:tcW w:type="dxa" w:w="1872"/>
            <w:shd w:val="clear" w:color="auto" w:fill="FFFFFF"/>
          </w:tcPr>
          <w:p>
            <w:r>
              <w:rPr>
                <w:sz w:val="19"/>
              </w:rPr>
              <w:t>0.15</w:t>
            </w:r>
          </w:p>
        </w:tc>
        <w:tc>
          <w:tcPr>
            <w:tcW w:type="dxa" w:w="1872"/>
            <w:shd w:val="clear" w:color="auto" w:fill="FFFFFF"/>
          </w:tcPr>
          <w:p>
            <w:r>
              <w:rPr>
                <w:sz w:val="19"/>
              </w:rPr>
              <w:t>Established workflow; peer review present</w:t>
            </w:r>
          </w:p>
        </w:tc>
      </w:tr>
      <w:tr>
        <w:tc>
          <w:tcPr>
            <w:tcW w:type="dxa" w:w="1872"/>
            <w:shd w:val="clear" w:color="auto" w:fill="F4F6FA"/>
          </w:tcPr>
          <w:p>
            <w:r>
              <w:rPr>
                <w:sz w:val="19"/>
              </w:rPr>
              <w:t>Mature experimental (Peter's current setting)</w:t>
            </w:r>
          </w:p>
        </w:tc>
        <w:tc>
          <w:tcPr>
            <w:tcW w:type="dxa" w:w="1872"/>
            <w:shd w:val="clear" w:color="auto" w:fill="F4F6FA"/>
          </w:tcPr>
          <w:p>
            <w:r>
              <w:rPr>
                <w:sz w:val="19"/>
              </w:rPr>
              <w:t>0.51</w:t>
            </w:r>
          </w:p>
        </w:tc>
        <w:tc>
          <w:tcPr>
            <w:tcW w:type="dxa" w:w="1872"/>
            <w:shd w:val="clear" w:color="auto" w:fill="F4F6FA"/>
          </w:tcPr>
          <w:p>
            <w:r>
              <w:rPr>
                <w:sz w:val="19"/>
              </w:rPr>
              <w:t>0.49</w:t>
            </w:r>
          </w:p>
        </w:tc>
        <w:tc>
          <w:tcPr>
            <w:tcW w:type="dxa" w:w="1872"/>
            <w:shd w:val="clear" w:color="auto" w:fill="F4F6FA"/>
          </w:tcPr>
          <w:p>
            <w:r>
              <w:rPr>
                <w:sz w:val="19"/>
              </w:rPr>
              <w:t>0.00</w:t>
            </w:r>
          </w:p>
        </w:tc>
        <w:tc>
          <w:tcPr>
            <w:tcW w:type="dxa" w:w="1872"/>
            <w:shd w:val="clear" w:color="auto" w:fill="F4F6FA"/>
          </w:tcPr>
          <w:p>
            <w:r>
              <w:rPr>
                <w:sz w:val="19"/>
              </w:rPr>
              <w:t>Many iterations; traced decisions; explicit operator opt-in</w:t>
            </w:r>
          </w:p>
        </w:tc>
      </w:tr>
    </w:tbl>
    <w:p>
      <w:pPr>
        <w:spacing w:before="40" w:after="160"/>
      </w:pP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Peter has set OP=0.51 / TOOL=0.49 for his current workflow. This is the maximum allowed tool weight — reached only after many iterations and with full trace records. For a beginner or new deployment, the starting point is OP=0.80 / TOOL=0.20.</w:t>
      </w:r>
    </w:p>
    <w:p>
      <w:pPr>
        <w:spacing w:before="280" w:after="80"/>
      </w:pPr>
      <w:r>
        <w:rPr>
          <w:rFonts w:ascii="Arial" w:hAnsi="Arial"/>
          <w:b/>
          <w:i w:val="0"/>
          <w:color w:val="1B6C76"/>
          <w:sz w:val="26"/>
        </w:rPr>
        <w:t>What weights control — and what they do not</w:t>
      </w:r>
    </w:p>
    <w:p>
      <w:pPr>
        <w:spacing w:before="40" w:after="120"/>
      </w:pPr>
      <w:r>
        <w:rPr>
          <w:rFonts w:ascii="Arial" w:hAnsi="Arial"/>
          <w:b w:val="0"/>
          <w:i w:val="0"/>
          <w:color w:val="000000"/>
          <w:sz w:val="21"/>
        </w:rPr>
        <w:t>The weights apply only to draft readiness scoring. The readiness formula is:</w:t>
      </w:r>
    </w:p>
    <w:p>
      <w:pPr>
        <w:spacing w:before="80" w:after="160"/>
        <w:ind w:left="432" w:right="432"/>
        <w:shd w:val="clear" w:color="auto" w:fill="F0F0F0"/>
      </w:pPr>
      <w:r>
        <w:rPr>
          <w:rFonts w:ascii="Courier New" w:hAnsi="Courier New"/>
          <w:b w:val="0"/>
          <w:i w:val="0"/>
          <w:color w:val="1A2A4A"/>
          <w:sz w:val="18"/>
        </w:rPr>
        <w:t>R = w_OP · R_OP + w_TOOL · R_TOOL + w_PEER · R_PEER</w:t>
        <w:br/>
        <w:br/>
        <w:t>Where:</w:t>
        <w:br/>
        <w:t xml:space="preserve">  R_OP   = operator's readiness score for the document (0.0 to 1.0)</w:t>
        <w:br/>
        <w:t xml:space="preserve">  R_TOOL = tool's readiness score for the document (0.0 to 1.0)</w:t>
        <w:br/>
        <w:t xml:space="preserve">  R_PEER = peer reviewer's score (0.0 to 1.0, or 0 if no peer)</w:t>
        <w:br/>
        <w:br/>
        <w:t>If R &gt;= threshold (e.g. 0.80): document proceeds to release consideration.</w:t>
      </w:r>
    </w:p>
    <w:p>
      <w:pPr>
        <w:spacing w:before="40" w:after="120"/>
      </w:pPr>
      <w:r>
        <w:rPr>
          <w:rFonts w:ascii="Arial" w:hAnsi="Arial"/>
          <w:b w:val="0"/>
          <w:i w:val="0"/>
          <w:color w:val="000000"/>
          <w:sz w:val="21"/>
        </w:rPr>
        <w:t>Weights do NOT apply to release decisions. Release / publish / send / commit / merge is always a human-only gate — no exceptions, no automated publication, no 'the score was high enough so the AI posted it'.</w:t>
      </w:r>
    </w:p>
    <w:p>
      <w:pPr>
        <w:spacing w:before="80" w:after="160"/>
        <w:ind w:left="288" w:right="288"/>
        <w:shd w:val="clear" w:color="auto" w:fill="E8F4F8"/>
      </w:pPr>
      <w:r>
        <w:rPr>
          <w:rFonts w:ascii="Arial" w:hAnsi="Arial"/>
          <w:b/>
          <w:i w:val="0"/>
          <w:color w:val="1B6C76"/>
          <w:sz w:val="20"/>
        </w:rPr>
        <w:t xml:space="preserve">Analogy:  </w:t>
      </w:r>
      <w:r>
        <w:rPr>
          <w:rFonts w:ascii="Arial" w:hAnsi="Arial"/>
          <w:b w:val="0"/>
          <w:i/>
          <w:color w:val="444455"/>
          <w:sz w:val="20"/>
        </w:rPr>
        <w:t>The weighted readiness score is the monitoring layer. The release gate is the governance decision — and governance decisions, in HUF, are always declared by a human operator.</w:t>
      </w:r>
    </w:p>
    <w:p>
      <w:pPr>
        <w:spacing w:before="280" w:after="80"/>
      </w:pPr>
      <w:r>
        <w:rPr>
          <w:rFonts w:ascii="Arial" w:hAnsi="Arial"/>
          <w:b/>
          <w:i w:val="0"/>
          <w:color w:val="1B6C76"/>
          <w:sz w:val="26"/>
        </w:rPr>
        <w:t>The HUF Working Contract (embedded example)</w:t>
      </w:r>
    </w:p>
    <w:p>
      <w:pPr>
        <w:spacing w:before="40" w:after="120"/>
      </w:pPr>
      <w:r>
        <w:rPr>
          <w:rFonts w:ascii="Arial" w:hAnsi="Arial"/>
          <w:b w:val="0"/>
          <w:i w:val="0"/>
          <w:color w:val="000000"/>
          <w:sz w:val="21"/>
        </w:rPr>
        <w:t>The working contract is the operator's declaration of their governance posture. It is machine-readable (embedded in the manifest compliance fields) and human-readable (as a standalone document block). Every HUF deployment begins with a contract declaration.</w:t>
      </w:r>
    </w:p>
    <w:p>
      <w:pPr>
        <w:spacing w:before="80" w:after="160"/>
        <w:ind w:left="432" w:right="432"/>
        <w:shd w:val="clear" w:color="auto" w:fill="F0F0F0"/>
      </w:pPr>
      <w:r>
        <w:rPr>
          <w:rFonts w:ascii="Courier New" w:hAnsi="Courier New"/>
          <w:b w:val="0"/>
          <w:i w:val="0"/>
          <w:color w:val="1A2A4A"/>
          <w:sz w:val="18"/>
        </w:rPr>
        <w:t>───────────────────────────────────────────────────────</w:t>
        <w:br/>
        <w:t>HUF WORKING CONTRACT — PETER HIGGINS (MATURE EXPERIMENTAL)</w:t>
        <w:br/>
        <w:t>───────────────────────────────────────────────────────</w:t>
        <w:br/>
        <w:t>Contract ID:     HUF.REL.ORG.CONTRACT.OPERATOR_CONTROL</w:t>
        <w:br/>
        <w:t>HUF Version:     1.2.0  |  Date: March 2026</w:t>
        <w:br/>
        <w:br/>
        <w:t>PARTIES</w:t>
        <w:br/>
        <w:t>Responsible Operator (RO): Peter Higgins · Rogue Wave Audio</w:t>
        <w:br/>
        <w:t>Tools (collective):  Claude · ChatGPT · Grok · Gemini · Copilot</w:t>
        <w:br/>
        <w:br/>
        <w:t>SCOPE</w:t>
        <w:br/>
        <w:t>Documentation + research workflow for the Higgins Unity Framework.</w:t>
        <w:br/>
        <w:t>Applies to: all documents, case studies, outreach materials, code.</w:t>
        <w:br/>
        <w:br/>
        <w:t>DECLARED WEIGHTS (readiness review)</w:t>
        <w:br/>
        <w:t xml:space="preserve">  w_OP   = 0.51   (operator — minimum compliant; many iterations established)</w:t>
        <w:br/>
        <w:t xml:space="preserve">  w_TOOL = 0.49   (collective — maximum allowed)</w:t>
        <w:br/>
        <w:t xml:space="preserve">  w_PEER = 0.00   (no external peer review at this stage)</w:t>
        <w:br/>
        <w:br/>
        <w:t>HARD CAPS (invariant — cannot be overridden by any party)</w:t>
        <w:br/>
        <w:t xml:space="preserve">  OP_MIN  = 0.51</w:t>
        <w:br/>
        <w:t xml:space="preserve">  TOOL_MAX = 0.49</w:t>
        <w:br/>
        <w:br/>
        <w:t>READINESS SCORING</w:t>
        <w:br/>
        <w:t xml:space="preserve">  R = 0.51·R_OP + 0.49·R_TOOL   |   Release threshold: R &gt;= 0.80</w:t>
        <w:br/>
        <w:br/>
        <w:t>RELEASE GATE (human-only)</w:t>
        <w:br/>
        <w:t xml:space="preserve">  No automated publication. No AI-initiated dispatch.</w:t>
        <w:br/>
        <w:t xml:space="preserve">  All release decisions require explicit operator approval.</w:t>
        <w:br/>
        <w:br/>
        <w:t>COMPLIANCE REQUIREMENTS (per document)</w:t>
        <w:br/>
        <w:t xml:space="preserve">  [✓] Weights declared in header (WEIGHTS field)</w:t>
        <w:br/>
        <w:t xml:space="preserve">  [✓] Caps satisfied (OP &gt;= 0.51, TOOL &lt;= 0.49)</w:t>
        <w:br/>
        <w:t xml:space="preserve">  [✓] RO named (RO field in line 1)</w:t>
        <w:br/>
        <w:t xml:space="preserve">  [✓] Supersession chain present (if replacing prior document)</w:t>
        <w:br/>
        <w:t xml:space="preserve">  [✓] Trace record attached or referenced</w:t>
        <w:br/>
        <w:t>───────────────────────────────────────────────────────</w:t>
      </w:r>
    </w:p>
    <w:p>
      <w:pPr>
        <w:spacing w:before="280" w:after="80"/>
      </w:pPr>
      <w:r>
        <w:rPr>
          <w:rFonts w:ascii="Arial" w:hAnsi="Arial"/>
          <w:b/>
          <w:i w:val="0"/>
          <w:color w:val="1B6C76"/>
          <w:sz w:val="26"/>
        </w:rPr>
        <w:t>Compliance monitoring — HUF applied to the governance system</w:t>
      </w:r>
    </w:p>
    <w:p>
      <w:pPr>
        <w:spacing w:before="40" w:after="120"/>
      </w:pPr>
      <w:r>
        <w:rPr>
          <w:rFonts w:ascii="Arial" w:hAnsi="Arial"/>
          <w:b w:val="0"/>
          <w:i w:val="0"/>
          <w:color w:val="000000"/>
          <w:sz w:val="21"/>
        </w:rPr>
        <w:t>The same diagnostic lens HUF applies to Crna Mlaka and the Dage X-ray inspection portfolio applies to the operator/tool relationship itself:</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HUF concept</w:t>
            </w:r>
          </w:p>
        </w:tc>
        <w:tc>
          <w:tcPr>
            <w:tcW w:type="dxa" w:w="4680"/>
            <w:shd w:val="clear" w:color="auto" w:fill="1A2A4A"/>
          </w:tcPr>
          <w:p>
            <w:r>
              <w:rPr>
                <w:b/>
                <w:color w:val="FFFFFF"/>
                <w:sz w:val="19"/>
              </w:rPr>
              <w:t>In governance system</w:t>
            </w:r>
          </w:p>
        </w:tc>
      </w:tr>
      <w:tr>
        <w:tc>
          <w:tcPr>
            <w:tcW w:type="dxa" w:w="4680"/>
            <w:shd w:val="clear" w:color="auto" w:fill="F4F6FA"/>
          </w:tcPr>
          <w:p>
            <w:r>
              <w:rPr>
                <w:sz w:val="19"/>
              </w:rPr>
              <w:t>Portfolio share (ρ)</w:t>
            </w:r>
          </w:p>
        </w:tc>
        <w:tc>
          <w:tcPr>
            <w:tcW w:type="dxa" w:w="4680"/>
            <w:shd w:val="clear" w:color="auto" w:fill="F4F6FA"/>
          </w:tcPr>
          <w:p>
            <w:r>
              <w:rPr>
                <w:sz w:val="19"/>
              </w:rPr>
              <w:t>Operator weight: w_OP = 0.51</w:t>
            </w:r>
          </w:p>
        </w:tc>
      </w:tr>
      <w:tr>
        <w:tc>
          <w:tcPr>
            <w:tcW w:type="dxa" w:w="4680"/>
            <w:shd w:val="clear" w:color="auto" w:fill="FFFFFF"/>
          </w:tcPr>
          <w:p>
            <w:r>
              <w:rPr>
                <w:sz w:val="19"/>
              </w:rPr>
              <w:t>Minimum viable share</w:t>
            </w:r>
          </w:p>
        </w:tc>
        <w:tc>
          <w:tcPr>
            <w:tcW w:type="dxa" w:w="4680"/>
            <w:shd w:val="clear" w:color="auto" w:fill="FFFFFF"/>
          </w:tcPr>
          <w:p>
            <w:r>
              <w:rPr>
                <w:sz w:val="19"/>
              </w:rPr>
              <w:t>Orphan alert when w_OP &lt; 0.51 → document noncompliant</w:t>
            </w:r>
          </w:p>
        </w:tc>
      </w:tr>
      <w:tr>
        <w:tc>
          <w:tcPr>
            <w:tcW w:type="dxa" w:w="4680"/>
            <w:shd w:val="clear" w:color="auto" w:fill="F4F6FA"/>
          </w:tcPr>
          <w:p>
            <w:r>
              <w:rPr>
                <w:sz w:val="19"/>
              </w:rPr>
              <w:t>Leverage (L = 1/ρ)</w:t>
            </w:r>
          </w:p>
        </w:tc>
        <w:tc>
          <w:tcPr>
            <w:tcW w:type="dxa" w:w="4680"/>
            <w:shd w:val="clear" w:color="auto" w:fill="F4F6FA"/>
          </w:tcPr>
          <w:p>
            <w:r>
              <w:rPr>
                <w:sz w:val="19"/>
              </w:rPr>
              <w:t>At w_OP = 0.51, L_OP = 1.96 (majority, low leverage). At w_OP = 0.20 (non-compliant), L_OP = 5.0 (minority, high governance risk)</w:t>
            </w:r>
          </w:p>
        </w:tc>
      </w:tr>
      <w:tr>
        <w:tc>
          <w:tcPr>
            <w:tcW w:type="dxa" w:w="4680"/>
            <w:shd w:val="clear" w:color="auto" w:fill="FFFFFF"/>
          </w:tcPr>
          <w:p>
            <w:r>
              <w:rPr>
                <w:sz w:val="19"/>
              </w:rPr>
              <w:t>Silent drift</w:t>
            </w:r>
          </w:p>
        </w:tc>
        <w:tc>
          <w:tcPr>
            <w:tcW w:type="dxa" w:w="4680"/>
            <w:shd w:val="clear" w:color="auto" w:fill="FFFFFF"/>
          </w:tcPr>
          <w:p>
            <w:r>
              <w:rPr>
                <w:sz w:val="19"/>
              </w:rPr>
              <w:t>Declared OP=0.80 but operator systematically accepts tool output without review → actual share &lt; declared</w:t>
            </w:r>
          </w:p>
        </w:tc>
      </w:tr>
      <w:tr>
        <w:tc>
          <w:tcPr>
            <w:tcW w:type="dxa" w:w="4680"/>
            <w:shd w:val="clear" w:color="auto" w:fill="F4F6FA"/>
          </w:tcPr>
          <w:p>
            <w:r>
              <w:rPr>
                <w:sz w:val="19"/>
              </w:rPr>
              <w:t>Ground state</w:t>
            </w:r>
          </w:p>
        </w:tc>
        <w:tc>
          <w:tcPr>
            <w:tcW w:type="dxa" w:w="4680"/>
            <w:shd w:val="clear" w:color="auto" w:fill="F4F6FA"/>
          </w:tcPr>
          <w:p>
            <w:r>
              <w:rPr>
                <w:sz w:val="19"/>
              </w:rPr>
              <w:t>All decisions declared; no undocumented tool overrides; trace record complete</w:t>
            </w:r>
          </w:p>
        </w:tc>
      </w:tr>
      <w:tr>
        <w:tc>
          <w:tcPr>
            <w:tcW w:type="dxa" w:w="4680"/>
            <w:shd w:val="clear" w:color="auto" w:fill="FFFFFF"/>
          </w:tcPr>
          <w:p>
            <w:r>
              <w:rPr>
                <w:sz w:val="19"/>
              </w:rPr>
              <w:t>Intentional reweighting</w:t>
            </w:r>
          </w:p>
        </w:tc>
        <w:tc>
          <w:tcPr>
            <w:tcW w:type="dxa" w:w="4680"/>
            <w:shd w:val="clear" w:color="auto" w:fill="FFFFFF"/>
          </w:tcPr>
          <w:p>
            <w:r>
              <w:rPr>
                <w:sz w:val="19"/>
              </w:rPr>
              <w:t>Operator explicitly declares maturity upgrade: 'I am moving from OP=0.80 to OP=0.65 — conditions met'</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 — How the Three Systems Work Together</w:t>
      </w:r>
    </w:p>
    <w:p>
      <w:pPr>
        <w:spacing w:before="40" w:after="120"/>
      </w:pPr>
      <w:r>
        <w:rPr>
          <w:rFonts w:ascii="Arial" w:hAnsi="Arial"/>
          <w:b w:val="0"/>
          <w:i w:val="0"/>
          <w:color w:val="000000"/>
          <w:sz w:val="21"/>
        </w:rPr>
        <w:t>The document coding system, the library management system, and the operator control contract are not independent specifications. They are three layers of a single governance instrument applied to the HUF library itself.</w:t>
      </w:r>
    </w:p>
    <w:p>
      <w:pPr>
        <w:spacing w:before="280" w:after="80"/>
      </w:pPr>
      <w:r>
        <w:rPr>
          <w:rFonts w:ascii="Arial" w:hAnsi="Arial"/>
          <w:b/>
          <w:i w:val="0"/>
          <w:color w:val="1B6C76"/>
          <w:sz w:val="26"/>
        </w:rPr>
        <w:t>Layer 1 — The header makes every document self-describing</w:t>
      </w:r>
    </w:p>
    <w:p>
      <w:pPr>
        <w:spacing w:before="40" w:after="120"/>
      </w:pPr>
      <w:r>
        <w:rPr>
          <w:rFonts w:ascii="Arial" w:hAnsi="Arial"/>
          <w:b w:val="0"/>
          <w:i w:val="0"/>
          <w:color w:val="000000"/>
          <w:sz w:val="21"/>
        </w:rPr>
        <w:t>When any AI system opens an HUF document, the first two lines give it everything needed to orient itself: what this document is, how strong its claims are, whether it is canonical, and what governance posture it carries. A new AI collaborator reading the header of ramsar_contact_primer_v12.docx knows immediately that it is a DRAFT, that it belongs to the PARTNER domain, that it carries evidence level E1, and that the operator's declared weight for this document is OP=0.80.</w:t>
      </w:r>
    </w:p>
    <w:p>
      <w:pPr>
        <w:spacing w:before="280" w:after="80"/>
      </w:pPr>
      <w:r>
        <w:rPr>
          <w:rFonts w:ascii="Arial" w:hAnsi="Arial"/>
          <w:b/>
          <w:i w:val="0"/>
          <w:color w:val="1B6C76"/>
          <w:sz w:val="26"/>
        </w:rPr>
        <w:t>Layer 2 — The manifest keeps the library coherent</w:t>
      </w:r>
    </w:p>
    <w:p>
      <w:pPr>
        <w:spacing w:before="40" w:after="120"/>
      </w:pPr>
      <w:r>
        <w:rPr>
          <w:rFonts w:ascii="Arial" w:hAnsi="Arial"/>
          <w:b w:val="0"/>
          <w:i w:val="0"/>
          <w:color w:val="000000"/>
          <w:sz w:val="21"/>
        </w:rPr>
        <w:t>As the collective produces new documents, the manifest prevents collisions and tracks the supersession chain. When a new version of the Ramsar primer is produced (v13, v14, v15), each supersedes the previous. The manifest records this chain. A future AI collaborator reading the manifest knows which is canonical and why — without having to compare file contents.</w:t>
      </w:r>
    </w:p>
    <w:p>
      <w:pPr>
        <w:spacing w:before="280" w:after="80"/>
      </w:pPr>
      <w:r>
        <w:rPr>
          <w:rFonts w:ascii="Arial" w:hAnsi="Arial"/>
          <w:b/>
          <w:i w:val="0"/>
          <w:color w:val="1B6C76"/>
          <w:sz w:val="26"/>
        </w:rPr>
        <w:t>Layer 3 — The operator control contract prevents tool takeover</w:t>
      </w:r>
    </w:p>
    <w:p>
      <w:pPr>
        <w:spacing w:before="40" w:after="120"/>
      </w:pPr>
      <w:r>
        <w:rPr>
          <w:rFonts w:ascii="Arial" w:hAnsi="Arial"/>
          <w:b w:val="0"/>
          <w:i w:val="0"/>
          <w:color w:val="000000"/>
          <w:sz w:val="21"/>
        </w:rPr>
        <w:t>The operator control contract is the invariant that all other governance rests on. If the header says OP=0.80 but the operator is actually accepting tool output uncritically, the observed OP share has drifted below the declared value. This is FM-2 (silent reweighting) applied to the governance system. The contract makes this drift detectable and non-compliant.</w:t>
      </w:r>
    </w:p>
    <w:p>
      <w:pPr>
        <w:spacing w:before="280" w:after="80"/>
      </w:pPr>
      <w:r>
        <w:rPr>
          <w:rFonts w:ascii="Arial" w:hAnsi="Arial"/>
          <w:b/>
          <w:i w:val="0"/>
          <w:color w:val="1B6C76"/>
          <w:sz w:val="26"/>
        </w:rPr>
        <w:t>The result — a self-describing, self-governing library</w:t>
      </w:r>
    </w:p>
    <w:p>
      <w:pPr>
        <w:spacing w:before="40" w:after="120"/>
      </w:pPr>
      <w:r>
        <w:rPr>
          <w:rFonts w:ascii="Arial" w:hAnsi="Arial"/>
          <w:b w:val="0"/>
          <w:i w:val="0"/>
          <w:color w:val="000000"/>
          <w:sz w:val="21"/>
        </w:rPr>
        <w:t>A library governed by all three systems can answer, for any document:</w:t>
      </w:r>
    </w:p>
    <w:p>
      <w:pPr>
        <w:pStyle w:val="ListBullet"/>
        <w:spacing w:before="20" w:after="60"/>
        <w:ind w:left="504"/>
      </w:pPr>
      <w:r>
        <w:rPr>
          <w:rFonts w:ascii="Arial" w:hAnsi="Arial"/>
          <w:b w:val="0"/>
          <w:i w:val="0"/>
          <w:color w:val="000000"/>
          <w:sz w:val="21"/>
        </w:rPr>
        <w:t>Who is responsible for it? (RO field)</w:t>
      </w:r>
    </w:p>
    <w:p>
      <w:pPr>
        <w:pStyle w:val="ListBullet"/>
        <w:spacing w:before="20" w:after="60"/>
        <w:ind w:left="504"/>
      </w:pPr>
      <w:r>
        <w:rPr>
          <w:rFonts w:ascii="Arial" w:hAnsi="Arial"/>
          <w:b w:val="0"/>
          <w:i w:val="0"/>
          <w:color w:val="000000"/>
          <w:sz w:val="21"/>
        </w:rPr>
        <w:t>What is its current status? (STATUS field)</w:t>
      </w:r>
    </w:p>
    <w:p>
      <w:pPr>
        <w:pStyle w:val="ListBullet"/>
        <w:spacing w:before="20" w:after="60"/>
        <w:ind w:left="504"/>
      </w:pPr>
      <w:r>
        <w:rPr>
          <w:rFonts w:ascii="Arial" w:hAnsi="Arial"/>
          <w:b w:val="0"/>
          <w:i w:val="0"/>
          <w:color w:val="000000"/>
          <w:sz w:val="21"/>
        </w:rPr>
        <w:t>How strong are its claims? (EVID + POSTURE fields)</w:t>
      </w:r>
    </w:p>
    <w:p>
      <w:pPr>
        <w:pStyle w:val="ListBullet"/>
        <w:spacing w:before="20" w:after="60"/>
        <w:ind w:left="504"/>
      </w:pPr>
      <w:r>
        <w:rPr>
          <w:rFonts w:ascii="Arial" w:hAnsi="Arial"/>
          <w:b w:val="0"/>
          <w:i w:val="0"/>
          <w:color w:val="000000"/>
          <w:sz w:val="21"/>
        </w:rPr>
        <w:t>What has it superseded? (supersedes chain in manifest)</w:t>
      </w:r>
    </w:p>
    <w:p>
      <w:pPr>
        <w:pStyle w:val="ListBullet"/>
        <w:spacing w:before="20" w:after="60"/>
        <w:ind w:left="504"/>
      </w:pPr>
      <w:r>
        <w:rPr>
          <w:rFonts w:ascii="Arial" w:hAnsi="Arial"/>
          <w:b w:val="0"/>
          <w:i w:val="0"/>
          <w:color w:val="000000"/>
          <w:sz w:val="21"/>
        </w:rPr>
        <w:t>What is the operator/tool balance for this document? (WEIGHTS + CAP fields)</w:t>
      </w:r>
    </w:p>
    <w:p>
      <w:pPr>
        <w:pStyle w:val="ListBullet"/>
        <w:spacing w:before="20" w:after="60"/>
        <w:ind w:left="504"/>
      </w:pPr>
      <w:r>
        <w:rPr>
          <w:rFonts w:ascii="Arial" w:hAnsi="Arial"/>
          <w:b w:val="0"/>
          <w:i w:val="0"/>
          <w:color w:val="000000"/>
          <w:sz w:val="21"/>
        </w:rPr>
        <w:t>Is it compliant with the governance standard? (compliance fields in manifest)</w:t>
      </w:r>
    </w:p>
    <w:p>
      <w:pPr>
        <w:spacing w:before="40" w:after="120"/>
      </w:pPr>
      <w:r>
        <w:rPr>
          <w:rFonts w:ascii="Arial" w:hAnsi="Arial"/>
          <w:b w:val="0"/>
          <w:i w:val="0"/>
          <w:color w:val="000000"/>
          <w:sz w:val="21"/>
        </w:rPr>
        <w:t>These questions are answerable by a human reading the header, and by an AI system parsing the manifest. The library is simultaneously human-readable and machine-readable — and it applies to itself the same governance logic that HUF applies to wetland portfolios, electronics inspection programmes, and software retrieval pipelines.</w:t>
      </w:r>
    </w:p>
    <w:p>
      <w:pPr>
        <w:spacing w:before="80" w:after="160"/>
        <w:ind w:left="288" w:right="288"/>
        <w:shd w:val="clear" w:color="auto" w:fill="E8F4F8"/>
      </w:pPr>
      <w:r>
        <w:rPr>
          <w:rFonts w:ascii="Arial" w:hAnsi="Arial"/>
          <w:b/>
          <w:i w:val="0"/>
          <w:color w:val="1B6C76"/>
          <w:sz w:val="20"/>
        </w:rPr>
        <w:t xml:space="preserve">Reflexive governance:  </w:t>
      </w:r>
      <w:r>
        <w:rPr>
          <w:rFonts w:ascii="Arial" w:hAnsi="Arial"/>
          <w:b w:val="0"/>
          <w:i/>
          <w:color w:val="444455"/>
          <w:sz w:val="20"/>
        </w:rPr>
        <w:t>HUF applied to the HUF library is the strongest possible demonstration of domain invariance. If the same instrument can govern a 93,590-hectare wetland portfolio and a documentation library of 25 files, the structural claim is not theoretical — it is operational.</w:t>
      </w:r>
    </w:p>
    <w:p>
      <w:r>
        <w:br w:type="page"/>
      </w:r>
    </w:p>
    <w:p>
      <w:pPr>
        <w:keepNext/>
        <w:pBdr>
          <w:bottom w:val="single" w:sz="8" w:space="4" w:color="1B6C76"/>
        </w:pBdr>
        <w:spacing w:before="400" w:after="120"/>
      </w:pPr>
      <w:r>
        <w:rPr>
          <w:rFonts w:ascii="Arial" w:hAnsi="Arial"/>
          <w:b/>
          <w:i w:val="0"/>
          <w:color w:val="1A2A4A"/>
          <w:sz w:val="34"/>
        </w:rPr>
        <w:t>Part VI — Current Corpus Volume Assignment (25 Files)</w:t>
      </w:r>
    </w:p>
    <w:p>
      <w:pPr>
        <w:spacing w:before="40" w:after="120"/>
      </w:pPr>
      <w:r>
        <w:rPr>
          <w:rFonts w:ascii="Arial" w:hAnsi="Arial"/>
          <w:b w:val="0"/>
          <w:i w:val="0"/>
          <w:color w:val="000000"/>
          <w:sz w:val="21"/>
        </w:rPr>
        <w:t>The following table assigns every document in the February 2026 corpus to a volume. All 25 files are accounted for. Note that some files are shared across volumes (e.g. Book1.xlsx is referenced in both Vol 3 and Vol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File</w:t>
            </w:r>
          </w:p>
        </w:tc>
        <w:tc>
          <w:tcPr>
            <w:tcW w:type="dxa" w:w="2340"/>
            <w:shd w:val="clear" w:color="auto" w:fill="1A2A4A"/>
          </w:tcPr>
          <w:p>
            <w:r>
              <w:rPr>
                <w:b/>
                <w:color w:val="FFFFFF"/>
                <w:sz w:val="19"/>
              </w:rPr>
              <w:t>Volume</w:t>
            </w:r>
          </w:p>
        </w:tc>
        <w:tc>
          <w:tcPr>
            <w:tcW w:type="dxa" w:w="2340"/>
            <w:shd w:val="clear" w:color="auto" w:fill="1A2A4A"/>
          </w:tcPr>
          <w:p>
            <w:r>
              <w:rPr>
                <w:b/>
                <w:color w:val="FFFFFF"/>
                <w:sz w:val="19"/>
              </w:rPr>
              <w:t>Status</w:t>
            </w:r>
          </w:p>
        </w:tc>
        <w:tc>
          <w:tcPr>
            <w:tcW w:type="dxa" w:w="2340"/>
            <w:shd w:val="clear" w:color="auto" w:fill="1A2A4A"/>
          </w:tcPr>
          <w:p>
            <w:r>
              <w:rPr>
                <w:b/>
                <w:color w:val="FFFFFF"/>
                <w:sz w:val="19"/>
              </w:rPr>
              <w:t>Note</w:t>
            </w:r>
          </w:p>
        </w:tc>
      </w:tr>
      <w:tr>
        <w:tc>
          <w:tcPr>
            <w:tcW w:type="dxa" w:w="2340"/>
            <w:shd w:val="clear" w:color="auto" w:fill="F4F6FA"/>
          </w:tcPr>
          <w:p>
            <w:r>
              <w:rPr>
                <w:sz w:val="19"/>
              </w:rPr>
              <w:t>HUF_Handbook_v1.2.0.docx</w:t>
            </w:r>
          </w:p>
        </w:tc>
        <w:tc>
          <w:tcPr>
            <w:tcW w:type="dxa" w:w="2340"/>
            <w:shd w:val="clear" w:color="auto" w:fill="F4F6FA"/>
          </w:tcPr>
          <w:p>
            <w:r>
              <w:rPr>
                <w:sz w:val="19"/>
              </w:rPr>
              <w:t>1 + 2</w:t>
            </w:r>
          </w:p>
        </w:tc>
        <w:tc>
          <w:tcPr>
            <w:tcW w:type="dxa" w:w="2340"/>
            <w:shd w:val="clear" w:color="auto" w:fill="F4F6FA"/>
          </w:tcPr>
          <w:p>
            <w:r>
              <w:rPr>
                <w:sz w:val="19"/>
              </w:rPr>
              <w:t>release</w:t>
            </w:r>
          </w:p>
        </w:tc>
        <w:tc>
          <w:tcPr>
            <w:tcW w:type="dxa" w:w="2340"/>
            <w:shd w:val="clear" w:color="auto" w:fill="F4F6FA"/>
          </w:tcPr>
          <w:p>
            <w:r>
              <w:rPr>
                <w:sz w:val="19"/>
              </w:rPr>
              <w:t>Core reference for both orientation and operator handbook</w:t>
            </w:r>
          </w:p>
        </w:tc>
      </w:tr>
      <w:tr>
        <w:tc>
          <w:tcPr>
            <w:tcW w:type="dxa" w:w="2340"/>
            <w:shd w:val="clear" w:color="auto" w:fill="FFFFFF"/>
          </w:tcPr>
          <w:p>
            <w:r>
              <w:rPr>
                <w:sz w:val="19"/>
              </w:rPr>
              <w:t>wiki_fourth_monitoring_category_expanded.md</w:t>
            </w:r>
          </w:p>
        </w:tc>
        <w:tc>
          <w:tcPr>
            <w:tcW w:type="dxa" w:w="2340"/>
            <w:shd w:val="clear" w:color="auto" w:fill="FFFFFF"/>
          </w:tcPr>
          <w:p>
            <w:r>
              <w:rPr>
                <w:sz w:val="19"/>
              </w:rPr>
              <w:t>1</w:t>
            </w:r>
          </w:p>
        </w:tc>
        <w:tc>
          <w:tcPr>
            <w:tcW w:type="dxa" w:w="2340"/>
            <w:shd w:val="clear" w:color="auto" w:fill="FFFFFF"/>
          </w:tcPr>
          <w:p>
            <w:r>
              <w:rPr>
                <w:sz w:val="19"/>
              </w:rPr>
              <w:t>reviewed</w:t>
            </w:r>
          </w:p>
        </w:tc>
        <w:tc>
          <w:tcPr>
            <w:tcW w:type="dxa" w:w="2340"/>
            <w:shd w:val="clear" w:color="auto" w:fill="FFFFFF"/>
          </w:tcPr>
          <w:p>
            <w:r>
              <w:rPr>
                <w:sz w:val="19"/>
              </w:rPr>
              <w:t>Epistemological foundation for MC-4</w:t>
            </w:r>
          </w:p>
        </w:tc>
      </w:tr>
      <w:tr>
        <w:tc>
          <w:tcPr>
            <w:tcW w:type="dxa" w:w="2340"/>
            <w:shd w:val="clear" w:color="auto" w:fill="F4F6FA"/>
          </w:tcPr>
          <w:p>
            <w:r>
              <w:rPr>
                <w:sz w:val="19"/>
              </w:rPr>
              <w:t>huf_governance_state_observer.docx</w:t>
            </w:r>
          </w:p>
        </w:tc>
        <w:tc>
          <w:tcPr>
            <w:tcW w:type="dxa" w:w="2340"/>
            <w:shd w:val="clear" w:color="auto" w:fill="F4F6FA"/>
          </w:tcPr>
          <w:p>
            <w:r>
              <w:rPr>
                <w:sz w:val="19"/>
              </w:rPr>
              <w:t>1</w:t>
            </w:r>
          </w:p>
        </w:tc>
        <w:tc>
          <w:tcPr>
            <w:tcW w:type="dxa" w:w="2340"/>
            <w:shd w:val="clear" w:color="auto" w:fill="F4F6FA"/>
          </w:tcPr>
          <w:p>
            <w:r>
              <w:rPr>
                <w:sz w:val="19"/>
              </w:rPr>
              <w:t>draft</w:t>
            </w:r>
          </w:p>
        </w:tc>
        <w:tc>
          <w:tcPr>
            <w:tcW w:type="dxa" w:w="2340"/>
            <w:shd w:val="clear" w:color="auto" w:fill="F4F6FA"/>
          </w:tcPr>
          <w:p>
            <w:r>
              <w:rPr>
                <w:sz w:val="19"/>
              </w:rPr>
              <w:t>Journal paper — JAES submission pending Phase D</w:t>
            </w:r>
          </w:p>
        </w:tc>
      </w:tr>
      <w:tr>
        <w:tc>
          <w:tcPr>
            <w:tcW w:type="dxa" w:w="2340"/>
            <w:shd w:val="clear" w:color="auto" w:fill="FFFFFF"/>
          </w:tcPr>
          <w:p>
            <w:r>
              <w:rPr>
                <w:sz w:val="19"/>
              </w:rPr>
              <w:t>HUF_Operator_Decision_Log_v1_2.docx</w:t>
            </w:r>
          </w:p>
        </w:tc>
        <w:tc>
          <w:tcPr>
            <w:tcW w:type="dxa" w:w="2340"/>
            <w:shd w:val="clear" w:color="auto" w:fill="FFFFFF"/>
          </w:tcPr>
          <w:p>
            <w:r>
              <w:rPr>
                <w:sz w:val="19"/>
              </w:rPr>
              <w:t>2 + 8</w:t>
            </w:r>
          </w:p>
        </w:tc>
        <w:tc>
          <w:tcPr>
            <w:tcW w:type="dxa" w:w="2340"/>
            <w:shd w:val="clear" w:color="auto" w:fill="FFFFFF"/>
          </w:tcPr>
          <w:p>
            <w:r>
              <w:rPr>
                <w:sz w:val="19"/>
              </w:rPr>
              <w:t>release</w:t>
            </w:r>
          </w:p>
        </w:tc>
        <w:tc>
          <w:tcPr>
            <w:tcW w:type="dxa" w:w="2340"/>
            <w:shd w:val="clear" w:color="auto" w:fill="FFFFFF"/>
          </w:tcPr>
          <w:p>
            <w:r>
              <w:rPr>
                <w:sz w:val="19"/>
              </w:rPr>
              <w:t>Current decision log — v1.1 deprecated</w:t>
            </w:r>
          </w:p>
        </w:tc>
      </w:tr>
      <w:tr>
        <w:tc>
          <w:tcPr>
            <w:tcW w:type="dxa" w:w="2340"/>
            <w:shd w:val="clear" w:color="auto" w:fill="F4F6FA"/>
          </w:tcPr>
          <w:p>
            <w:r>
              <w:rPr>
                <w:sz w:val="19"/>
              </w:rPr>
              <w:t>HUF_Operator_Decision_Log_v1_1.docx</w:t>
            </w:r>
          </w:p>
        </w:tc>
        <w:tc>
          <w:tcPr>
            <w:tcW w:type="dxa" w:w="2340"/>
            <w:shd w:val="clear" w:color="auto" w:fill="F4F6FA"/>
          </w:tcPr>
          <w:p>
            <w:r>
              <w:rPr>
                <w:sz w:val="19"/>
              </w:rPr>
              <w:t>LEGACY</w:t>
            </w:r>
          </w:p>
        </w:tc>
        <w:tc>
          <w:tcPr>
            <w:tcW w:type="dxa" w:w="2340"/>
            <w:shd w:val="clear" w:color="auto" w:fill="F4F6FA"/>
          </w:tcPr>
          <w:p>
            <w:r>
              <w:rPr>
                <w:sz w:val="19"/>
              </w:rPr>
              <w:t>deprecated</w:t>
            </w:r>
          </w:p>
        </w:tc>
        <w:tc>
          <w:tcPr>
            <w:tcW w:type="dxa" w:w="2340"/>
            <w:shd w:val="clear" w:color="auto" w:fill="F4F6FA"/>
          </w:tcPr>
          <w:p>
            <w:r>
              <w:rPr>
                <w:sz w:val="19"/>
              </w:rPr>
              <w:t>Superseded by v1.2</w:t>
            </w:r>
          </w:p>
        </w:tc>
      </w:tr>
      <w:tr>
        <w:tc>
          <w:tcPr>
            <w:tcW w:type="dxa" w:w="2340"/>
            <w:shd w:val="clear" w:color="auto" w:fill="FFFFFF"/>
          </w:tcPr>
          <w:p>
            <w:r>
              <w:rPr>
                <w:sz w:val="19"/>
              </w:rPr>
              <w:t>wiki_huf_taxonomy_complete.md</w:t>
            </w:r>
          </w:p>
        </w:tc>
        <w:tc>
          <w:tcPr>
            <w:tcW w:type="dxa" w:w="2340"/>
            <w:shd w:val="clear" w:color="auto" w:fill="FFFFFF"/>
          </w:tcPr>
          <w:p>
            <w:r>
              <w:rPr>
                <w:sz w:val="19"/>
              </w:rPr>
              <w:t>2</w:t>
            </w:r>
          </w:p>
        </w:tc>
        <w:tc>
          <w:tcPr>
            <w:tcW w:type="dxa" w:w="2340"/>
            <w:shd w:val="clear" w:color="auto" w:fill="FFFFFF"/>
          </w:tcPr>
          <w:p>
            <w:r>
              <w:rPr>
                <w:sz w:val="19"/>
              </w:rPr>
              <w:t>release</w:t>
            </w:r>
          </w:p>
        </w:tc>
        <w:tc>
          <w:tcPr>
            <w:tcW w:type="dxa" w:w="2340"/>
            <w:shd w:val="clear" w:color="auto" w:fill="FFFFFF"/>
          </w:tcPr>
          <w:p>
            <w:r>
              <w:rPr>
                <w:sz w:val="19"/>
              </w:rPr>
              <w:t>Complete 8-layer taxonomy reference</w:t>
            </w:r>
          </w:p>
        </w:tc>
      </w:tr>
      <w:tr>
        <w:tc>
          <w:tcPr>
            <w:tcW w:type="dxa" w:w="2340"/>
            <w:shd w:val="clear" w:color="auto" w:fill="F4F6FA"/>
          </w:tcPr>
          <w:p>
            <w:r>
              <w:rPr>
                <w:sz w:val="19"/>
              </w:rPr>
              <w:t>HUF_Complete_Reference_Feb2026.docx</w:t>
            </w:r>
          </w:p>
        </w:tc>
        <w:tc>
          <w:tcPr>
            <w:tcW w:type="dxa" w:w="2340"/>
            <w:shd w:val="clear" w:color="auto" w:fill="F4F6FA"/>
          </w:tcPr>
          <w:p>
            <w:r>
              <w:rPr>
                <w:sz w:val="19"/>
              </w:rPr>
              <w:t>2 + 8</w:t>
            </w:r>
          </w:p>
        </w:tc>
        <w:tc>
          <w:tcPr>
            <w:tcW w:type="dxa" w:w="2340"/>
            <w:shd w:val="clear" w:color="auto" w:fill="F4F6FA"/>
          </w:tcPr>
          <w:p>
            <w:r>
              <w:rPr>
                <w:sz w:val="19"/>
              </w:rPr>
              <w:t>release</w:t>
            </w:r>
          </w:p>
        </w:tc>
        <w:tc>
          <w:tcPr>
            <w:tcW w:type="dxa" w:w="2340"/>
            <w:shd w:val="clear" w:color="auto" w:fill="F4F6FA"/>
          </w:tcPr>
          <w:p>
            <w:r>
              <w:rPr>
                <w:sz w:val="19"/>
              </w:rPr>
              <w:t>19-layer taxonomy + MC-4 expanded</w:t>
            </w:r>
          </w:p>
        </w:tc>
      </w:tr>
      <w:tr>
        <w:tc>
          <w:tcPr>
            <w:tcW w:type="dxa" w:w="2340"/>
            <w:shd w:val="clear" w:color="auto" w:fill="FFFFFF"/>
          </w:tcPr>
          <w:p>
            <w:r>
              <w:rPr>
                <w:sz w:val="19"/>
              </w:rPr>
              <w:t>huf_diagnostic.jsx</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8-test compliance diagnostic (React UI)</w:t>
            </w:r>
          </w:p>
        </w:tc>
      </w:tr>
      <w:tr>
        <w:tc>
          <w:tcPr>
            <w:tcW w:type="dxa" w:w="2340"/>
            <w:shd w:val="clear" w:color="auto" w:fill="F4F6FA"/>
          </w:tcPr>
          <w:p>
            <w:r>
              <w:rPr>
                <w:sz w:val="19"/>
              </w:rPr>
              <w:t>huf_todo.jsx</w:t>
            </w:r>
          </w:p>
        </w:tc>
        <w:tc>
          <w:tcPr>
            <w:tcW w:type="dxa" w:w="2340"/>
            <w:shd w:val="clear" w:color="auto" w:fill="F4F6FA"/>
          </w:tcPr>
          <w:p>
            <w:r>
              <w:rPr>
                <w:sz w:val="19"/>
              </w:rPr>
              <w:t>3</w:t>
            </w:r>
          </w:p>
        </w:tc>
        <w:tc>
          <w:tcPr>
            <w:tcW w:type="dxa" w:w="2340"/>
            <w:shd w:val="clear" w:color="auto" w:fill="F4F6FA"/>
          </w:tcPr>
          <w:p>
            <w:r>
              <w:rPr>
                <w:sz w:val="19"/>
              </w:rPr>
              <w:t>reviewed</w:t>
            </w:r>
          </w:p>
        </w:tc>
        <w:tc>
          <w:tcPr>
            <w:tcW w:type="dxa" w:w="2340"/>
            <w:shd w:val="clear" w:color="auto" w:fill="F4F6FA"/>
          </w:tcPr>
          <w:p>
            <w:r>
              <w:rPr>
                <w:sz w:val="19"/>
              </w:rPr>
              <w:t>Project task tracker (React UI)</w:t>
            </w:r>
          </w:p>
        </w:tc>
      </w:tr>
      <w:tr>
        <w:tc>
          <w:tcPr>
            <w:tcW w:type="dxa" w:w="2340"/>
            <w:shd w:val="clear" w:color="auto" w:fill="FFFFFF"/>
          </w:tcPr>
          <w:p>
            <w:r>
              <w:rPr>
                <w:sz w:val="19"/>
              </w:rPr>
              <w:t>ramsar_huf_demo_v2.py</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Python demo wrapper → 4 Ramsar CSVs</w:t>
            </w:r>
          </w:p>
        </w:tc>
      </w:tr>
      <w:tr>
        <w:tc>
          <w:tcPr>
            <w:tcW w:type="dxa" w:w="2340"/>
            <w:shd w:val="clear" w:color="auto" w:fill="F4F6FA"/>
          </w:tcPr>
          <w:p>
            <w:r>
              <w:rPr>
                <w:sz w:val="19"/>
              </w:rPr>
              <w:t>Book1.xlsx</w:t>
            </w:r>
          </w:p>
        </w:tc>
        <w:tc>
          <w:tcPr>
            <w:tcW w:type="dxa" w:w="2340"/>
            <w:shd w:val="clear" w:color="auto" w:fill="F4F6FA"/>
          </w:tcPr>
          <w:p>
            <w:r>
              <w:rPr>
                <w:sz w:val="19"/>
              </w:rPr>
              <w:t>3 + 6</w:t>
            </w:r>
          </w:p>
        </w:tc>
        <w:tc>
          <w:tcPr>
            <w:tcW w:type="dxa" w:w="2340"/>
            <w:shd w:val="clear" w:color="auto" w:fill="F4F6FA"/>
          </w:tcPr>
          <w:p>
            <w:r>
              <w:rPr>
                <w:sz w:val="19"/>
              </w:rPr>
              <w:t>reviewed</w:t>
            </w:r>
          </w:p>
        </w:tc>
        <w:tc>
          <w:tcPr>
            <w:tcW w:type="dxa" w:w="2340"/>
            <w:shd w:val="clear" w:color="auto" w:fill="F4F6FA"/>
          </w:tcPr>
          <w:p>
            <w:r>
              <w:rPr>
                <w:sz w:val="19"/>
              </w:rPr>
              <w:t>Cross-domain comparison dataset</w:t>
            </w:r>
          </w:p>
        </w:tc>
      </w:tr>
      <w:tr>
        <w:tc>
          <w:tcPr>
            <w:tcW w:type="dxa" w:w="2340"/>
            <w:shd w:val="clear" w:color="auto" w:fill="FFFFFF"/>
          </w:tcPr>
          <w:p>
            <w:r>
              <w:rPr>
                <w:sz w:val="19"/>
              </w:rPr>
              <w:t>huf_mathematical_foundations.docx</w:t>
            </w:r>
          </w:p>
        </w:tc>
        <w:tc>
          <w:tcPr>
            <w:tcW w:type="dxa" w:w="2340"/>
            <w:shd w:val="clear" w:color="auto" w:fill="FFFFFF"/>
          </w:tcPr>
          <w:p>
            <w:r>
              <w:rPr>
                <w:sz w:val="19"/>
              </w:rPr>
              <w:t>4</w:t>
            </w:r>
          </w:p>
        </w:tc>
        <w:tc>
          <w:tcPr>
            <w:tcW w:type="dxa" w:w="2340"/>
            <w:shd w:val="clear" w:color="auto" w:fill="FFFFFF"/>
          </w:tcPr>
          <w:p>
            <w:r>
              <w:rPr>
                <w:sz w:val="19"/>
              </w:rPr>
              <w:t>reviewed</w:t>
            </w:r>
          </w:p>
        </w:tc>
        <w:tc>
          <w:tcPr>
            <w:tcW w:type="dxa" w:w="2340"/>
            <w:shd w:val="clear" w:color="auto" w:fill="FFFFFF"/>
          </w:tcPr>
          <w:p>
            <w:r>
              <w:rPr>
                <w:sz w:val="19"/>
              </w:rPr>
              <w:t>Formal math v1.1.8 — candidate JAES citation</w:t>
            </w:r>
          </w:p>
        </w:tc>
      </w:tr>
      <w:tr>
        <w:tc>
          <w:tcPr>
            <w:tcW w:type="dxa" w:w="2340"/>
            <w:shd w:val="clear" w:color="auto" w:fill="F4F6FA"/>
          </w:tcPr>
          <w:p>
            <w:r>
              <w:rPr>
                <w:sz w:val="19"/>
              </w:rPr>
              <w:t>HUF_Mathematics_v0.1.0_DRAFT.docx</w:t>
            </w:r>
          </w:p>
        </w:tc>
        <w:tc>
          <w:tcPr>
            <w:tcW w:type="dxa" w:w="2340"/>
            <w:shd w:val="clear" w:color="auto" w:fill="F4F6FA"/>
          </w:tcPr>
          <w:p>
            <w:r>
              <w:rPr>
                <w:sz w:val="19"/>
              </w:rPr>
              <w:t>4</w:t>
            </w:r>
          </w:p>
        </w:tc>
        <w:tc>
          <w:tcPr>
            <w:tcW w:type="dxa" w:w="2340"/>
            <w:shd w:val="clear" w:color="auto" w:fill="F4F6FA"/>
          </w:tcPr>
          <w:p>
            <w:r>
              <w:rPr>
                <w:sz w:val="19"/>
              </w:rPr>
              <w:t>draft</w:t>
            </w:r>
          </w:p>
        </w:tc>
        <w:tc>
          <w:tcPr>
            <w:tcW w:type="dxa" w:w="2340"/>
            <w:shd w:val="clear" w:color="auto" w:fill="F4F6FA"/>
          </w:tcPr>
          <w:p>
            <w:r>
              <w:rPr>
                <w:sz w:val="19"/>
              </w:rPr>
              <w:t>Accessible intro — in progress</w:t>
            </w:r>
          </w:p>
        </w:tc>
      </w:tr>
      <w:tr>
        <w:tc>
          <w:tcPr>
            <w:tcW w:type="dxa" w:w="2340"/>
            <w:shd w:val="clear" w:color="auto" w:fill="FFFFFF"/>
          </w:tcPr>
          <w:p>
            <w:r>
              <w:rPr>
                <w:sz w:val="19"/>
              </w:rPr>
              <w:t>huf_math_foundations_v2_1.docx</w:t>
            </w:r>
          </w:p>
        </w:tc>
        <w:tc>
          <w:tcPr>
            <w:tcW w:type="dxa" w:w="2340"/>
            <w:shd w:val="clear" w:color="auto" w:fill="FFFFFF"/>
          </w:tcPr>
          <w:p>
            <w:r>
              <w:rPr>
                <w:sz w:val="19"/>
              </w:rPr>
              <w:t>5</w:t>
            </w:r>
          </w:p>
        </w:tc>
        <w:tc>
          <w:tcPr>
            <w:tcW w:type="dxa" w:w="2340"/>
            <w:shd w:val="clear" w:color="auto" w:fill="FFFFFF"/>
          </w:tcPr>
          <w:p>
            <w:r>
              <w:rPr>
                <w:sz w:val="19"/>
              </w:rPr>
              <w:t>reviewed</w:t>
            </w:r>
          </w:p>
        </w:tc>
        <w:tc>
          <w:tcPr>
            <w:tcW w:type="dxa" w:w="2340"/>
            <w:shd w:val="clear" w:color="auto" w:fill="FFFFFF"/>
          </w:tcPr>
          <w:p>
            <w:r>
              <w:rPr>
                <w:sz w:val="19"/>
              </w:rPr>
              <w:t>Q factor + Grok verdicts + Ostrom chain</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5</w:t>
            </w:r>
          </w:p>
        </w:tc>
        <w:tc>
          <w:tcPr>
            <w:tcW w:type="dxa" w:w="2340"/>
            <w:shd w:val="clear" w:color="auto" w:fill="F4F6FA"/>
          </w:tcPr>
          <w:p>
            <w:r>
              <w:rPr>
                <w:sz w:val="19"/>
              </w:rPr>
              <w:t>draft</w:t>
            </w:r>
          </w:p>
        </w:tc>
        <w:tc>
          <w:tcPr>
            <w:tcW w:type="dxa" w:w="2340"/>
            <w:shd w:val="clear" w:color="auto" w:fill="F4F6FA"/>
          </w:tcPr>
          <w:p>
            <w:r>
              <w:rPr>
                <w:sz w:val="19"/>
              </w:rPr>
              <w:t>Advanced math — Gini/Theil/state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5</w:t>
            </w:r>
          </w:p>
        </w:tc>
        <w:tc>
          <w:tcPr>
            <w:tcW w:type="dxa" w:w="2340"/>
            <w:shd w:val="clear" w:color="auto" w:fill="FFFFFF"/>
          </w:tcPr>
          <w:p>
            <w:r>
              <w:rPr>
                <w:sz w:val="19"/>
              </w:rPr>
              <w:t>draft</w:t>
            </w:r>
          </w:p>
        </w:tc>
        <w:tc>
          <w:tcPr>
            <w:tcW w:type="dxa" w:w="2340"/>
            <w:shd w:val="clear" w:color="auto" w:fill="FFFFFF"/>
          </w:tcPr>
          <w:p>
            <w:r>
              <w:rPr>
                <w:sz w:val="19"/>
              </w:rPr>
              <w:t>Markdown mirror — keep in sync with docx</w:t>
            </w:r>
          </w:p>
        </w:tc>
      </w:tr>
      <w:tr>
        <w:tc>
          <w:tcPr>
            <w:tcW w:type="dxa" w:w="2340"/>
            <w:shd w:val="clear" w:color="auto" w:fill="F4F6FA"/>
          </w:tcPr>
          <w:p>
            <w:r>
              <w:rPr>
                <w:sz w:val="19"/>
              </w:rPr>
              <w:t>HUF_Appendix_D_Case_Study_D1_Exhibit_A_v2.docx</w:t>
            </w:r>
          </w:p>
        </w:tc>
        <w:tc>
          <w:tcPr>
            <w:tcW w:type="dxa" w:w="2340"/>
            <w:shd w:val="clear" w:color="auto" w:fill="F4F6FA"/>
          </w:tcPr>
          <w:p>
            <w:r>
              <w:rPr>
                <w:sz w:val="19"/>
              </w:rPr>
              <w:t>6</w:t>
            </w:r>
          </w:p>
        </w:tc>
        <w:tc>
          <w:tcPr>
            <w:tcW w:type="dxa" w:w="2340"/>
            <w:shd w:val="clear" w:color="auto" w:fill="F4F6FA"/>
          </w:tcPr>
          <w:p>
            <w:r>
              <w:rPr>
                <w:sz w:val="19"/>
              </w:rPr>
              <w:t>reviewed</w:t>
            </w:r>
          </w:p>
        </w:tc>
        <w:tc>
          <w:tcPr>
            <w:tcW w:type="dxa" w:w="2340"/>
            <w:shd w:val="clear" w:color="auto" w:fill="F4F6FA"/>
          </w:tcPr>
          <w:p>
            <w:r>
              <w:rPr>
                <w:sz w:val="19"/>
              </w:rPr>
              <w:t>Two-domain comparison: sourdough + Croatia</w:t>
            </w:r>
          </w:p>
        </w:tc>
      </w:tr>
      <w:tr>
        <w:tc>
          <w:tcPr>
            <w:tcW w:type="dxa" w:w="2340"/>
            <w:shd w:val="clear" w:color="auto" w:fill="FFFFFF"/>
          </w:tcPr>
          <w:p>
            <w:r>
              <w:rPr>
                <w:sz w:val="19"/>
              </w:rPr>
              <w:t>HUF_Vol3_CaseStudyD2_ExhibitB_v1.docx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Three-domain — System C data PENDING</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6</w:t>
            </w:r>
          </w:p>
        </w:tc>
        <w:tc>
          <w:tcPr>
            <w:tcW w:type="dxa" w:w="2340"/>
            <w:shd w:val="clear" w:color="auto" w:fill="F4F6FA"/>
          </w:tcPr>
          <w:p>
            <w:r>
              <w:rPr>
                <w:sz w:val="19"/>
              </w:rPr>
              <w:t>draft</w:t>
            </w:r>
          </w:p>
        </w:tc>
        <w:tc>
          <w:tcPr>
            <w:tcW w:type="dxa" w:w="2340"/>
            <w:shd w:val="clear" w:color="auto" w:fill="F4F6FA"/>
          </w:tcPr>
          <w:p>
            <w:r>
              <w:rPr>
                <w:sz w:val="19"/>
              </w:rPr>
              <w:t>Execution-ready — insert pipeline data</w:t>
            </w:r>
          </w:p>
        </w:tc>
      </w:tr>
      <w:tr>
        <w:tc>
          <w:tcPr>
            <w:tcW w:type="dxa" w:w="2340"/>
            <w:shd w:val="clear" w:color="auto" w:fill="FFFFFF"/>
          </w:tcPr>
          <w:p>
            <w:r>
              <w:rPr>
                <w:sz w:val="19"/>
              </w:rPr>
              <w:t>appendix_d1_inserts_v3.docx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Leverage + MDG methodology inserts</w:t>
            </w:r>
          </w:p>
        </w:tc>
      </w:tr>
      <w:tr>
        <w:tc>
          <w:tcPr>
            <w:tcW w:type="dxa" w:w="2340"/>
            <w:shd w:val="clear" w:color="auto" w:fill="F4F6FA"/>
          </w:tcPr>
          <w:p>
            <w:r>
              <w:rPr>
                <w:sz w:val="19"/>
              </w:rPr>
              <w:t>ramsar_contact_primer_v12.docx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READY TO SEND — this unblocks D9</w:t>
            </w:r>
          </w:p>
        </w:tc>
      </w:tr>
      <w:tr>
        <w:tc>
          <w:tcPr>
            <w:tcW w:type="dxa" w:w="2340"/>
            <w:shd w:val="clear" w:color="auto" w:fill="FFFFFF"/>
          </w:tcPr>
          <w:p>
            <w:r>
              <w:rPr>
                <w:sz w:val="19"/>
              </w:rPr>
              <w:t>ramsar_contact_letter_v15.docx</w:t>
            </w:r>
          </w:p>
        </w:tc>
        <w:tc>
          <w:tcPr>
            <w:tcW w:type="dxa" w:w="2340"/>
            <w:shd w:val="clear" w:color="auto" w:fill="FFFFFF"/>
          </w:tcPr>
          <w:p>
            <w:r>
              <w:rPr>
                <w:sz w:val="19"/>
              </w:rPr>
              <w:t>7A</w:t>
            </w:r>
          </w:p>
        </w:tc>
        <w:tc>
          <w:tcPr>
            <w:tcW w:type="dxa" w:w="2340"/>
            <w:shd w:val="clear" w:color="auto" w:fill="FFFFFF"/>
          </w:tcPr>
          <w:p>
            <w:r>
              <w:rPr>
                <w:sz w:val="19"/>
              </w:rPr>
              <w:t>release</w:t>
            </w:r>
          </w:p>
        </w:tc>
        <w:tc>
          <w:tcPr>
            <w:tcW w:type="dxa" w:w="2340"/>
            <w:shd w:val="clear" w:color="auto" w:fill="FFFFFF"/>
          </w:tcPr>
          <w:p>
            <w:r>
              <w:rPr>
                <w:sz w:val="19"/>
              </w:rPr>
              <w:t>READY TO SEND — final outreach letter</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Complete Croatia handoff package</w:t>
            </w:r>
          </w:p>
        </w:tc>
      </w:tr>
      <w:tr>
        <w:tc>
          <w:tcPr>
            <w:tcW w:type="dxa" w:w="2340"/>
            <w:shd w:val="clear" w:color="auto" w:fill="FFFFFF"/>
          </w:tcPr>
          <w:p>
            <w:r>
              <w:rPr>
                <w:sz w:val="19"/>
              </w:rPr>
              <w:t>wiki_manufacturing_electronics_assembly.md</w:t>
            </w:r>
          </w:p>
        </w:tc>
        <w:tc>
          <w:tcPr>
            <w:tcW w:type="dxa" w:w="2340"/>
            <w:shd w:val="clear" w:color="auto" w:fill="FFFFFF"/>
          </w:tcPr>
          <w:p>
            <w:r>
              <w:rPr>
                <w:sz w:val="19"/>
              </w:rPr>
              <w:t>7B</w:t>
            </w:r>
          </w:p>
        </w:tc>
        <w:tc>
          <w:tcPr>
            <w:tcW w:type="dxa" w:w="2340"/>
            <w:shd w:val="clear" w:color="auto" w:fill="FFFFFF"/>
          </w:tcPr>
          <w:p>
            <w:r>
              <w:rPr>
                <w:sz w:val="19"/>
              </w:rPr>
              <w:t>reviewed</w:t>
            </w:r>
          </w:p>
        </w:tc>
        <w:tc>
          <w:tcPr>
            <w:tcW w:type="dxa" w:w="2340"/>
            <w:shd w:val="clear" w:color="auto" w:fill="FFFFFF"/>
          </w:tcPr>
          <w:p>
            <w:r>
              <w:rPr>
                <w:sz w:val="19"/>
              </w:rPr>
              <w:t>Fuji/Dage manufacturing application</w:t>
            </w:r>
          </w:p>
        </w:tc>
      </w:tr>
      <w:tr>
        <w:tc>
          <w:tcPr>
            <w:tcW w:type="dxa" w:w="2340"/>
            <w:shd w:val="clear" w:color="auto" w:fill="F4F6FA"/>
          </w:tcPr>
          <w:p>
            <w:r>
              <w:rPr>
                <w:sz w:val="19"/>
              </w:rPr>
              <w:t>wiki_operator_entry_points.md</w:t>
            </w:r>
          </w:p>
        </w:tc>
        <w:tc>
          <w:tcPr>
            <w:tcW w:type="dxa" w:w="2340"/>
            <w:shd w:val="clear" w:color="auto" w:fill="F4F6FA"/>
          </w:tcPr>
          <w:p>
            <w:r>
              <w:rPr>
                <w:sz w:val="19"/>
              </w:rPr>
              <w:t>7B</w:t>
            </w:r>
          </w:p>
        </w:tc>
        <w:tc>
          <w:tcPr>
            <w:tcW w:type="dxa" w:w="2340"/>
            <w:shd w:val="clear" w:color="auto" w:fill="F4F6FA"/>
          </w:tcPr>
          <w:p>
            <w:r>
              <w:rPr>
                <w:sz w:val="19"/>
              </w:rPr>
              <w:t>reviewed</w:t>
            </w:r>
          </w:p>
        </w:tc>
        <w:tc>
          <w:tcPr>
            <w:tcW w:type="dxa" w:w="2340"/>
            <w:shd w:val="clear" w:color="auto" w:fill="F4F6FA"/>
          </w:tcPr>
          <w:p>
            <w:r>
              <w:rPr>
                <w:sz w:val="19"/>
              </w:rPr>
              <w:t>Operator profile + commercialization paths</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VII — Immediate Action Register</w:t>
      </w:r>
    </w:p>
    <w:p>
      <w:pPr>
        <w:spacing w:before="40" w:after="120"/>
      </w:pPr>
      <w:r>
        <w:rPr>
          <w:rFonts w:ascii="Arial" w:hAnsi="Arial"/>
          <w:b w:val="0"/>
          <w:i w:val="0"/>
          <w:color w:val="000000"/>
          <w:sz w:val="21"/>
        </w:rPr>
        <w:t>The following table consolidates every open item, ordered by track. This is the governance register that should be embedded in Volume 8 and updated at each session.</w:t>
      </w:r>
    </w:p>
    <w:p>
      <w:pPr>
        <w:spacing w:before="280" w:after="80"/>
      </w:pPr>
      <w:r>
        <w:rPr>
          <w:rFonts w:ascii="Arial" w:hAnsi="Arial"/>
          <w:b/>
          <w:i w:val="0"/>
          <w:color w:val="1B6C76"/>
          <w:sz w:val="26"/>
        </w:rPr>
        <w:t>Track A — Blocking the JAES submission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ID</w:t>
            </w:r>
          </w:p>
        </w:tc>
        <w:tc>
          <w:tcPr>
            <w:tcW w:type="dxa" w:w="3120"/>
            <w:shd w:val="clear" w:color="auto" w:fill="1A2A4A"/>
          </w:tcPr>
          <w:p>
            <w:r>
              <w:rPr>
                <w:b/>
                <w:color w:val="FFFFFF"/>
                <w:sz w:val="19"/>
              </w:rPr>
              <w:t>Item</w:t>
            </w:r>
          </w:p>
        </w:tc>
        <w:tc>
          <w:tcPr>
            <w:tcW w:type="dxa" w:w="3120"/>
            <w:shd w:val="clear" w:color="auto" w:fill="1A2A4A"/>
          </w:tcPr>
          <w:p>
            <w:r>
              <w:rPr>
                <w:b/>
                <w:color w:val="FFFFFF"/>
                <w:sz w:val="19"/>
              </w:rPr>
              <w:t>Unblocked by</w:t>
            </w:r>
          </w:p>
        </w:tc>
      </w:tr>
      <w:tr>
        <w:tc>
          <w:tcPr>
            <w:tcW w:type="dxa" w:w="3120"/>
            <w:shd w:val="clear" w:color="auto" w:fill="F4F6FA"/>
          </w:tcPr>
          <w:p>
            <w:r>
              <w:rPr>
                <w:sz w:val="19"/>
              </w:rPr>
              <w:t>D9</w:t>
            </w:r>
          </w:p>
        </w:tc>
        <w:tc>
          <w:tcPr>
            <w:tcW w:type="dxa" w:w="3120"/>
            <w:shd w:val="clear" w:color="auto" w:fill="F4F6FA"/>
          </w:tcPr>
          <w:p>
            <w:r>
              <w:rPr>
                <w:sz w:val="19"/>
              </w:rPr>
              <w:t>Send Ramsar primer v12 — opens Phase D pilot</w:t>
            </w:r>
          </w:p>
        </w:tc>
        <w:tc>
          <w:tcPr>
            <w:tcW w:type="dxa" w:w="3120"/>
            <w:shd w:val="clear" w:color="auto" w:fill="F4F6FA"/>
          </w:tcPr>
          <w:p>
            <w:r>
              <w:rPr>
                <w:sz w:val="19"/>
              </w:rPr>
              <w:t>Operator dispatches ramsar_contact_primer_v12.docx</w:t>
            </w:r>
          </w:p>
        </w:tc>
      </w:tr>
      <w:tr>
        <w:tc>
          <w:tcPr>
            <w:tcW w:type="dxa" w:w="3120"/>
            <w:shd w:val="clear" w:color="auto" w:fill="FFFFFF"/>
          </w:tcPr>
          <w:p>
            <w:r>
              <w:rPr>
                <w:sz w:val="19"/>
              </w:rPr>
              <w:t>D8</w:t>
            </w:r>
          </w:p>
        </w:tc>
        <w:tc>
          <w:tcPr>
            <w:tcW w:type="dxa" w:w="3120"/>
            <w:shd w:val="clear" w:color="auto" w:fill="FFFFFF"/>
          </w:tcPr>
          <w:p>
            <w:r>
              <w:rPr>
                <w:sz w:val="19"/>
              </w:rPr>
              <w:t>JAES paper full draft</w:t>
            </w:r>
          </w:p>
        </w:tc>
        <w:tc>
          <w:tcPr>
            <w:tcW w:type="dxa" w:w="3120"/>
            <w:shd w:val="clear" w:color="auto" w:fill="FFFFFF"/>
          </w:tcPr>
          <w:p>
            <w:r>
              <w:rPr>
                <w:sz w:val="19"/>
              </w:rPr>
              <w:t>Phase D empirical data (D9 must move first)</w:t>
            </w:r>
          </w:p>
        </w:tc>
      </w:tr>
      <w:tr>
        <w:tc>
          <w:tcPr>
            <w:tcW w:type="dxa" w:w="3120"/>
            <w:shd w:val="clear" w:color="auto" w:fill="F4F6FA"/>
          </w:tcPr>
          <w:p>
            <w:r>
              <w:rPr>
                <w:sz w:val="19"/>
              </w:rPr>
              <w:t>D7</w:t>
            </w:r>
          </w:p>
        </w:tc>
        <w:tc>
          <w:tcPr>
            <w:tcW w:type="dxa" w:w="3120"/>
            <w:shd w:val="clear" w:color="auto" w:fill="F4F6FA"/>
          </w:tcPr>
          <w:p>
            <w:r>
              <w:rPr>
                <w:sz w:val="19"/>
              </w:rPr>
              <w:t>Non-linear convergence proof</w:t>
            </w:r>
          </w:p>
        </w:tc>
        <w:tc>
          <w:tcPr>
            <w:tcW w:type="dxa" w:w="3120"/>
            <w:shd w:val="clear" w:color="auto" w:fill="F4F6FA"/>
          </w:tcPr>
          <w:p>
            <w:r>
              <w:rPr>
                <w:sz w:val="19"/>
              </w:rPr>
              <w:t>Phase D data — minimum 3 cycles</w:t>
            </w:r>
          </w:p>
        </w:tc>
      </w:tr>
      <w:tr>
        <w:tc>
          <w:tcPr>
            <w:tcW w:type="dxa" w:w="3120"/>
            <w:shd w:val="clear" w:color="auto" w:fill="FFFFFF"/>
          </w:tcPr>
          <w:p>
            <w:r>
              <w:rPr>
                <w:sz w:val="19"/>
              </w:rPr>
              <w:t>–</w:t>
            </w:r>
          </w:p>
        </w:tc>
        <w:tc>
          <w:tcPr>
            <w:tcW w:type="dxa" w:w="3120"/>
            <w:shd w:val="clear" w:color="auto" w:fill="FFFFFF"/>
          </w:tcPr>
          <w:p>
            <w:r>
              <w:rPr>
                <w:sz w:val="19"/>
              </w:rPr>
              <w:t>System C data entry (Exhibit B)</w:t>
            </w:r>
          </w:p>
        </w:tc>
        <w:tc>
          <w:tcPr>
            <w:tcW w:type="dxa" w:w="3120"/>
            <w:shd w:val="clear" w:color="auto" w:fill="FFFFFF"/>
          </w:tcPr>
          <w:p>
            <w:r>
              <w:rPr>
                <w:sz w:val="19"/>
              </w:rPr>
              <w:t>Operator provides namespace list + 30-day query volume shares</w:t>
            </w:r>
          </w:p>
        </w:tc>
      </w:tr>
      <w:tr>
        <w:tc>
          <w:tcPr>
            <w:tcW w:type="dxa" w:w="3120"/>
            <w:shd w:val="clear" w:color="auto" w:fill="F4F6FA"/>
          </w:tcPr>
          <w:p>
            <w:r>
              <w:rPr>
                <w:sz w:val="19"/>
              </w:rPr>
              <w:t>–</w:t>
            </w:r>
          </w:p>
        </w:tc>
        <w:tc>
          <w:tcPr>
            <w:tcW w:type="dxa" w:w="3120"/>
            <w:shd w:val="clear" w:color="auto" w:fill="F4F6FA"/>
          </w:tcPr>
          <w:p>
            <w:r>
              <w:rPr>
                <w:sz w:val="19"/>
              </w:rPr>
              <w:t>Canonical math document decision (v1.1.8 vs v2.1)</w:t>
            </w:r>
          </w:p>
        </w:tc>
        <w:tc>
          <w:tcPr>
            <w:tcW w:type="dxa" w:w="3120"/>
            <w:shd w:val="clear" w:color="auto" w:fill="F4F6FA"/>
          </w:tcPr>
          <w:p>
            <w:r>
              <w:rPr>
                <w:sz w:val="19"/>
              </w:rPr>
              <w:t>Operator designates JAES citation source</w:t>
            </w:r>
          </w:p>
        </w:tc>
      </w:tr>
      <w:tr>
        <w:tc>
          <w:tcPr>
            <w:tcW w:type="dxa" w:w="3120"/>
            <w:shd w:val="clear" w:color="auto" w:fill="FFFFFF"/>
          </w:tcPr>
          <w:p>
            <w:r>
              <w:rPr>
                <w:sz w:val="19"/>
              </w:rPr>
              <w:t>–</w:t>
            </w:r>
          </w:p>
        </w:tc>
        <w:tc>
          <w:tcPr>
            <w:tcW w:type="dxa" w:w="3120"/>
            <w:shd w:val="clear" w:color="auto" w:fill="FFFFFF"/>
          </w:tcPr>
          <w:p>
            <w:r>
              <w:rPr>
                <w:sz w:val="19"/>
              </w:rPr>
              <w:t>Framework name decision (Hierarchical vs. Higgins)</w:t>
            </w:r>
          </w:p>
        </w:tc>
        <w:tc>
          <w:tcPr>
            <w:tcW w:type="dxa" w:w="3120"/>
            <w:shd w:val="clear" w:color="auto" w:fill="FFFFFF"/>
          </w:tcPr>
          <w:p>
            <w:r>
              <w:rPr>
                <w:sz w:val="19"/>
              </w:rPr>
              <w:t>Operator locks name for JAES submission</w:t>
            </w:r>
          </w:p>
        </w:tc>
      </w:tr>
    </w:tbl>
    <w:p>
      <w:pPr>
        <w:spacing w:before="40" w:after="160"/>
      </w:pPr>
    </w:p>
    <w:p>
      <w:pPr>
        <w:spacing w:before="280" w:after="80"/>
      </w:pPr>
      <w:r>
        <w:rPr>
          <w:rFonts w:ascii="Arial" w:hAnsi="Arial"/>
          <w:b/>
          <w:i w:val="0"/>
          <w:color w:val="1B6C76"/>
          <w:sz w:val="26"/>
        </w:rPr>
        <w:t>Track B — Ready to execute now (no blockers)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File ready</w:t>
            </w:r>
          </w:p>
        </w:tc>
        <w:tc>
          <w:tcPr>
            <w:tcW w:type="dxa" w:w="3120"/>
            <w:shd w:val="clear" w:color="auto" w:fill="1A2A4A"/>
          </w:tcPr>
          <w:p>
            <w:r>
              <w:rPr>
                <w:b/>
                <w:color w:val="FFFFFF"/>
                <w:sz w:val="19"/>
              </w:rPr>
              <w:t>Action</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12.4–12.5</w:t>
            </w:r>
          </w:p>
        </w:tc>
      </w:tr>
      <w:tr>
        <w:tc>
          <w:tcPr>
            <w:tcW w:type="dxa" w:w="3120"/>
            <w:shd w:val="clear" w:color="auto" w:fill="F4F6FA"/>
          </w:tcPr>
          <w:p>
            <w:r>
              <w:rPr>
                <w:sz w:val="19"/>
              </w:rPr>
              <w:t>Governance state observer proof posture pass</w:t>
            </w:r>
          </w:p>
        </w:tc>
        <w:tc>
          <w:tcPr>
            <w:tcW w:type="dxa" w:w="3120"/>
            <w:shd w:val="clear" w:color="auto" w:fill="F4F6FA"/>
          </w:tcPr>
          <w:p>
            <w:r>
              <w:rPr>
                <w:sz w:val="19"/>
              </w:rPr>
              <w:t>huf_governance_state_observer.docx</w:t>
            </w:r>
          </w:p>
        </w:tc>
        <w:tc>
          <w:tcPr>
            <w:tcW w:type="dxa" w:w="3120"/>
            <w:shd w:val="clear" w:color="auto" w:fill="F4F6FA"/>
          </w:tcPr>
          <w:p>
            <w:r>
              <w:rPr>
                <w:sz w:val="19"/>
              </w:rPr>
              <w:t>Add [PROVED]/[CONJECTURE] markers + resolve name + cite math doc by version</w:t>
            </w:r>
          </w:p>
        </w:tc>
      </w:tr>
      <w:tr>
        <w:tc>
          <w:tcPr>
            <w:tcW w:type="dxa" w:w="3120"/>
            <w:shd w:val="clear" w:color="auto" w:fill="FFFFFF"/>
          </w:tcPr>
          <w:p>
            <w:r>
              <w:rPr>
                <w:sz w:val="19"/>
              </w:rPr>
              <w:t>Ramsar demo against real RSIS data</w:t>
            </w:r>
          </w:p>
        </w:tc>
        <w:tc>
          <w:tcPr>
            <w:tcW w:type="dxa" w:w="3120"/>
            <w:shd w:val="clear" w:color="auto" w:fill="FFFFFF"/>
          </w:tcPr>
          <w:p>
            <w:r>
              <w:rPr>
                <w:sz w:val="19"/>
              </w:rPr>
              <w:t>ramsar_huf_demo_v2.py</w:t>
            </w:r>
          </w:p>
        </w:tc>
        <w:tc>
          <w:tcPr>
            <w:tcW w:type="dxa" w:w="3120"/>
            <w:shd w:val="clear" w:color="auto" w:fill="FFFFFF"/>
          </w:tcPr>
          <w:p>
            <w:r>
              <w:rPr>
                <w:sz w:val="19"/>
              </w:rPr>
              <w:t>Replace MOCK_RSIS block with live RSIS export; verify 4 CSV outputs</w:t>
            </w:r>
          </w:p>
        </w:tc>
      </w:tr>
    </w:tbl>
    <w:p>
      <w:pPr>
        <w:spacing w:before="40" w:after="160"/>
      </w:pPr>
    </w:p>
    <w:p>
      <w:pPr>
        <w:spacing w:before="280" w:after="80"/>
      </w:pPr>
      <w:r>
        <w:rPr>
          <w:rFonts w:ascii="Arial" w:hAnsi="Arial"/>
          <w:b/>
          <w:i w:val="0"/>
          <w:color w:val="1B6C76"/>
          <w:sz w:val="26"/>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Path</w:t>
            </w:r>
          </w:p>
        </w:tc>
        <w:tc>
          <w:tcPr>
            <w:tcW w:type="dxa" w:w="3120"/>
            <w:shd w:val="clear" w:color="auto" w:fill="1A2A4A"/>
          </w:tcPr>
          <w:p>
            <w:r>
              <w:rPr>
                <w:b/>
                <w:color w:val="FFFFFF"/>
                <w:sz w:val="19"/>
              </w:rPr>
              <w:t>First step</w:t>
            </w:r>
          </w:p>
        </w:tc>
      </w:tr>
      <w:tr>
        <w:tc>
          <w:tcPr>
            <w:tcW w:type="dxa" w:w="3120"/>
            <w:shd w:val="clear" w:color="auto" w:fill="F4F6FA"/>
          </w:tcPr>
          <w:p>
            <w:r>
              <w:rPr>
                <w:sz w:val="19"/>
              </w:rPr>
              <w:t>Fuji NXTR placement portfolio pilot</w:t>
            </w:r>
          </w:p>
        </w:tc>
        <w:tc>
          <w:tcPr>
            <w:tcW w:type="dxa" w:w="3120"/>
            <w:shd w:val="clear" w:color="auto" w:fill="F4F6FA"/>
          </w:tcPr>
          <w:p>
            <w:r>
              <w:rPr>
                <w:sz w:val="19"/>
              </w:rPr>
              <w:t>Fuji / EMS customer</w:t>
            </w:r>
          </w:p>
        </w:tc>
        <w:tc>
          <w:tcPr>
            <w:tcW w:type="dxa" w:w="3120"/>
            <w:shd w:val="clear" w:color="auto" w:fill="F4F6FA"/>
          </w:tcPr>
          <w:p>
            <w:r>
              <w:rPr>
                <w:sz w:val="19"/>
              </w:rPr>
              <w:t>Request one quarter of Nexim export from 33-year customer network</w:t>
            </w:r>
          </w:p>
        </w:tc>
      </w:tr>
      <w:tr>
        <w:tc>
          <w:tcPr>
            <w:tcW w:type="dxa" w:w="3120"/>
            <w:shd w:val="clear" w:color="auto" w:fill="FFFFFF"/>
          </w:tcPr>
          <w:p>
            <w:r>
              <w:rPr>
                <w:sz w:val="19"/>
              </w:rPr>
              <w:t>Nordson Dage inspection governance pilot</w:t>
            </w:r>
          </w:p>
        </w:tc>
        <w:tc>
          <w:tcPr>
            <w:tcW w:type="dxa" w:w="3120"/>
            <w:shd w:val="clear" w:color="auto" w:fill="FFFFFF"/>
          </w:tcPr>
          <w:p>
            <w:r>
              <w:rPr>
                <w:sz w:val="19"/>
              </w:rPr>
              <w:t>Nordson Dage applications team</w:t>
            </w:r>
          </w:p>
        </w:tc>
        <w:tc>
          <w:tcPr>
            <w:tcW w:type="dxa" w:w="3120"/>
            <w:shd w:val="clear" w:color="auto" w:fill="FFFFFF"/>
          </w:tcPr>
          <w:p>
            <w:r>
              <w:rPr>
                <w:sz w:val="19"/>
              </w:rPr>
              <w:t>Contact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w:t>
            </w:r>
          </w:p>
        </w:tc>
      </w:tr>
    </w:tbl>
    <w:p>
      <w:pPr>
        <w:spacing w:before="40" w:after="160"/>
      </w:pPr>
    </w:p>
    <w:p>
      <w:pPr>
        <w:spacing w:before="280" w:after="80"/>
      </w:pPr>
      <w:r>
        <w:rPr>
          <w:rFonts w:ascii="Arial" w:hAnsi="Arial"/>
          <w:b/>
          <w:i w:val="0"/>
          <w:color w:val="1B6C76"/>
          <w:sz w:val="26"/>
        </w:rPr>
        <w:t>Track D — Governance (apply to this document set)</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Item</w:t>
            </w:r>
          </w:p>
        </w:tc>
        <w:tc>
          <w:tcPr>
            <w:tcW w:type="dxa" w:w="4680"/>
            <w:shd w:val="clear" w:color="auto" w:fill="1A2A4A"/>
          </w:tcPr>
          <w:p>
            <w:r>
              <w:rPr>
                <w:b/>
                <w:color w:val="FFFFFF"/>
                <w:sz w:val="19"/>
              </w:rPr>
              <w:t>When</w:t>
            </w:r>
          </w:p>
        </w:tc>
      </w:tr>
      <w:tr>
        <w:tc>
          <w:tcPr>
            <w:tcW w:type="dxa" w:w="4680"/>
            <w:shd w:val="clear" w:color="auto" w:fill="F4F6FA"/>
          </w:tcPr>
          <w:p>
            <w:r>
              <w:rPr>
                <w:sz w:val="19"/>
              </w:rPr>
              <w:t>Add two-line headers to all 25 corpus files</w:t>
            </w:r>
          </w:p>
        </w:tc>
        <w:tc>
          <w:tcPr>
            <w:tcW w:type="dxa" w:w="4680"/>
            <w:shd w:val="clear" w:color="auto" w:fill="F4F6FA"/>
          </w:tcPr>
          <w:p>
            <w:r>
              <w:rPr>
                <w:sz w:val="19"/>
              </w:rPr>
              <w:t>Next session with Claude</w:t>
            </w:r>
          </w:p>
        </w:tc>
      </w:tr>
      <w:tr>
        <w:tc>
          <w:tcPr>
            <w:tcW w:type="dxa" w:w="4680"/>
            <w:shd w:val="clear" w:color="auto" w:fill="FFFFFF"/>
          </w:tcPr>
          <w:p>
            <w:r>
              <w:rPr>
                <w:sz w:val="19"/>
              </w:rPr>
              <w:t>Move HUF_Operator_Decision_Log_v1_1.docx to notes/legacy/</w:t>
            </w:r>
          </w:p>
        </w:tc>
        <w:tc>
          <w:tcPr>
            <w:tcW w:type="dxa" w:w="4680"/>
            <w:shd w:val="clear" w:color="auto" w:fill="FFFFFF"/>
          </w:tcPr>
          <w:p>
            <w:r>
              <w:rPr>
                <w:sz w:val="19"/>
              </w:rPr>
              <w:t>Next session with Claude</w:t>
            </w:r>
          </w:p>
        </w:tc>
      </w:tr>
      <w:tr>
        <w:tc>
          <w:tcPr>
            <w:tcW w:type="dxa" w:w="4680"/>
            <w:shd w:val="clear" w:color="auto" w:fill="F4F6FA"/>
          </w:tcPr>
          <w:p>
            <w:r>
              <w:rPr>
                <w:sz w:val="19"/>
              </w:rPr>
              <w:t>Configure Orphan Alert Y/Z per domain at each new deployment (D6)</w:t>
            </w:r>
          </w:p>
        </w:tc>
        <w:tc>
          <w:tcPr>
            <w:tcW w:type="dxa" w:w="4680"/>
            <w:shd w:val="clear" w:color="auto" w:fill="F4F6FA"/>
          </w:tcPr>
          <w:p>
            <w:r>
              <w:rPr>
                <w:sz w:val="19"/>
              </w:rPr>
              <w:t>At each new domain entry</w:t>
            </w:r>
          </w:p>
        </w:tc>
      </w:tr>
      <w:tr>
        <w:tc>
          <w:tcPr>
            <w:tcW w:type="dxa" w:w="4680"/>
            <w:shd w:val="clear" w:color="auto" w:fill="FFFFFF"/>
          </w:tcPr>
          <w:p>
            <w:r>
              <w:rPr>
                <w:sz w:val="19"/>
              </w:rPr>
              <w:t>Add proof-posture markers to any document before external distribution</w:t>
            </w:r>
          </w:p>
        </w:tc>
        <w:tc>
          <w:tcPr>
            <w:tcW w:type="dxa" w:w="4680"/>
            <w:shd w:val="clear" w:color="auto" w:fill="FFFFFF"/>
          </w:tcPr>
          <w:p>
            <w:r>
              <w:rPr>
                <w:sz w:val="19"/>
              </w:rPr>
              <w:t>Before any dispatch</w:t>
            </w:r>
          </w:p>
        </w:tc>
      </w:tr>
    </w:tbl>
    <w:p>
      <w:pPr>
        <w:spacing w:before="40" w:after="160"/>
      </w:pPr>
    </w:p>
    <w:p>
      <w:pPr>
        <w:spacing w:before="240" w:after="0"/>
      </w:pPr>
    </w:p>
    <w:p>
      <w:pPr>
        <w:jc w:val="center"/>
      </w:pPr>
      <w:r>
        <w:rPr>
          <w:rFonts w:ascii="Arial" w:hAnsi="Arial"/>
          <w:b w:val="0"/>
          <w:i w:val="0"/>
          <w:color w:val="888899"/>
          <w:sz w:val="20"/>
        </w:rPr>
        <w:t>──────────────────────────────────────────────</w:t>
      </w:r>
    </w:p>
    <w:p>
      <w:pPr>
        <w:spacing w:before="80" w:after="0"/>
      </w:pPr>
    </w:p>
    <w:p>
      <w:pPr>
        <w:jc w:val="center"/>
      </w:pPr>
      <w:r>
        <w:rPr>
          <w:rFonts w:ascii="Arial" w:hAnsi="Arial"/>
          <w:b w:val="0"/>
          <w:i/>
          <w:color w:val="888899"/>
          <w:sz w:val="18"/>
        </w:rPr>
        <w:t>Peter Higgins  ·  Rogue Wave Audio  ·  Markham, Ontario  ·  HUF v1.2.0  ·  MIT License  ·  March 2026</w:t>
      </w:r>
    </w:p>
    <w:p>
      <w:pPr>
        <w:jc w:val="center"/>
      </w:pPr>
      <w:r>
        <w:rPr>
          <w:rFonts w:ascii="Arial" w:hAnsi="Arial"/>
          <w:b w:val="0"/>
          <w:i/>
          <w:color w:val="888899"/>
          <w:sz w:val="18"/>
        </w:rPr>
        <w:t>Collective: Claude · ChatGPT · Grok · Gemini · Copilot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