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E9DFD" w14:textId="327ABCF8" w:rsidR="00C85A7A" w:rsidRDefault="00BD7AE5" w:rsidP="00BD7AE5">
      <w:pPr>
        <w:pStyle w:val="Title"/>
      </w:pPr>
      <w:r>
        <w:t>OS Project 2</w:t>
      </w:r>
    </w:p>
    <w:p w14:paraId="29B04332" w14:textId="1A28C2FA" w:rsidR="001769E1" w:rsidRPr="001769E1" w:rsidRDefault="001769E1" w:rsidP="00A2647D">
      <w:pPr>
        <w:pStyle w:val="Heading1"/>
      </w:pPr>
      <w:r>
        <w:t>Semaphores</w:t>
      </w:r>
    </w:p>
    <w:p w14:paraId="124D35F7" w14:textId="782631DD" w:rsidR="00BD7AE5" w:rsidRPr="00BD7AE5" w:rsidRDefault="00BD7AE5" w:rsidP="00BD7AE5">
      <w:r>
        <w:t>Upper limit = 5000</w:t>
      </w:r>
    </w:p>
    <w:tbl>
      <w:tblPr>
        <w:tblStyle w:val="TableGrid"/>
        <w:tblW w:w="0" w:type="auto"/>
        <w:tblLook w:val="04A0" w:firstRow="1" w:lastRow="0" w:firstColumn="1" w:lastColumn="0" w:noHBand="0" w:noVBand="1"/>
      </w:tblPr>
      <w:tblGrid>
        <w:gridCol w:w="1558"/>
        <w:gridCol w:w="1558"/>
        <w:gridCol w:w="1558"/>
        <w:gridCol w:w="1558"/>
      </w:tblGrid>
      <w:tr w:rsidR="00BD7AE5" w14:paraId="72CD2AA2" w14:textId="77777777" w:rsidTr="00BD7AE5">
        <w:trPr>
          <w:trHeight w:val="377"/>
        </w:trPr>
        <w:tc>
          <w:tcPr>
            <w:tcW w:w="1558" w:type="dxa"/>
          </w:tcPr>
          <w:p w14:paraId="555B767A" w14:textId="00F1AB0F" w:rsidR="00BD7AE5" w:rsidRDefault="00BD7AE5" w:rsidP="00BD7AE5">
            <w:r>
              <w:t>Buffer Size</w:t>
            </w:r>
          </w:p>
        </w:tc>
        <w:tc>
          <w:tcPr>
            <w:tcW w:w="1558" w:type="dxa"/>
          </w:tcPr>
          <w:p w14:paraId="30DD13A4" w14:textId="433B60DC" w:rsidR="00BD7AE5" w:rsidRDefault="00BD7AE5" w:rsidP="00BD7AE5">
            <w:r>
              <w:t>(1,1)</w:t>
            </w:r>
          </w:p>
        </w:tc>
        <w:tc>
          <w:tcPr>
            <w:tcW w:w="1558" w:type="dxa"/>
          </w:tcPr>
          <w:p w14:paraId="2C4754F1" w14:textId="6CB5A874" w:rsidR="00BD7AE5" w:rsidRDefault="00BD7AE5" w:rsidP="00BD7AE5">
            <w:r>
              <w:t>(1,5)</w:t>
            </w:r>
          </w:p>
        </w:tc>
        <w:tc>
          <w:tcPr>
            <w:tcW w:w="1558" w:type="dxa"/>
          </w:tcPr>
          <w:p w14:paraId="47927DA3" w14:textId="2C6D2028" w:rsidR="00BD7AE5" w:rsidRDefault="00BD7AE5" w:rsidP="00BD7AE5">
            <w:r>
              <w:t>(5,1)</w:t>
            </w:r>
          </w:p>
        </w:tc>
      </w:tr>
      <w:tr w:rsidR="00BD7AE5" w14:paraId="62A283F1" w14:textId="77777777" w:rsidTr="00BD7AE5">
        <w:tc>
          <w:tcPr>
            <w:tcW w:w="1558" w:type="dxa"/>
          </w:tcPr>
          <w:p w14:paraId="43E98469" w14:textId="632794D3" w:rsidR="00BD7AE5" w:rsidRDefault="00BD7AE5" w:rsidP="00BD7AE5">
            <w:r>
              <w:t>10</w:t>
            </w:r>
          </w:p>
        </w:tc>
        <w:tc>
          <w:tcPr>
            <w:tcW w:w="1558" w:type="dxa"/>
          </w:tcPr>
          <w:p w14:paraId="708977D9" w14:textId="677E97E8" w:rsidR="00BD7AE5" w:rsidRDefault="00BD7AE5" w:rsidP="00BD7AE5">
            <w:r>
              <w:t>47864</w:t>
            </w:r>
          </w:p>
        </w:tc>
        <w:tc>
          <w:tcPr>
            <w:tcW w:w="1558" w:type="dxa"/>
          </w:tcPr>
          <w:p w14:paraId="64C7B983" w14:textId="6CADB6AC" w:rsidR="00BD7AE5" w:rsidRDefault="00BD7AE5" w:rsidP="00BD7AE5">
            <w:r>
              <w:t>32522</w:t>
            </w:r>
          </w:p>
        </w:tc>
        <w:tc>
          <w:tcPr>
            <w:tcW w:w="1558" w:type="dxa"/>
          </w:tcPr>
          <w:p w14:paraId="5D24D631" w14:textId="3E36AF3E" w:rsidR="00BD7AE5" w:rsidRDefault="00ED14B5" w:rsidP="00BD7AE5">
            <w:r>
              <w:t>42881</w:t>
            </w:r>
          </w:p>
        </w:tc>
      </w:tr>
      <w:tr w:rsidR="00BD7AE5" w14:paraId="77DB9D40" w14:textId="77777777" w:rsidTr="00BD7AE5">
        <w:tc>
          <w:tcPr>
            <w:tcW w:w="1558" w:type="dxa"/>
          </w:tcPr>
          <w:p w14:paraId="0FAC9C7B" w14:textId="142C0B67" w:rsidR="00BD7AE5" w:rsidRDefault="00BD7AE5" w:rsidP="00BD7AE5">
            <w:r>
              <w:t>20</w:t>
            </w:r>
          </w:p>
        </w:tc>
        <w:tc>
          <w:tcPr>
            <w:tcW w:w="1558" w:type="dxa"/>
          </w:tcPr>
          <w:p w14:paraId="6BFBCBAF" w14:textId="688A97F8" w:rsidR="00BD7AE5" w:rsidRDefault="00BD7AE5" w:rsidP="00BD7AE5">
            <w:r>
              <w:t>47003</w:t>
            </w:r>
          </w:p>
        </w:tc>
        <w:tc>
          <w:tcPr>
            <w:tcW w:w="1558" w:type="dxa"/>
          </w:tcPr>
          <w:p w14:paraId="35C1F0D6" w14:textId="02DF4185" w:rsidR="00BD7AE5" w:rsidRDefault="00BD7AE5" w:rsidP="00BD7AE5">
            <w:r>
              <w:t>31915</w:t>
            </w:r>
          </w:p>
        </w:tc>
        <w:tc>
          <w:tcPr>
            <w:tcW w:w="1558" w:type="dxa"/>
          </w:tcPr>
          <w:p w14:paraId="6C4109BF" w14:textId="552CCC2B" w:rsidR="00BD7AE5" w:rsidRDefault="00ED14B5" w:rsidP="00BD7AE5">
            <w:r>
              <w:t>41733</w:t>
            </w:r>
          </w:p>
        </w:tc>
      </w:tr>
      <w:tr w:rsidR="00BD7AE5" w14:paraId="4AA78D78" w14:textId="77777777" w:rsidTr="00BD7AE5">
        <w:tc>
          <w:tcPr>
            <w:tcW w:w="1558" w:type="dxa"/>
          </w:tcPr>
          <w:p w14:paraId="3F2C8C86" w14:textId="331874FE" w:rsidR="00BD7AE5" w:rsidRDefault="00BD7AE5" w:rsidP="00BD7AE5">
            <w:r>
              <w:t>30</w:t>
            </w:r>
          </w:p>
        </w:tc>
        <w:tc>
          <w:tcPr>
            <w:tcW w:w="1558" w:type="dxa"/>
          </w:tcPr>
          <w:p w14:paraId="2B17B64A" w14:textId="55D497BB" w:rsidR="00BD7AE5" w:rsidRDefault="00BD7AE5" w:rsidP="00BD7AE5">
            <w:r>
              <w:t>46455</w:t>
            </w:r>
          </w:p>
        </w:tc>
        <w:tc>
          <w:tcPr>
            <w:tcW w:w="1558" w:type="dxa"/>
          </w:tcPr>
          <w:p w14:paraId="47B904E8" w14:textId="4E2E0146" w:rsidR="00BD7AE5" w:rsidRDefault="00A2647D" w:rsidP="00BD7AE5">
            <w:r>
              <w:t>35189</w:t>
            </w:r>
          </w:p>
        </w:tc>
        <w:tc>
          <w:tcPr>
            <w:tcW w:w="1558" w:type="dxa"/>
          </w:tcPr>
          <w:p w14:paraId="1FFE11D3" w14:textId="5119DC5E" w:rsidR="00BD7AE5" w:rsidRDefault="00ED14B5" w:rsidP="00BD7AE5">
            <w:r>
              <w:t>41819</w:t>
            </w:r>
          </w:p>
        </w:tc>
      </w:tr>
      <w:tr w:rsidR="00BD7AE5" w14:paraId="3BCB2F9B" w14:textId="77777777" w:rsidTr="00BD7AE5">
        <w:tc>
          <w:tcPr>
            <w:tcW w:w="1558" w:type="dxa"/>
          </w:tcPr>
          <w:p w14:paraId="18EB157B" w14:textId="41ECCE2D" w:rsidR="00BD7AE5" w:rsidRDefault="00BD7AE5" w:rsidP="00BD7AE5">
            <w:r>
              <w:t>40</w:t>
            </w:r>
          </w:p>
        </w:tc>
        <w:tc>
          <w:tcPr>
            <w:tcW w:w="1558" w:type="dxa"/>
          </w:tcPr>
          <w:p w14:paraId="0DA3BDD8" w14:textId="5B235D66" w:rsidR="00BD7AE5" w:rsidRDefault="00BD7AE5" w:rsidP="00BD7AE5">
            <w:r>
              <w:t>46971</w:t>
            </w:r>
          </w:p>
        </w:tc>
        <w:tc>
          <w:tcPr>
            <w:tcW w:w="1558" w:type="dxa"/>
          </w:tcPr>
          <w:p w14:paraId="5DB6B6BF" w14:textId="09A7A0C5" w:rsidR="00BD7AE5" w:rsidRDefault="00BD7AE5" w:rsidP="00BD7AE5">
            <w:r>
              <w:t>29991</w:t>
            </w:r>
          </w:p>
        </w:tc>
        <w:tc>
          <w:tcPr>
            <w:tcW w:w="1558" w:type="dxa"/>
          </w:tcPr>
          <w:p w14:paraId="458DAED4" w14:textId="1D17A2CD" w:rsidR="00BD7AE5" w:rsidRDefault="00ED14B5" w:rsidP="00BD7AE5">
            <w:r>
              <w:t>42935</w:t>
            </w:r>
          </w:p>
        </w:tc>
      </w:tr>
      <w:tr w:rsidR="00BD7AE5" w14:paraId="4D81BBEE" w14:textId="77777777" w:rsidTr="00BD7AE5">
        <w:tc>
          <w:tcPr>
            <w:tcW w:w="1558" w:type="dxa"/>
          </w:tcPr>
          <w:p w14:paraId="7CEE1C48" w14:textId="206A5445" w:rsidR="00BD7AE5" w:rsidRDefault="00BD7AE5" w:rsidP="00BD7AE5">
            <w:r>
              <w:t>50</w:t>
            </w:r>
          </w:p>
        </w:tc>
        <w:tc>
          <w:tcPr>
            <w:tcW w:w="1558" w:type="dxa"/>
          </w:tcPr>
          <w:p w14:paraId="55BFE13A" w14:textId="17FED766" w:rsidR="00BD7AE5" w:rsidRDefault="00BD7AE5" w:rsidP="00BD7AE5">
            <w:r>
              <w:t>46439</w:t>
            </w:r>
          </w:p>
        </w:tc>
        <w:tc>
          <w:tcPr>
            <w:tcW w:w="1558" w:type="dxa"/>
          </w:tcPr>
          <w:p w14:paraId="3D305DA4" w14:textId="355AA22B" w:rsidR="00BD7AE5" w:rsidRDefault="00ED14B5" w:rsidP="00BD7AE5">
            <w:r>
              <w:t>31198</w:t>
            </w:r>
          </w:p>
        </w:tc>
        <w:tc>
          <w:tcPr>
            <w:tcW w:w="1558" w:type="dxa"/>
          </w:tcPr>
          <w:p w14:paraId="038521D1" w14:textId="79E40770" w:rsidR="00BD7AE5" w:rsidRDefault="00ED14B5" w:rsidP="00BD7AE5">
            <w:r>
              <w:t>41795</w:t>
            </w:r>
          </w:p>
        </w:tc>
      </w:tr>
      <w:tr w:rsidR="00BD7AE5" w14:paraId="714D9108" w14:textId="77777777" w:rsidTr="00BD7AE5">
        <w:tc>
          <w:tcPr>
            <w:tcW w:w="1558" w:type="dxa"/>
          </w:tcPr>
          <w:p w14:paraId="05136E95" w14:textId="3F20E866" w:rsidR="00BD7AE5" w:rsidRDefault="00BD7AE5" w:rsidP="00BD7AE5">
            <w:r>
              <w:t>100</w:t>
            </w:r>
          </w:p>
        </w:tc>
        <w:tc>
          <w:tcPr>
            <w:tcW w:w="1558" w:type="dxa"/>
          </w:tcPr>
          <w:p w14:paraId="55860ACB" w14:textId="749F33E8" w:rsidR="00BD7AE5" w:rsidRDefault="00BD7AE5" w:rsidP="00BD7AE5">
            <w:r>
              <w:t>40299</w:t>
            </w:r>
          </w:p>
        </w:tc>
        <w:tc>
          <w:tcPr>
            <w:tcW w:w="1558" w:type="dxa"/>
          </w:tcPr>
          <w:p w14:paraId="1258DE39" w14:textId="427ADA58" w:rsidR="00BD7AE5" w:rsidRDefault="00BD7AE5" w:rsidP="00BD7AE5">
            <w:r>
              <w:t>30587</w:t>
            </w:r>
          </w:p>
        </w:tc>
        <w:tc>
          <w:tcPr>
            <w:tcW w:w="1558" w:type="dxa"/>
          </w:tcPr>
          <w:p w14:paraId="7651E754" w14:textId="109A96A3" w:rsidR="00BD7AE5" w:rsidRDefault="00ED14B5" w:rsidP="00BD7AE5">
            <w:r>
              <w:t>42811</w:t>
            </w:r>
          </w:p>
        </w:tc>
      </w:tr>
    </w:tbl>
    <w:p w14:paraId="7DCBECD9" w14:textId="011C93CA" w:rsidR="00BD7AE5" w:rsidRDefault="00BD7AE5" w:rsidP="00BD7AE5"/>
    <w:p w14:paraId="405E530C" w14:textId="58D13210" w:rsidR="00A2647D" w:rsidRDefault="00A2647D" w:rsidP="00BD7AE5">
      <w:r>
        <w:rPr>
          <w:noProof/>
        </w:rPr>
        <w:drawing>
          <wp:inline distT="0" distB="0" distL="0" distR="0" wp14:anchorId="7016146F" wp14:editId="1A1AE94E">
            <wp:extent cx="44386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1524000"/>
                    </a:xfrm>
                    <a:prstGeom prst="rect">
                      <a:avLst/>
                    </a:prstGeom>
                  </pic:spPr>
                </pic:pic>
              </a:graphicData>
            </a:graphic>
          </wp:inline>
        </w:drawing>
      </w:r>
    </w:p>
    <w:p w14:paraId="6C7A7304" w14:textId="6CC2D71E" w:rsidR="00A2647D" w:rsidRDefault="00A2647D" w:rsidP="00BD7AE5">
      <w:r>
        <w:t>The orange line is (1,1)</w:t>
      </w:r>
    </w:p>
    <w:p w14:paraId="09C381FB" w14:textId="03B570DC" w:rsidR="00870135" w:rsidRDefault="00870135" w:rsidP="00BD7AE5">
      <w:r>
        <w:t>The gray line is (1,5)</w:t>
      </w:r>
    </w:p>
    <w:p w14:paraId="62B46B76" w14:textId="06AA46A8" w:rsidR="00870135" w:rsidRDefault="00870135" w:rsidP="00BD7AE5">
      <w:r>
        <w:t>The yellow line is (5,1)</w:t>
      </w:r>
    </w:p>
    <w:p w14:paraId="25753421" w14:textId="24002DB9" w:rsidR="00ED14B5" w:rsidRDefault="001769E1" w:rsidP="00A2647D">
      <w:pPr>
        <w:pStyle w:val="Heading1"/>
      </w:pPr>
      <w:r>
        <w:t>Spinlocks</w:t>
      </w:r>
    </w:p>
    <w:p w14:paraId="35E6E72D" w14:textId="10E09074" w:rsidR="001769E1" w:rsidRDefault="001769E1" w:rsidP="00BD7AE5">
      <w:r>
        <w:t>Upper limit = 5000</w:t>
      </w:r>
    </w:p>
    <w:tbl>
      <w:tblPr>
        <w:tblStyle w:val="TableGrid"/>
        <w:tblW w:w="0" w:type="auto"/>
        <w:tblLook w:val="04A0" w:firstRow="1" w:lastRow="0" w:firstColumn="1" w:lastColumn="0" w:noHBand="0" w:noVBand="1"/>
      </w:tblPr>
      <w:tblGrid>
        <w:gridCol w:w="1558"/>
        <w:gridCol w:w="1558"/>
        <w:gridCol w:w="1558"/>
        <w:gridCol w:w="1558"/>
      </w:tblGrid>
      <w:tr w:rsidR="001769E1" w14:paraId="7A6D9C04" w14:textId="77777777" w:rsidTr="007D19E4">
        <w:trPr>
          <w:trHeight w:val="377"/>
        </w:trPr>
        <w:tc>
          <w:tcPr>
            <w:tcW w:w="1558" w:type="dxa"/>
          </w:tcPr>
          <w:p w14:paraId="665E353E" w14:textId="77777777" w:rsidR="001769E1" w:rsidRDefault="001769E1" w:rsidP="007D19E4">
            <w:r>
              <w:t>Buffer Size</w:t>
            </w:r>
          </w:p>
        </w:tc>
        <w:tc>
          <w:tcPr>
            <w:tcW w:w="1558" w:type="dxa"/>
          </w:tcPr>
          <w:p w14:paraId="472D704D" w14:textId="77777777" w:rsidR="001769E1" w:rsidRDefault="001769E1" w:rsidP="007D19E4">
            <w:r>
              <w:t>(1,1)</w:t>
            </w:r>
          </w:p>
        </w:tc>
        <w:tc>
          <w:tcPr>
            <w:tcW w:w="1558" w:type="dxa"/>
          </w:tcPr>
          <w:p w14:paraId="353A1F94" w14:textId="77777777" w:rsidR="001769E1" w:rsidRDefault="001769E1" w:rsidP="007D19E4">
            <w:r>
              <w:t>(1,5)</w:t>
            </w:r>
          </w:p>
        </w:tc>
        <w:tc>
          <w:tcPr>
            <w:tcW w:w="1558" w:type="dxa"/>
          </w:tcPr>
          <w:p w14:paraId="11DA2FEF" w14:textId="77777777" w:rsidR="001769E1" w:rsidRDefault="001769E1" w:rsidP="007D19E4">
            <w:r>
              <w:t>(5,1)</w:t>
            </w:r>
          </w:p>
        </w:tc>
      </w:tr>
      <w:tr w:rsidR="001769E1" w14:paraId="67BA5AAC" w14:textId="77777777" w:rsidTr="007D19E4">
        <w:tc>
          <w:tcPr>
            <w:tcW w:w="1558" w:type="dxa"/>
          </w:tcPr>
          <w:p w14:paraId="5A074E7F" w14:textId="77777777" w:rsidR="001769E1" w:rsidRDefault="001769E1" w:rsidP="007D19E4">
            <w:r>
              <w:t>10</w:t>
            </w:r>
          </w:p>
        </w:tc>
        <w:tc>
          <w:tcPr>
            <w:tcW w:w="1558" w:type="dxa"/>
          </w:tcPr>
          <w:p w14:paraId="655B4084" w14:textId="186E9792" w:rsidR="001769E1" w:rsidRDefault="00A2647D" w:rsidP="007D19E4">
            <w:r>
              <w:t>49434</w:t>
            </w:r>
          </w:p>
        </w:tc>
        <w:tc>
          <w:tcPr>
            <w:tcW w:w="1558" w:type="dxa"/>
          </w:tcPr>
          <w:p w14:paraId="78C6F4BF" w14:textId="44A382B6" w:rsidR="001769E1" w:rsidRDefault="001769E1" w:rsidP="007D19E4">
            <w:r>
              <w:t>3</w:t>
            </w:r>
            <w:r w:rsidR="00875452">
              <w:t>5157</w:t>
            </w:r>
          </w:p>
        </w:tc>
        <w:tc>
          <w:tcPr>
            <w:tcW w:w="1558" w:type="dxa"/>
          </w:tcPr>
          <w:p w14:paraId="03A839B4" w14:textId="41B3A06C" w:rsidR="001769E1" w:rsidRDefault="001769E1" w:rsidP="007D19E4">
            <w:r>
              <w:t>4</w:t>
            </w:r>
            <w:r w:rsidR="00875452">
              <w:t>5516</w:t>
            </w:r>
          </w:p>
        </w:tc>
      </w:tr>
      <w:tr w:rsidR="001769E1" w14:paraId="6F98EA66" w14:textId="77777777" w:rsidTr="007D19E4">
        <w:tc>
          <w:tcPr>
            <w:tcW w:w="1558" w:type="dxa"/>
          </w:tcPr>
          <w:p w14:paraId="73355FBC" w14:textId="77777777" w:rsidR="001769E1" w:rsidRDefault="001769E1" w:rsidP="007D19E4">
            <w:r>
              <w:t>20</w:t>
            </w:r>
          </w:p>
        </w:tc>
        <w:tc>
          <w:tcPr>
            <w:tcW w:w="1558" w:type="dxa"/>
          </w:tcPr>
          <w:p w14:paraId="61A694AC" w14:textId="16E5A820" w:rsidR="001769E1" w:rsidRDefault="001769E1" w:rsidP="007D19E4">
            <w:r>
              <w:t>4</w:t>
            </w:r>
            <w:r w:rsidR="00875452">
              <w:t>4188</w:t>
            </w:r>
          </w:p>
        </w:tc>
        <w:tc>
          <w:tcPr>
            <w:tcW w:w="1558" w:type="dxa"/>
          </w:tcPr>
          <w:p w14:paraId="4EA2818B" w14:textId="37B5C943" w:rsidR="001769E1" w:rsidRDefault="001769E1" w:rsidP="007D19E4">
            <w:r>
              <w:t>3</w:t>
            </w:r>
            <w:r w:rsidR="00875452">
              <w:t>4737</w:t>
            </w:r>
          </w:p>
        </w:tc>
        <w:tc>
          <w:tcPr>
            <w:tcW w:w="1558" w:type="dxa"/>
          </w:tcPr>
          <w:p w14:paraId="4B50A363" w14:textId="49D59136" w:rsidR="001769E1" w:rsidRDefault="001769E1" w:rsidP="007D19E4">
            <w:r>
              <w:t>4</w:t>
            </w:r>
            <w:r w:rsidR="00875452">
              <w:t>4947</w:t>
            </w:r>
          </w:p>
        </w:tc>
      </w:tr>
      <w:tr w:rsidR="001769E1" w14:paraId="3F3215B5" w14:textId="77777777" w:rsidTr="007D19E4">
        <w:tc>
          <w:tcPr>
            <w:tcW w:w="1558" w:type="dxa"/>
          </w:tcPr>
          <w:p w14:paraId="5865384D" w14:textId="77777777" w:rsidR="001769E1" w:rsidRDefault="001769E1" w:rsidP="007D19E4">
            <w:r>
              <w:t>30</w:t>
            </w:r>
          </w:p>
        </w:tc>
        <w:tc>
          <w:tcPr>
            <w:tcW w:w="1558" w:type="dxa"/>
          </w:tcPr>
          <w:p w14:paraId="3E2DB585" w14:textId="36048FF8" w:rsidR="001769E1" w:rsidRDefault="001769E1" w:rsidP="007D19E4">
            <w:r>
              <w:t>4</w:t>
            </w:r>
            <w:r w:rsidR="00875452">
              <w:t>4464</w:t>
            </w:r>
          </w:p>
        </w:tc>
        <w:tc>
          <w:tcPr>
            <w:tcW w:w="1558" w:type="dxa"/>
          </w:tcPr>
          <w:p w14:paraId="7A997718" w14:textId="64831249" w:rsidR="001769E1" w:rsidRDefault="00875452" w:rsidP="007D19E4">
            <w:r>
              <w:t>34472</w:t>
            </w:r>
          </w:p>
        </w:tc>
        <w:tc>
          <w:tcPr>
            <w:tcW w:w="1558" w:type="dxa"/>
          </w:tcPr>
          <w:p w14:paraId="6C7AD45E" w14:textId="36B6D29F" w:rsidR="001769E1" w:rsidRDefault="001769E1" w:rsidP="007D19E4">
            <w:r>
              <w:t>4</w:t>
            </w:r>
            <w:r w:rsidR="00875452">
              <w:t>4866</w:t>
            </w:r>
          </w:p>
        </w:tc>
      </w:tr>
      <w:tr w:rsidR="001769E1" w14:paraId="6B21157E" w14:textId="77777777" w:rsidTr="007D19E4">
        <w:tc>
          <w:tcPr>
            <w:tcW w:w="1558" w:type="dxa"/>
          </w:tcPr>
          <w:p w14:paraId="7F778875" w14:textId="77777777" w:rsidR="001769E1" w:rsidRDefault="001769E1" w:rsidP="007D19E4">
            <w:r>
              <w:t>40</w:t>
            </w:r>
          </w:p>
        </w:tc>
        <w:tc>
          <w:tcPr>
            <w:tcW w:w="1558" w:type="dxa"/>
          </w:tcPr>
          <w:p w14:paraId="27BAEA30" w14:textId="2A3704EE" w:rsidR="001769E1" w:rsidRDefault="001769E1" w:rsidP="007D19E4">
            <w:r>
              <w:t>4</w:t>
            </w:r>
            <w:r w:rsidR="00875452">
              <w:t>4656</w:t>
            </w:r>
          </w:p>
        </w:tc>
        <w:tc>
          <w:tcPr>
            <w:tcW w:w="1558" w:type="dxa"/>
          </w:tcPr>
          <w:p w14:paraId="48B70CAD" w14:textId="75BD3F03" w:rsidR="00875452" w:rsidRDefault="00875452" w:rsidP="007D19E4">
            <w:r>
              <w:t>34008</w:t>
            </w:r>
          </w:p>
        </w:tc>
        <w:tc>
          <w:tcPr>
            <w:tcW w:w="1558" w:type="dxa"/>
          </w:tcPr>
          <w:p w14:paraId="316E2F80" w14:textId="7E78D1AB" w:rsidR="001769E1" w:rsidRDefault="001769E1" w:rsidP="007D19E4">
            <w:r>
              <w:t>4</w:t>
            </w:r>
            <w:r w:rsidR="00875452">
              <w:t>5127</w:t>
            </w:r>
          </w:p>
        </w:tc>
      </w:tr>
      <w:tr w:rsidR="001769E1" w14:paraId="66562FBC" w14:textId="77777777" w:rsidTr="007D19E4">
        <w:tc>
          <w:tcPr>
            <w:tcW w:w="1558" w:type="dxa"/>
          </w:tcPr>
          <w:p w14:paraId="6F42745D" w14:textId="77777777" w:rsidR="001769E1" w:rsidRDefault="001769E1" w:rsidP="007D19E4">
            <w:r>
              <w:t>50</w:t>
            </w:r>
          </w:p>
        </w:tc>
        <w:tc>
          <w:tcPr>
            <w:tcW w:w="1558" w:type="dxa"/>
          </w:tcPr>
          <w:p w14:paraId="6376FBB5" w14:textId="7FD3362C" w:rsidR="001769E1" w:rsidRDefault="001769E1" w:rsidP="007D19E4">
            <w:r>
              <w:t>4</w:t>
            </w:r>
            <w:r w:rsidR="00875452">
              <w:t>2659</w:t>
            </w:r>
          </w:p>
        </w:tc>
        <w:tc>
          <w:tcPr>
            <w:tcW w:w="1558" w:type="dxa"/>
          </w:tcPr>
          <w:p w14:paraId="66A34C8E" w14:textId="4A9460DC" w:rsidR="001769E1" w:rsidRDefault="001769E1" w:rsidP="007D19E4">
            <w:r>
              <w:t>3</w:t>
            </w:r>
            <w:r w:rsidR="00875452">
              <w:t>3690</w:t>
            </w:r>
          </w:p>
        </w:tc>
        <w:tc>
          <w:tcPr>
            <w:tcW w:w="1558" w:type="dxa"/>
          </w:tcPr>
          <w:p w14:paraId="21BCE2D1" w14:textId="2C80120B" w:rsidR="001769E1" w:rsidRDefault="001769E1" w:rsidP="007D19E4">
            <w:r>
              <w:t>4</w:t>
            </w:r>
            <w:r w:rsidR="00875452">
              <w:t>3290</w:t>
            </w:r>
          </w:p>
        </w:tc>
      </w:tr>
      <w:tr w:rsidR="001769E1" w14:paraId="003DA4F8" w14:textId="77777777" w:rsidTr="007D19E4">
        <w:tc>
          <w:tcPr>
            <w:tcW w:w="1558" w:type="dxa"/>
          </w:tcPr>
          <w:p w14:paraId="137227E6" w14:textId="77777777" w:rsidR="001769E1" w:rsidRDefault="001769E1" w:rsidP="007D19E4">
            <w:r>
              <w:t>100</w:t>
            </w:r>
          </w:p>
        </w:tc>
        <w:tc>
          <w:tcPr>
            <w:tcW w:w="1558" w:type="dxa"/>
          </w:tcPr>
          <w:p w14:paraId="1D716BE9" w14:textId="3F86AD76" w:rsidR="001769E1" w:rsidRDefault="001769E1" w:rsidP="007D19E4">
            <w:r>
              <w:t>4</w:t>
            </w:r>
            <w:r w:rsidR="00875452">
              <w:t>2717</w:t>
            </w:r>
          </w:p>
        </w:tc>
        <w:tc>
          <w:tcPr>
            <w:tcW w:w="1558" w:type="dxa"/>
          </w:tcPr>
          <w:p w14:paraId="23459CD1" w14:textId="5834308E" w:rsidR="001769E1" w:rsidRDefault="001769E1" w:rsidP="007D19E4">
            <w:r>
              <w:t>3</w:t>
            </w:r>
            <w:r w:rsidR="00875452">
              <w:t>3433</w:t>
            </w:r>
          </w:p>
        </w:tc>
        <w:tc>
          <w:tcPr>
            <w:tcW w:w="1558" w:type="dxa"/>
          </w:tcPr>
          <w:p w14:paraId="409DC93B" w14:textId="20DA8105" w:rsidR="001769E1" w:rsidRDefault="001769E1" w:rsidP="007D19E4">
            <w:r>
              <w:t>4</w:t>
            </w:r>
            <w:r w:rsidR="00875452">
              <w:t>3876</w:t>
            </w:r>
          </w:p>
        </w:tc>
      </w:tr>
    </w:tbl>
    <w:p w14:paraId="1212629F" w14:textId="48E5707F" w:rsidR="001769E1" w:rsidRDefault="001769E1" w:rsidP="00BD7AE5"/>
    <w:p w14:paraId="25199FFD" w14:textId="01157152" w:rsidR="00A2647D" w:rsidRDefault="00A2647D" w:rsidP="00BD7AE5">
      <w:r>
        <w:rPr>
          <w:noProof/>
        </w:rPr>
        <w:lastRenderedPageBreak/>
        <w:drawing>
          <wp:inline distT="0" distB="0" distL="0" distR="0" wp14:anchorId="2EA8FF40" wp14:editId="24551764">
            <wp:extent cx="42672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1704975"/>
                    </a:xfrm>
                    <a:prstGeom prst="rect">
                      <a:avLst/>
                    </a:prstGeom>
                  </pic:spPr>
                </pic:pic>
              </a:graphicData>
            </a:graphic>
          </wp:inline>
        </w:drawing>
      </w:r>
    </w:p>
    <w:p w14:paraId="29CF6115" w14:textId="77777777" w:rsidR="00870135" w:rsidRDefault="00870135" w:rsidP="00870135">
      <w:r>
        <w:t>The orange line is (1,1)</w:t>
      </w:r>
    </w:p>
    <w:p w14:paraId="13CC2A43" w14:textId="77777777" w:rsidR="00870135" w:rsidRDefault="00870135" w:rsidP="00870135">
      <w:r>
        <w:t>The gray line is (1,5)</w:t>
      </w:r>
    </w:p>
    <w:p w14:paraId="1A7E18B2" w14:textId="37C55724" w:rsidR="00870135" w:rsidRDefault="00870135" w:rsidP="00870135">
      <w:r>
        <w:t>The yellow lin</w:t>
      </w:r>
      <w:r>
        <w:t>e</w:t>
      </w:r>
      <w:r>
        <w:t xml:space="preserve"> is (5,1)</w:t>
      </w:r>
    </w:p>
    <w:p w14:paraId="7819F7F9" w14:textId="72861BA9" w:rsidR="00875452" w:rsidRDefault="00875452" w:rsidP="00BD7AE5"/>
    <w:p w14:paraId="1DE008AD" w14:textId="3F9C86DA" w:rsidR="00870135" w:rsidRDefault="00870135" w:rsidP="00BD7AE5">
      <w:r>
        <w:t xml:space="preserve">It was not possible to extend the critical section dramatically.  Every time this was attempted, Hera2 would </w:t>
      </w:r>
      <w:r w:rsidR="000F15CC">
        <w:t>run very slow, and freeze</w:t>
      </w:r>
      <w:r>
        <w:t>.  Because of this, the difference between the spinlock and semaphore efficiency is not easily noticeable.  However, the spinlock is slightly faster than the semaphore.  This is true because when the critical section’s length is short</w:t>
      </w:r>
      <w:r w:rsidR="00FB5D6F">
        <w:t xml:space="preserve"> because</w:t>
      </w:r>
      <w:r>
        <w:t xml:space="preserve"> the CPU usage of the spinlock is not as costly as the context switch of the semaphore.  If the critical section was very large, the semaphore would have faster results, as the context switch does not take as many resources as the </w:t>
      </w:r>
      <w:r w:rsidR="00FB5D6F">
        <w:t>busy waiting</w:t>
      </w:r>
      <w:r>
        <w:t xml:space="preserve"> of the spinlock when the critical section is long.</w:t>
      </w:r>
    </w:p>
    <w:p w14:paraId="72EE36EE" w14:textId="2CA0D5CB" w:rsidR="00FB5D6F" w:rsidRPr="00BD7AE5" w:rsidRDefault="00FB5D6F" w:rsidP="00BD7AE5">
      <w:r>
        <w:t>Both programs were observed to run faster with a larger number of consumers than producers.  This could indicate that the process of removing the element from the buffer and printing it is consistently larger than the producer’s task of inserting into the buffer and incrementing the shared variable.  It may also be due to the producer’s having an extra semaphore to guard the variable shared among them.</w:t>
      </w:r>
      <w:bookmarkStart w:id="0" w:name="_GoBack"/>
      <w:bookmarkEnd w:id="0"/>
    </w:p>
    <w:sectPr w:rsidR="00FB5D6F" w:rsidRPr="00BD7A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348C" w14:textId="77777777" w:rsidR="0055050D" w:rsidRDefault="0055050D" w:rsidP="00BD7AE5">
      <w:pPr>
        <w:spacing w:after="0" w:line="240" w:lineRule="auto"/>
      </w:pPr>
      <w:r>
        <w:separator/>
      </w:r>
    </w:p>
  </w:endnote>
  <w:endnote w:type="continuationSeparator" w:id="0">
    <w:p w14:paraId="01D00FC9" w14:textId="77777777" w:rsidR="0055050D" w:rsidRDefault="0055050D" w:rsidP="00BD7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24B3B" w14:textId="77777777" w:rsidR="0055050D" w:rsidRDefault="0055050D" w:rsidP="00BD7AE5">
      <w:pPr>
        <w:spacing w:after="0" w:line="240" w:lineRule="auto"/>
      </w:pPr>
      <w:r>
        <w:separator/>
      </w:r>
    </w:p>
  </w:footnote>
  <w:footnote w:type="continuationSeparator" w:id="0">
    <w:p w14:paraId="31D13173" w14:textId="77777777" w:rsidR="0055050D" w:rsidRDefault="0055050D" w:rsidP="00BD7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F5DFF" w14:textId="0D831CD9" w:rsidR="00ED14B5" w:rsidRDefault="00ED14B5">
    <w:pPr>
      <w:pStyle w:val="Header"/>
    </w:pPr>
    <w:r>
      <w:t>Peter Harlan &amp; Mary Odenthal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E5"/>
    <w:rsid w:val="000F15CC"/>
    <w:rsid w:val="001769E1"/>
    <w:rsid w:val="0055050D"/>
    <w:rsid w:val="00870135"/>
    <w:rsid w:val="00875452"/>
    <w:rsid w:val="00A2647D"/>
    <w:rsid w:val="00BD7AE5"/>
    <w:rsid w:val="00C85A7A"/>
    <w:rsid w:val="00ED14B5"/>
    <w:rsid w:val="00FB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9EC71"/>
  <w15:chartTrackingRefBased/>
  <w15:docId w15:val="{1A866E47-97F3-4A40-BF38-BC8E715D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A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D7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AE5"/>
  </w:style>
  <w:style w:type="paragraph" w:styleId="Footer">
    <w:name w:val="footer"/>
    <w:basedOn w:val="Normal"/>
    <w:link w:val="FooterChar"/>
    <w:uiPriority w:val="99"/>
    <w:unhideWhenUsed/>
    <w:rsid w:val="00BD7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AE5"/>
  </w:style>
  <w:style w:type="table" w:styleId="TableGrid">
    <w:name w:val="Table Grid"/>
    <w:basedOn w:val="TableNormal"/>
    <w:uiPriority w:val="39"/>
    <w:rsid w:val="00BD7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4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Odenthal</dc:creator>
  <cp:keywords/>
  <dc:description/>
  <cp:lastModifiedBy>Mary Odenthal</cp:lastModifiedBy>
  <cp:revision>2</cp:revision>
  <dcterms:created xsi:type="dcterms:W3CDTF">2018-12-02T19:45:00Z</dcterms:created>
  <dcterms:modified xsi:type="dcterms:W3CDTF">2018-12-03T14:20:00Z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bf864c-75c6-4324-aa24-0e0d52cf4ddb_Enabled">
    <vt:lpwstr>True</vt:lpwstr>
  </property>
  <property fmtid="{D5CDD505-2E9C-101B-9397-08002B2CF9AE}" pid="3" name="MSIP_Label_aebf864c-75c6-4324-aa24-0e0d52cf4ddb_SiteId">
    <vt:lpwstr>0d32279f-b86a-46bc-af3c-48ad3cf3caf9</vt:lpwstr>
  </property>
  <property fmtid="{D5CDD505-2E9C-101B-9397-08002B2CF9AE}" pid="4" name="MSIP_Label_aebf864c-75c6-4324-aa24-0e0d52cf4ddb_Owner">
    <vt:lpwstr>mary.odenthal@fotlinc.com</vt:lpwstr>
  </property>
  <property fmtid="{D5CDD505-2E9C-101B-9397-08002B2CF9AE}" pid="5" name="MSIP_Label_aebf864c-75c6-4324-aa24-0e0d52cf4ddb_SetDate">
    <vt:lpwstr>2018-12-02T21:02:17.0652335Z</vt:lpwstr>
  </property>
  <property fmtid="{D5CDD505-2E9C-101B-9397-08002B2CF9AE}" pid="6" name="MSIP_Label_aebf864c-75c6-4324-aa24-0e0d52cf4ddb_Name">
    <vt:lpwstr>Confidential</vt:lpwstr>
  </property>
  <property fmtid="{D5CDD505-2E9C-101B-9397-08002B2CF9AE}" pid="7" name="MSIP_Label_aebf864c-75c6-4324-aa24-0e0d52cf4ddb_Application">
    <vt:lpwstr>Microsoft Azure Information Protection</vt:lpwstr>
  </property>
  <property fmtid="{D5CDD505-2E9C-101B-9397-08002B2CF9AE}" pid="8" name="MSIP_Label_aebf864c-75c6-4324-aa24-0e0d52cf4ddb_Extended_MSFT_Method">
    <vt:lpwstr>Automatic</vt:lpwstr>
  </property>
  <property fmtid="{D5CDD505-2E9C-101B-9397-08002B2CF9AE}" pid="9" name="Sensitivity">
    <vt:lpwstr>Confidential</vt:lpwstr>
  </property>
</Properties>
</file>