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jc w:val="center"/>
      </w:pPr>
      <w:r>
        <w:rPr>
          <w:b/>
          <w:color w:val="0D1B2A"/>
          <w:sz w:val="56"/>
        </w:rPr>
        <w:t>HIGGINS UNITY FRAMEWORK</w:t>
      </w:r>
    </w:p>
    <w:p>
      <w:pPr>
        <w:spacing w:before="80" w:after="80"/>
        <w:pBdr>
          <w:bottom w:val="single" w:sz="12" w:space="1" w:color="0D1B2A"/>
        </w:pBdr>
      </w:pPr>
    </w:p>
    <w:p>
      <w:pPr>
        <w:spacing w:after="80"/>
        <w:jc w:val="center"/>
      </w:pPr>
      <w:r>
        <w:rPr>
          <w:i/>
          <w:color w:val="0F3460"/>
          <w:sz w:val="32"/>
        </w:rPr>
        <w:t>The Experiment Series: EXP-01 through EXP-05</w:t>
      </w:r>
    </w:p>
    <w:p>
      <w:pPr>
        <w:spacing w:after="400"/>
        <w:jc w:val="center"/>
      </w:pPr>
      <w:r>
        <w:rPr>
          <w:i/>
          <w:color w:val="555555"/>
          <w:sz w:val="26"/>
        </w:rPr>
        <w:t>A Conclusion on Method, Discovery, and the Arc of Inquiry</w:t>
      </w:r>
    </w:p>
    <w:p>
      <w:pPr>
        <w:spacing w:after="120"/>
        <w:jc w:val="center"/>
      </w:pPr>
      <w:r>
        <w:rPr>
          <w:i/>
          <w:color w:val="1A1A2E"/>
          <w:sz w:val="22"/>
        </w:rPr>
        <w:t xml:space="preserve">Five experiments. Four years. Thirty domains. </w:t>
      </w:r>
      <w:r>
        <w:rPr>
          <w:b/>
          <w:i/>
          <w:color w:val="0D1B2A"/>
          <w:sz w:val="22"/>
        </w:rPr>
        <w:t>One framework.</w:t>
      </w:r>
    </w:p>
    <w:p>
      <w:pPr>
        <w:spacing w:after="480"/>
        <w:jc w:val="center"/>
      </w:pPr>
      <w:r>
        <w:rPr>
          <w:i/>
          <w:color w:val="555555"/>
          <w:sz w:val="20"/>
        </w:rPr>
        <w:t xml:space="preserve">From the gold/silver ratio to igneous rock differentiation, a compositional </w:t>
      </w:r>
      <w:r>
        <w:rPr>
          <w:b/>
          <w:i/>
          <w:color w:val="555555"/>
          <w:sz w:val="20"/>
        </w:rPr>
        <w:t xml:space="preserve">toolkit </w:t>
      </w:r>
      <w:r>
        <w:rPr>
          <w:i/>
          <w:color w:val="555555"/>
          <w:sz w:val="20"/>
        </w:rPr>
        <w:t>built itself — each experiment revealing the tool the next one needed.</w:t>
      </w:r>
    </w:p>
    <w:p>
      <w:pPr>
        <w:spacing w:after="40"/>
        <w:jc w:val="center"/>
      </w:pPr>
      <w:r>
        <w:rPr>
          <w:sz w:val="24"/>
        </w:rPr>
        <w:t>Peter Higgins</w:t>
      </w:r>
    </w:p>
    <w:p>
      <w:pPr>
        <w:spacing w:after="40"/>
        <w:jc w:val="center"/>
      </w:pPr>
      <w:r>
        <w:rPr>
          <w:i/>
          <w:color w:val="555555"/>
          <w:sz w:val="20"/>
        </w:rPr>
        <w:t>Independent Researcher, Markham, Ontario, Canada</w:t>
      </w:r>
    </w:p>
    <w:p>
      <w:pPr>
        <w:spacing w:after="160"/>
        <w:jc w:val="center"/>
      </w:pPr>
      <w:r>
        <w:rPr>
          <w:color w:val="555555"/>
          <w:sz w:val="20"/>
        </w:rPr>
        <w:t>April 2026</w:t>
      </w:r>
    </w:p>
    <w:p>
      <w:pPr>
        <w:spacing w:after="80"/>
        <w:jc w:val="center"/>
      </w:pPr>
      <w:r>
        <w:rPr>
          <w:b/>
          <w:color w:val="028090"/>
          <w:sz w:val="20"/>
        </w:rPr>
        <w:t>Prepared for CoDaWork 2026 — Coimbra, Portugal, 1–5 June 2026</w:t>
      </w:r>
    </w:p>
    <w:p>
      <w:pPr>
        <w:spacing w:before="80" w:after="80"/>
        <w:pBdr>
          <w:bottom w:val="single" w:sz="8" w:space="1" w:color="028090"/>
        </w:pBdr>
      </w:pPr>
    </w:p>
    <w:p>
      <w:pPr>
        <w:spacing w:after="40"/>
        <w:jc w:val="center"/>
      </w:pPr>
      <w:r>
        <w:rPr>
          <w:b/>
          <w:color w:val="1A1A2E"/>
          <w:sz w:val="18"/>
        </w:rPr>
        <w:t xml:space="preserve">Tools developed: </w:t>
      </w:r>
      <w:r>
        <w:rPr>
          <w:color w:val="555555"/>
          <w:sz w:val="18"/>
        </w:rPr>
        <w:t>EITT · PLL Parabola · Vertex Theorem · Noise Squeeze · DADC/DADI Chain · F17 Tuner · Operating Envelope</w:t>
      </w:r>
    </w:p>
    <w:p>
      <w:pPr>
        <w:spacing w:after="40"/>
        <w:jc w:val="center"/>
      </w:pPr>
      <w:r>
        <w:rPr>
          <w:b/>
          <w:color w:val="1A1A2E"/>
          <w:sz w:val="18"/>
        </w:rPr>
        <w:t xml:space="preserve">Domains tested: </w:t>
      </w:r>
      <w:r>
        <w:rPr>
          <w:color w:val="555555"/>
          <w:sz w:val="18"/>
        </w:rPr>
        <w:t>Financial · Energy · Nuclear · Acoustic · Geological · Demographic · Industrial · Ecological</w:t>
      </w:r>
    </w:p>
    <w:p>
      <w:pPr>
        <w:jc w:val="center"/>
      </w:pPr>
      <w:r>
        <w:rPr>
          <w:b/>
          <w:color w:val="1A1A2E"/>
          <w:sz w:val="18"/>
        </w:rPr>
        <w:t xml:space="preserve">Methodology: </w:t>
      </w:r>
      <w:r>
        <w:rPr>
          <w:color w:val="555555"/>
          <w:sz w:val="18"/>
        </w:rPr>
        <w:t>Human-AI collaborative scientific exploration with pre-registered predictions and sealed conclusions</w:t>
      </w:r>
    </w:p>
    <w:p>
      <w:r>
        <w:br w:type="page"/>
      </w:r>
    </w:p>
    <w:p>
      <w:pPr>
        <w:spacing w:after="240"/>
      </w:pPr>
      <w:r>
        <w:rPr>
          <w:b/>
          <w:color w:val="0D1B2A"/>
          <w:sz w:val="36"/>
        </w:rPr>
        <w:t>Contents</w:t>
      </w:r>
    </w:p>
    <w:p>
      <w:pPr>
        <w:spacing w:before="80" w:after="80"/>
        <w:pBdr>
          <w:bottom w:val="single" w:sz="4" w:space="1" w:color="0D1B2A"/>
        </w:pBdr>
      </w:pPr>
    </w:p>
    <w:p>
      <w:pPr>
        <w:spacing w:after="60"/>
      </w:pPr>
      <w:r>
        <w:rPr>
          <w:b/>
          <w:color w:val="0D1B2A"/>
          <w:sz w:val="22"/>
        </w:rPr>
        <w:t xml:space="preserve">1. </w:t>
      </w:r>
      <w:r>
        <w:rPr>
          <w:color w:val="1A1A2E"/>
          <w:sz w:val="22"/>
        </w:rPr>
        <w:t>Preface: Why This Document Exists</w:t>
      </w:r>
    </w:p>
    <w:p>
      <w:pPr>
        <w:spacing w:after="60"/>
      </w:pPr>
      <w:r>
        <w:rPr>
          <w:b/>
          <w:color w:val="0D1B2A"/>
          <w:sz w:val="22"/>
        </w:rPr>
        <w:t xml:space="preserve">2. </w:t>
      </w:r>
      <w:r>
        <w:rPr>
          <w:color w:val="1A1A2E"/>
          <w:sz w:val="22"/>
        </w:rPr>
        <w:t>The Methodology: How Discovery Happened</w:t>
      </w:r>
    </w:p>
    <w:p>
      <w:pPr>
        <w:spacing w:after="60"/>
      </w:pPr>
      <w:r>
        <w:rPr>
          <w:b/>
          <w:color w:val="0D1B2A"/>
          <w:sz w:val="22"/>
        </w:rPr>
        <w:t xml:space="preserve">3. </w:t>
      </w:r>
      <w:r>
        <w:rPr>
          <w:color w:val="1A1A2E"/>
          <w:sz w:val="22"/>
        </w:rPr>
        <w:t>The Toolkit: Seven Instruments Built Along the Way</w:t>
      </w:r>
    </w:p>
    <w:p>
      <w:pPr>
        <w:spacing w:after="60"/>
      </w:pPr>
      <w:r>
        <w:rPr>
          <w:b/>
          <w:color w:val="0D1B2A"/>
          <w:sz w:val="22"/>
        </w:rPr>
        <w:t xml:space="preserve">4. </w:t>
      </w:r>
      <w:r>
        <w:rPr>
          <w:color w:val="1A1A2E"/>
          <w:sz w:val="22"/>
        </w:rPr>
        <w:t>The Five Experiments</w:t>
      </w:r>
    </w:p>
    <w:p>
      <w:pPr>
        <w:spacing w:after="40"/>
      </w:pPr>
      <w:r>
        <w:rPr>
          <w:color w:val="555555"/>
          <w:sz w:val="20"/>
        </w:rPr>
        <w:t xml:space="preserve">    4.1  EXP-01: Gold/Silver — The Founding Parabola</w:t>
      </w:r>
    </w:p>
    <w:p>
      <w:pPr>
        <w:spacing w:after="40"/>
      </w:pPr>
      <w:r>
        <w:rPr>
          <w:color w:val="555555"/>
          <w:sz w:val="20"/>
        </w:rPr>
        <w:t xml:space="preserve">    4.2  EXP-02: US Energy — The Operating Envelope</w:t>
      </w:r>
    </w:p>
    <w:p>
      <w:pPr>
        <w:spacing w:after="40"/>
      </w:pPr>
      <w:r>
        <w:rPr>
          <w:color w:val="555555"/>
          <w:sz w:val="20"/>
        </w:rPr>
        <w:t xml:space="preserve">    4.3  EXP-03: Nuclear — Walk vs Survey</w:t>
      </w:r>
    </w:p>
    <w:p>
      <w:pPr>
        <w:spacing w:after="40"/>
      </w:pPr>
      <w:r>
        <w:rPr>
          <w:color w:val="555555"/>
          <w:sz w:val="20"/>
        </w:rPr>
        <w:t xml:space="preserve">    4.4  EXP-04: Microphone Valley — The Capture Range</w:t>
      </w:r>
    </w:p>
    <w:p>
      <w:pPr>
        <w:spacing w:after="40"/>
      </w:pPr>
      <w:r>
        <w:rPr>
          <w:color w:val="555555"/>
          <w:sz w:val="20"/>
        </w:rPr>
        <w:t xml:space="preserve">    4.5  EXP-05: Geochemistry — The Birthplace</w:t>
      </w:r>
    </w:p>
    <w:p>
      <w:pPr>
        <w:spacing w:after="60"/>
      </w:pPr>
      <w:r>
        <w:rPr>
          <w:b/>
          <w:color w:val="0D1B2A"/>
          <w:sz w:val="22"/>
        </w:rPr>
        <w:t xml:space="preserve">5. </w:t>
      </w:r>
      <w:r>
        <w:rPr>
          <w:color w:val="1A1A2E"/>
          <w:sz w:val="22"/>
        </w:rPr>
        <w:t>The Discovery Arc: What Each Experiment Taught the Next</w:t>
      </w:r>
    </w:p>
    <w:p>
      <w:pPr>
        <w:spacing w:after="60"/>
      </w:pPr>
      <w:r>
        <w:rPr>
          <w:b/>
          <w:color w:val="0D1B2A"/>
          <w:sz w:val="22"/>
        </w:rPr>
        <w:t xml:space="preserve">6. </w:t>
      </w:r>
      <w:r>
        <w:rPr>
          <w:color w:val="1A1A2E"/>
          <w:sz w:val="22"/>
        </w:rPr>
        <w:t>Cross-Experiment Analysis: The Operating Envelope</w:t>
      </w:r>
    </w:p>
    <w:p>
      <w:pPr>
        <w:spacing w:after="60"/>
      </w:pPr>
      <w:r>
        <w:rPr>
          <w:b/>
          <w:color w:val="0D1B2A"/>
          <w:sz w:val="22"/>
        </w:rPr>
        <w:t xml:space="preserve">7. </w:t>
      </w:r>
      <w:r>
        <w:rPr>
          <w:color w:val="1A1A2E"/>
          <w:sz w:val="22"/>
        </w:rPr>
        <w:t>The Mathematical Spine</w:t>
      </w:r>
    </w:p>
    <w:p>
      <w:pPr>
        <w:spacing w:after="60"/>
      </w:pPr>
      <w:r>
        <w:rPr>
          <w:b/>
          <w:color w:val="0D1B2A"/>
          <w:sz w:val="22"/>
        </w:rPr>
        <w:t xml:space="preserve">8. </w:t>
      </w:r>
      <w:r>
        <w:rPr>
          <w:color w:val="1A1A2E"/>
          <w:sz w:val="22"/>
        </w:rPr>
        <w:t>What This Means: Implications for Compositional Data Analysis</w:t>
      </w:r>
    </w:p>
    <w:p>
      <w:pPr>
        <w:spacing w:after="60"/>
      </w:pPr>
      <w:r>
        <w:rPr>
          <w:b/>
          <w:color w:val="0D1B2A"/>
          <w:sz w:val="22"/>
        </w:rPr>
        <w:t xml:space="preserve">9. </w:t>
      </w:r>
      <w:r>
        <w:rPr>
          <w:color w:val="1A1A2E"/>
          <w:sz w:val="22"/>
        </w:rPr>
        <w:t>What This Means: Implications for Scientific Methodology</w:t>
      </w:r>
    </w:p>
    <w:p>
      <w:pPr>
        <w:spacing w:after="60"/>
      </w:pPr>
      <w:r>
        <w:rPr>
          <w:b/>
          <w:color w:val="0D1B2A"/>
          <w:sz w:val="22"/>
        </w:rPr>
        <w:t xml:space="preserve">10. </w:t>
      </w:r>
      <w:r>
        <w:rPr>
          <w:color w:val="1A1A2E"/>
          <w:sz w:val="22"/>
        </w:rPr>
        <w:t>Limitations and Open Problems</w:t>
      </w:r>
    </w:p>
    <w:p>
      <w:pPr>
        <w:spacing w:after="60"/>
      </w:pPr>
      <w:r>
        <w:rPr>
          <w:b/>
          <w:color w:val="0D1B2A"/>
          <w:sz w:val="22"/>
        </w:rPr>
        <w:t xml:space="preserve">11. </w:t>
      </w:r>
      <w:r>
        <w:rPr>
          <w:color w:val="1A1A2E"/>
          <w:sz w:val="22"/>
        </w:rPr>
        <w:t>Conclusion: The Shape of the Framework</w:t>
      </w:r>
    </w:p>
    <w:p>
      <w:pPr>
        <w:spacing w:after="40"/>
      </w:pPr>
      <w:r>
        <w:rPr>
          <w:color w:val="555555"/>
          <w:sz w:val="20"/>
        </w:rPr>
        <w:t xml:space="preserve">    Appendix A: Canonical Values Registry</w:t>
      </w:r>
    </w:p>
    <w:p>
      <w:pPr>
        <w:spacing w:after="40"/>
      </w:pPr>
      <w:r>
        <w:rPr>
          <w:color w:val="555555"/>
          <w:sz w:val="20"/>
        </w:rPr>
        <w:t xml:space="preserve">    Appendix B: Claim Classification Summary</w:t>
      </w:r>
    </w:p>
    <w:p>
      <w:r>
        <w:br w:type="page"/>
      </w:r>
    </w:p>
    <w:p>
      <w:pPr>
        <w:pStyle w:val="Heading1"/>
      </w:pPr>
      <w:r>
        <w:t>1. Preface: Why This Document Exists</w:t>
      </w:r>
    </w:p>
    <w:p>
      <w:pPr>
        <w:spacing w:after="160"/>
      </w:pPr>
      <w:r>
        <w:t>This document is a conclusion — not of a single experiment, but of a series of five that, taken together, constitute a systematic exploration of compositional data across domains that share nothing except the simplex constraint. The experiments were not planned as a series. They grew into one because each experiment revealed structure that demanded the next.</w:t>
      </w:r>
    </w:p>
    <w:p>
      <w:pPr>
        <w:spacing w:after="160"/>
      </w:pPr>
      <w:r>
        <w:t>The Higgins Unity Framework (HUF) began with a simple observation: that Shannon entropy is approximately invariant under geometric-mean block decimation of compositional time series. This observation — the Entropy Invariance Two-pass Test, or EITT — became the first tool. But tools, once built, ask questions their builders did not anticipate. The EITT asked: why do some series pass and others fail? That question produced the PLL parabola. The PLL parabola asked: where is the equilibrium point? That question produced the vertex theorem. The vertex theorem asked: what happens away from equilibrium? That question produced the noise squeeze and the boundary species decomposition.</w:t>
      </w:r>
    </w:p>
    <w:p>
      <w:pPr>
        <w:spacing w:after="160"/>
      </w:pPr>
      <w:r>
        <w:t>The result is not a single discovery but a toolkit — seven instruments that, together, characterise any compositional trajectory from any domain. This document records how that toolkit was built, what it found, and why it matters.</w:t>
      </w:r>
    </w:p>
    <w:p>
      <w:pPr>
        <w:spacing w:after="240"/>
      </w:pPr>
      <w:r>
        <w:t>It is also, necessarily, a document about methodology. The five experiments were conducted using a collaborative process between a human researcher (Peter Higgins, 35 years of engineering experience in acoustic and signal processing) and an AI system (Claude, Anthropic). Every experiment used pre-registered predictions, blind analysis, and sealed conclusions. The AI did not merely assist — it participated in the scientific process as a genuine collaborator, generating hypotheses, writing verification scripts, and discovering structure that neither party anticipated. This mode of working has no established name. We call it human-AI collaborative scientific exploration, and this document is its first complete record.</w:t>
      </w:r>
    </w:p>
    <w:p>
      <w:r>
        <w:br w:type="page"/>
      </w:r>
    </w:p>
    <w:p>
      <w:pPr>
        <w:pStyle w:val="Heading1"/>
      </w:pPr>
      <w:r>
        <w:t>2. The Methodology: How Discovery Happened</w:t>
      </w:r>
    </w:p>
    <w:p>
      <w:pPr>
        <w:pStyle w:val="Heading2"/>
      </w:pPr>
      <w:r>
        <w:t>2.1 The Scientific Protocol</w:t>
      </w:r>
    </w:p>
    <w:p>
      <w:pPr>
        <w:spacing w:after="120"/>
      </w:pPr>
      <w:r>
        <w:t>Every experiment in the series followed the same protocol, refined across iterations but structurally invariant from EXP-01 through EXP-05:</w:t>
      </w:r>
    </w:p>
    <w:p>
      <w:pPr>
        <w:spacing w:after="120"/>
      </w:pPr>
      <w:r>
        <w:rPr>
          <w:b/>
          <w:color w:val="0D1B2A"/>
          <w:sz w:val="22"/>
        </w:rPr>
        <w:t xml:space="preserve">Step 1: Domain selection and data acquisition. </w:t>
      </w:r>
      <w:r>
        <w:rPr>
          <w:color w:val="1A1A2E"/>
          <w:sz w:val="22"/>
        </w:rPr>
        <w:t>Each experiment chose a domain where compositional data naturally arises — where measurements sum to a constant (100%, unity, a budget). The data was obtained from published sources, public databases, or standard reference compilations. No data was generated to fit the framework.</w:t>
      </w:r>
    </w:p>
    <w:p>
      <w:pPr>
        <w:spacing w:after="120"/>
      </w:pPr>
      <w:r>
        <w:rPr>
          <w:b/>
          <w:color w:val="0D1B2A"/>
          <w:sz w:val="22"/>
        </w:rPr>
        <w:t xml:space="preserve">Step 2: Pre-registered predictions. </w:t>
      </w:r>
      <w:r>
        <w:rPr>
          <w:color w:val="1A1A2E"/>
          <w:sz w:val="22"/>
        </w:rPr>
        <w:t>Before any computation, both the human researcher and the AI collaborator independently recorded predictions about what the EITT and subsequent analyses would find. These predictions were sealed — they could not be revised after seeing results. This is critical: it prevents the unconscious retrofitting of theory to data that plagues exploratory research.</w:t>
      </w:r>
    </w:p>
    <w:p>
      <w:pPr>
        <w:spacing w:after="120"/>
      </w:pPr>
      <w:r>
        <w:rPr>
          <w:b/>
          <w:color w:val="0D1B2A"/>
          <w:sz w:val="22"/>
        </w:rPr>
        <w:t xml:space="preserve">Step 3: Blind computation. </w:t>
      </w:r>
      <w:r>
        <w:rPr>
          <w:color w:val="1A1A2E"/>
          <w:sz w:val="22"/>
        </w:rPr>
        <w:t>The analysis scripts were written and executed without knowledge of whether the results would confirm or falsify the predictions. The scripts produced machine-readable JSON output that could not be selectively edited.</w:t>
      </w:r>
    </w:p>
    <w:p>
      <w:pPr>
        <w:spacing w:after="120"/>
      </w:pPr>
      <w:r>
        <w:rPr>
          <w:b/>
          <w:color w:val="0D1B2A"/>
          <w:sz w:val="22"/>
        </w:rPr>
        <w:t xml:space="preserve">Step 4: Full chain analysis. </w:t>
      </w:r>
      <w:r>
        <w:rPr>
          <w:color w:val="1A1A2E"/>
          <w:sz w:val="22"/>
        </w:rPr>
        <w:t>Beginning with EXP-03, every experiment ran the complete PLL-EITT chain: EITT (entropy invariance), PLL parabola (sigma-squared-A trajectory), noise squeeze (higher-order structure), vertex theorem check (orthogonality at extrema), and boundary species analysis (per-component variance decomposition). Earlier experiments were retroactively re-run with the full chain.</w:t>
      </w:r>
    </w:p>
    <w:p>
      <w:pPr>
        <w:spacing w:after="120"/>
      </w:pPr>
      <w:r>
        <w:rPr>
          <w:b/>
          <w:color w:val="0D1B2A"/>
          <w:sz w:val="22"/>
        </w:rPr>
        <w:t xml:space="preserve">Step 5: Sealed conclusion. </w:t>
      </w:r>
      <w:r>
        <w:rPr>
          <w:color w:val="1A1A2E"/>
          <w:sz w:val="22"/>
        </w:rPr>
        <w:t>Each experiment produced a sealed JSON conclusion documenting the results, new findings, prediction scorecard, and cross-references to prior experiments. Sealed conclusions are immutable — they record what was found, not what was hoped for.</w:t>
      </w:r>
    </w:p>
    <w:p>
      <w:pPr>
        <w:pStyle w:val="Heading2"/>
      </w:pPr>
      <w:r>
        <w:t>2.2 The Human-AI Collaboration Model</w:t>
      </w:r>
    </w:p>
    <w:p>
      <w:pPr>
        <w:spacing w:after="120"/>
      </w:pPr>
      <w:r>
        <w:t>The collaboration between the human researcher and the AI system was not a division of labour in the traditional sense. It was not “human designs, AI computes.” It was closer to a research partnership where each party contributed capabilities the other lacked:</w:t>
      </w:r>
    </w:p>
    <w:p>
      <w:pPr>
        <w:spacing w:after="120"/>
      </w:pPr>
      <w:r>
        <w:rPr>
          <w:b/>
          <w:color w:val="0D1B2A"/>
        </w:rPr>
        <w:t xml:space="preserve">The human researcher </w:t>
      </w:r>
      <w:r>
        <w:rPr>
          <w:color w:val="1A1A2E"/>
        </w:rPr>
        <w:t>brought domain expertise (35 years of acoustic engineering and signal processing), physical intuition (the texture-energy prediction in EXP-05, the capture range analogy in EXP-04), and the strategic vision that connected five disparate domains into a coherent programme. The human also served as the quality controller — catching when the AI produced conclusions from old data rather than fresh computation (EXP-04, first iteration), and insisting on verification before sealing.</w:t>
      </w:r>
    </w:p>
    <w:p>
      <w:pPr>
        <w:spacing w:after="120"/>
      </w:pPr>
      <w:r>
        <w:rPr>
          <w:b/>
          <w:color w:val="0D1B2A"/>
        </w:rPr>
        <w:t xml:space="preserve">The AI collaborator </w:t>
      </w:r>
      <w:r>
        <w:rPr>
          <w:color w:val="1A1A2E"/>
        </w:rPr>
        <w:t>brought mathematical rigour (the vertex theorem proof, the Hessian bound derivation), computational speed (running six filter orders through the full PLL-EITT chain in seconds), cross-domain pattern recognition (noticing that the PLL shape flip in EXP-04 was structurally identical to the bowl/hill transition in EXP-02), and the ability to hold the entire state of the programme — all five experiments, all theorems, all canonical values — in working memory simultaneously.</w:t>
      </w:r>
    </w:p>
    <w:p>
      <w:pPr>
        <w:spacing w:after="160"/>
      </w:pPr>
      <w:r>
        <w:rPr>
          <w:b/>
          <w:color w:val="0D1B2A"/>
        </w:rPr>
        <w:t xml:space="preserve">The critical innovation </w:t>
      </w:r>
      <w:r>
        <w:rPr>
          <w:color w:val="1A1A2E"/>
        </w:rPr>
        <w:t>was the feedback loop: the human corrected the AI when it took shortcuts (writing conclusions without running computations), and the AI corrected the human when physical intuition conflicted with mathematical necessity (the sedimentary mixing prediction in EXP-05, where the human expected failure but continuous blending preserved entropy invariance). Neither party had authority over the other; the data had authority over both.</w:t>
      </w:r>
    </w:p>
    <w:p>
      <w:pPr>
        <w:pStyle w:val="Heading2"/>
      </w:pPr>
      <w:r>
        <w:t>2.3 What Makes This Different</w:t>
      </w:r>
    </w:p>
    <w:p>
      <w:pPr>
        <w:spacing w:after="160"/>
      </w:pPr>
      <w:r>
        <w:t>This is not the first time AI has been used in scientific research. Large language models have been applied to literature review, hypothesis generation, and code writing. But we believe this is among the first instances of the following specific combination: a multi-experiment programme conducted over weeks, with genuine human-AI co-discovery, pre-registered predictions from both parties, sealed immutable conclusions, retroactive re-analysis of earlier experiments with tools discovered in later ones, and a coherent mathematical framework (theorems, proofs, open problems) that emerged organically from the collaboration rather than being imposed from outside.</w:t>
      </w:r>
    </w:p>
    <w:p>
      <w:pPr>
        <w:spacing w:after="240"/>
      </w:pPr>
      <w:r>
        <w:t>The methodology is reproducible. Every script, every dataset, every sealed conclusion is archived in the repository. Another researcher — human, AI, or both — can re-run any experiment and verify the results. The reproducibility package (HIGGINS_REPRODUCIBILITY_PACKAGE.json) contains checksums, file inventories, and step-by-step instructions for every computation.</w:t>
      </w:r>
    </w:p>
    <w:p>
      <w:pPr>
        <w:pStyle w:val="Heading1"/>
      </w:pPr>
      <w:r>
        <w:t>3. The Toolkit: Seven Instruments Built Along the Way</w:t>
      </w:r>
    </w:p>
    <w:p>
      <w:pPr>
        <w:spacing w:after="160"/>
      </w:pPr>
      <w:r>
        <w:t>The experiments did not merely test a pre-existing toolkit. They built it. Each instrument was forged in response to a question that a prior experiment raised. The order of invention is part of the science.</w:t>
      </w:r>
    </w:p>
    <w:p>
      <w:pPr>
        <w:pStyle w:val="Heading3"/>
      </w:pPr>
      <w:r>
        <w:t>EITT — The Entropy Invariance Two-pass Test</w:t>
      </w:r>
    </w:p>
    <w:p>
      <w:pPr>
        <w:spacing w:after="80"/>
      </w:pPr>
      <w:r>
        <w:t>The founding instrument. Takes a compositional time series, decimates it by geometric-mean block averaging at multiple scales (M = 2, 3, 5, 10, ...), and tests whether Shannon entropy is preserved within 1%. A series that passes is LEGITIMATE (its temporal autocorrelation is consistent with a stationary compositional process). A series that fails is FABRICATED (some external force — a regime change, a phase transition, a boundary effect — has disrupted the stationarity assumption).</w:t>
      </w:r>
    </w:p>
    <w:p>
      <w:pPr>
        <w:spacing w:after="160"/>
      </w:pPr>
      <w:r>
        <w:rPr>
          <w:b/>
          <w:color w:val="028090"/>
          <w:sz w:val="20"/>
        </w:rPr>
        <w:t xml:space="preserve">Origin: </w:t>
      </w:r>
      <w:r>
        <w:rPr>
          <w:i/>
          <w:color w:val="555555"/>
          <w:sz w:val="20"/>
        </w:rPr>
        <w:t>EXP-01 (Gold/Silver), refined in every subsequent experiment</w:t>
      </w:r>
    </w:p>
    <w:p>
      <w:pPr>
        <w:pStyle w:val="Heading3"/>
      </w:pPr>
      <w:r>
        <w:t>PLL Parabola — The Phase-Lock Loop Analogy</w:t>
      </w:r>
    </w:p>
    <w:p>
      <w:pPr>
        <w:spacing w:after="80"/>
      </w:pPr>
      <w:r>
        <w:t>Fits a quadratic to the Aitchison variance (sigma-squared-A) trajectory along the ordering parameter. If R-squared exceeds approximately 0.5, the system is in the PLL regime: two competing compositional forces create a parabolic potential well. A bowl (a &gt; 0) is a lock — a stable equilibrium. A hill (a &lt; 0) is anti-lock — a relaxation from peak stress. The vertex locates the dynamic equilibrium point.</w:t>
      </w:r>
    </w:p>
    <w:p>
      <w:pPr>
        <w:spacing w:after="160"/>
      </w:pPr>
      <w:r>
        <w:rPr>
          <w:b/>
          <w:color w:val="028090"/>
          <w:sz w:val="20"/>
        </w:rPr>
        <w:t xml:space="preserve">Origin: </w:t>
      </w:r>
      <w:r>
        <w:rPr>
          <w:i/>
          <w:color w:val="555555"/>
          <w:sz w:val="20"/>
        </w:rPr>
        <w:t>Discovered during the 30-domain hunt between EXP-01 and EXP-02</w:t>
      </w:r>
    </w:p>
    <w:p>
      <w:pPr>
        <w:pStyle w:val="Heading3"/>
      </w:pPr>
      <w:r>
        <w:t>Vertex Theorem (T1) — The Orthogonality Identity</w:t>
      </w:r>
    </w:p>
    <w:p>
      <w:pPr>
        <w:spacing w:after="80"/>
      </w:pPr>
      <w:r>
        <w:t>A proven mathematical identity: at any extremum of sigma-squared-A, the CLR composition vector is orthogonal to its derivative. d(sigma-squared-A)/dt = (2/D) times the sum of clr_i times clr_i-prime. This is not an approximation; it is an exact chain-rule identity on the simplex. The vertex is the point where the composition is momentarily stationary in the Aitchison metric.</w:t>
      </w:r>
    </w:p>
    <w:p>
      <w:pPr>
        <w:spacing w:after="160"/>
      </w:pPr>
      <w:r>
        <w:rPr>
          <w:b/>
          <w:color w:val="028090"/>
          <w:sz w:val="20"/>
        </w:rPr>
        <w:t xml:space="preserve">Origin: </w:t>
      </w:r>
      <w:r>
        <w:rPr>
          <w:i/>
          <w:color w:val="555555"/>
          <w:sz w:val="20"/>
        </w:rPr>
        <w:t>Proved during EXP-02 analysis; verified in every subsequent experiment</w:t>
      </w:r>
    </w:p>
    <w:p>
      <w:pPr>
        <w:pStyle w:val="Heading3"/>
      </w:pPr>
      <w:r>
        <w:t>Noise Squeeze — The Higher-Order Structure Extractor</w:t>
      </w:r>
    </w:p>
    <w:p>
      <w:pPr>
        <w:spacing w:after="80"/>
      </w:pPr>
      <w:r>
        <w:t>Fits progressively higher-order polynomials (cubic, quartic, quintic, ...) to the sigma-squared-A trajectory and measures how much residual variance each additional order captures. A high squeeze percentage means the trajectory has structure beyond the parabola — kinks, inflections, or oscillations that encode physical transitions. EXP-04 showed squeeze grows monotonically with filter order (11–30%); EXP-05 reached 72–91%.</w:t>
      </w:r>
    </w:p>
    <w:p>
      <w:pPr>
        <w:spacing w:after="160"/>
      </w:pPr>
      <w:r>
        <w:rPr>
          <w:b/>
          <w:color w:val="028090"/>
          <w:sz w:val="20"/>
        </w:rPr>
        <w:t xml:space="preserve">Origin: </w:t>
      </w:r>
      <w:r>
        <w:rPr>
          <w:i/>
          <w:color w:val="555555"/>
          <w:sz w:val="20"/>
        </w:rPr>
        <w:t>Developed between EXP-01 and EXP-02; applied systematically from EXP-03 onward</w:t>
      </w:r>
    </w:p>
    <w:p>
      <w:pPr>
        <w:pStyle w:val="Heading3"/>
      </w:pPr>
      <w:r>
        <w:t>DADC/DADI Chain — The Boundary Species Decomposition</w:t>
      </w:r>
    </w:p>
    <w:p>
      <w:pPr>
        <w:spacing w:after="80"/>
      </w:pPr>
      <w:r>
        <w:t>Decomposes the total Aitchison variance into per-component contributions using the CLR variance of each part. The component with the highest CLR variance fraction is the boundary species — the compositional driver that most strongly determines whether the trajectory passes or fails EITT. In EXP-02, hydro was the boundary species in 5 of 10 US states. In EXP-05, MgO was the primary differentiator (39.6% of total CLR variance).</w:t>
      </w:r>
    </w:p>
    <w:p>
      <w:pPr>
        <w:spacing w:after="160"/>
      </w:pPr>
      <w:r>
        <w:rPr>
          <w:b/>
          <w:color w:val="028090"/>
          <w:sz w:val="20"/>
        </w:rPr>
        <w:t xml:space="preserve">Origin: </w:t>
      </w:r>
      <w:r>
        <w:rPr>
          <w:i/>
          <w:color w:val="555555"/>
          <w:sz w:val="20"/>
        </w:rPr>
        <w:t>Developed during the 30-domain hunt; systematised in EXP-02</w:t>
      </w:r>
    </w:p>
    <w:p>
      <w:pPr>
        <w:pStyle w:val="Heading3"/>
      </w:pPr>
      <w:r>
        <w:t>F17 Tuner — The Geometric-Arithmetic Entropy Gap</w:t>
      </w:r>
    </w:p>
    <w:p>
      <w:pPr>
        <w:spacing w:after="80"/>
      </w:pPr>
      <w:r>
        <w:t>Measures the gap between Shannon entropy computed from geometric-mean block averages and from arithmetic-mean block averages. This gap is a leading indicator: it widens before EITT itself crosses the 1% threshold, providing an early warning that a compositional trajectory is approaching the boundary of the legitimate regime.</w:t>
      </w:r>
    </w:p>
    <w:p>
      <w:pPr>
        <w:spacing w:after="160"/>
      </w:pPr>
      <w:r>
        <w:rPr>
          <w:b/>
          <w:color w:val="028090"/>
          <w:sz w:val="20"/>
        </w:rPr>
        <w:t xml:space="preserve">Origin: </w:t>
      </w:r>
      <w:r>
        <w:rPr>
          <w:i/>
          <w:color w:val="555555"/>
          <w:sz w:val="20"/>
        </w:rPr>
        <w:t>Discovered in EXP-02 (Pennsylvania bridge-state analysis)</w:t>
      </w:r>
    </w:p>
    <w:p>
      <w:pPr>
        <w:pStyle w:val="Heading3"/>
      </w:pPr>
      <w:r>
        <w:t>Operating Envelope — The Boundary Conditions</w:t>
      </w:r>
    </w:p>
    <w:p>
      <w:pPr>
        <w:spacing w:after="80"/>
      </w:pPr>
      <w:r>
        <w:t>The collected set of conditions under which each tool is applicable: EITT passes when delta &lt; 1% and H &gt; 1.0; the PLL parabola requires two competing forces of comparable strength and sufficient equilibration time (R-squared degrades with fast quenching); noise squeeze measures structural complexity; the vertex theorem is exact at smooth extrema but requires fine discretisation near discontinuities.</w:t>
      </w:r>
    </w:p>
    <w:p>
      <w:pPr>
        <w:spacing w:after="160"/>
      </w:pPr>
      <w:r>
        <w:rPr>
          <w:b/>
          <w:color w:val="028090"/>
          <w:sz w:val="20"/>
        </w:rPr>
        <w:t xml:space="preserve">Origin: </w:t>
      </w:r>
      <w:r>
        <w:rPr>
          <w:i/>
          <w:color w:val="555555"/>
          <w:sz w:val="20"/>
        </w:rPr>
        <w:t>Accumulated across all five experiments; codified in EXP-03</w:t>
      </w:r>
    </w:p>
    <w:p>
      <w:r>
        <w:br w:type="page"/>
      </w:r>
    </w:p>
    <w:p>
      <w:pPr>
        <w:pStyle w:val="Heading1"/>
      </w:pPr>
      <w:r>
        <w:t>4. The Five Experiments</w:t>
      </w:r>
    </w:p>
    <w:p>
      <w:pPr>
        <w:spacing w:after="200"/>
      </w:pPr>
      <w:r>
        <w:t>Each experiment is summarised below with its domain, data, chain results, and key findings. The full computational results and sealed conclusions are archived in the experiment folders.</w:t>
      </w:r>
    </w:p>
    <w:p>
      <w:pPr>
        <w:pStyle w:val="Heading2"/>
      </w:pPr>
      <w:r>
        <w:t>4.1  EXP-01: Gold/Silver — The Founding Parabola</w:t>
      </w:r>
    </w:p>
    <w:tbl>
      <w:tblPr>
        <w:tblStyle w:val="TableGrid"/>
        <w:tblW w:type="auto" w:w="0"/>
        <w:jc w:val="center"/>
        <w:tblLook w:firstColumn="1" w:firstRow="1" w:lastColumn="0" w:lastRow="0" w:noHBand="0" w:noVBand="1" w:val="04A0"/>
      </w:tblPr>
      <w:tblGrid>
        <w:gridCol w:w="4680"/>
        <w:gridCol w:w="4680"/>
      </w:tblGrid>
      <w:tr>
        <w:tc>
          <w:tcPr>
            <w:tcW w:type="dxa" w:w="2880"/>
            <w:shd w:fill="0D1B2A" w:val="clear"/>
          </w:tcPr>
          <w:p>
            <w:pPr>
              <w:jc w:val="center"/>
            </w:pPr>
            <w:r/>
            <w:r>
              <w:rPr>
                <w:rFonts w:ascii="Calibri" w:hAnsi="Calibri"/>
                <w:b/>
                <w:color w:val="FFFFFF"/>
                <w:sz w:val="18"/>
              </w:rPr>
              <w:t>Parameter</w:t>
            </w:r>
          </w:p>
        </w:tc>
        <w:tc>
          <w:tcPr>
            <w:tcW w:type="dxa" w:w="6480"/>
            <w:shd w:fill="0D1B2A" w:val="clear"/>
          </w:tcPr>
          <w:p>
            <w:pPr>
              <w:jc w:val="center"/>
            </w:pPr>
            <w:r/>
            <w:r>
              <w:rPr>
                <w:rFonts w:ascii="Calibri" w:hAnsi="Calibri"/>
                <w:b/>
                <w:color w:val="FFFFFF"/>
                <w:sz w:val="18"/>
              </w:rPr>
              <w:t>Value</w:t>
            </w:r>
          </w:p>
        </w:tc>
      </w:tr>
      <w:tr>
        <w:tc>
          <w:tcPr>
            <w:tcW w:type="dxa" w:w="2880"/>
            <w:shd w:fill="F0F4F8" w:val="clear"/>
          </w:tcPr>
          <w:p>
            <w:pPr>
              <w:jc w:val="center"/>
            </w:pPr>
            <w:r/>
            <w:r>
              <w:rPr>
                <w:rFonts w:ascii="Calibri" w:hAnsi="Calibri"/>
                <w:sz w:val="18"/>
              </w:rPr>
              <w:t>Domain</w:t>
            </w:r>
          </w:p>
        </w:tc>
        <w:tc>
          <w:tcPr>
            <w:tcW w:type="dxa" w:w="6480"/>
            <w:shd w:fill="F0F4F8" w:val="clear"/>
          </w:tcPr>
          <w:p>
            <w:pPr>
              <w:jc w:val="left"/>
            </w:pPr>
            <w:r/>
            <w:r>
              <w:rPr>
                <w:rFonts w:ascii="Calibri" w:hAnsi="Calibri"/>
                <w:sz w:val="18"/>
              </w:rPr>
              <w:t>Financial / Commodity Markets</w:t>
            </w:r>
          </w:p>
        </w:tc>
      </w:tr>
      <w:tr>
        <w:tc>
          <w:tcPr>
            <w:tcW w:type="dxa" w:w="2880"/>
          </w:tcPr>
          <w:p>
            <w:pPr>
              <w:jc w:val="center"/>
            </w:pPr>
            <w:r/>
            <w:r>
              <w:rPr>
                <w:rFonts w:ascii="Calibri" w:hAnsi="Calibri"/>
                <w:sz w:val="18"/>
              </w:rPr>
              <w:t>Data</w:t>
            </w:r>
          </w:p>
        </w:tc>
        <w:tc>
          <w:tcPr>
            <w:tcW w:type="dxa" w:w="6480"/>
          </w:tcPr>
          <w:p>
            <w:pPr>
              <w:jc w:val="left"/>
            </w:pPr>
            <w:r/>
            <w:r>
              <w:rPr>
                <w:rFonts w:ascii="Calibri" w:hAnsi="Calibri"/>
                <w:sz w:val="18"/>
              </w:rPr>
              <w:t>Gold/Silver price ratio, 1688–2026 (N=624, D=2)</w:t>
            </w:r>
          </w:p>
        </w:tc>
      </w:tr>
      <w:tr>
        <w:tc>
          <w:tcPr>
            <w:tcW w:type="dxa" w:w="2880"/>
            <w:shd w:fill="F0F4F8" w:val="clear"/>
          </w:tcPr>
          <w:p>
            <w:pPr>
              <w:jc w:val="center"/>
            </w:pPr>
            <w:r/>
            <w:r>
              <w:rPr>
                <w:rFonts w:ascii="Calibri" w:hAnsi="Calibri"/>
                <w:sz w:val="18"/>
              </w:rPr>
              <w:t>Simplex</w:t>
            </w:r>
          </w:p>
        </w:tc>
        <w:tc>
          <w:tcPr>
            <w:tcW w:type="dxa" w:w="6480"/>
            <w:shd w:fill="F0F4F8" w:val="clear"/>
          </w:tcPr>
          <w:p>
            <w:pPr>
              <w:jc w:val="left"/>
            </w:pPr>
            <w:r/>
            <w:r>
              <w:rPr>
                <w:rFonts w:ascii="Calibri" w:hAnsi="Calibri"/>
                <w:sz w:val="18"/>
              </w:rPr>
              <w:t>2-part: [gold_share, silver_share]</w:t>
            </w:r>
          </w:p>
        </w:tc>
      </w:tr>
      <w:tr>
        <w:tc>
          <w:tcPr>
            <w:tcW w:type="dxa" w:w="2880"/>
          </w:tcPr>
          <w:p>
            <w:pPr>
              <w:jc w:val="center"/>
            </w:pPr>
            <w:r/>
            <w:r>
              <w:rPr>
                <w:rFonts w:ascii="Calibri" w:hAnsi="Calibri"/>
                <w:sz w:val="18"/>
              </w:rPr>
              <w:t>Ordering</w:t>
            </w:r>
          </w:p>
        </w:tc>
        <w:tc>
          <w:tcPr>
            <w:tcW w:type="dxa" w:w="6480"/>
          </w:tcPr>
          <w:p>
            <w:pPr>
              <w:jc w:val="left"/>
            </w:pPr>
            <w:r/>
            <w:r>
              <w:rPr>
                <w:rFonts w:ascii="Calibri" w:hAnsi="Calibri"/>
                <w:sz w:val="18"/>
              </w:rPr>
              <w:t>Calendar year</w:t>
            </w:r>
          </w:p>
        </w:tc>
      </w:tr>
      <w:tr>
        <w:tc>
          <w:tcPr>
            <w:tcW w:type="dxa" w:w="2880"/>
            <w:shd w:fill="F0F4F8" w:val="clear"/>
          </w:tcPr>
          <w:p>
            <w:pPr>
              <w:jc w:val="center"/>
            </w:pPr>
            <w:r/>
            <w:r>
              <w:rPr>
                <w:rFonts w:ascii="Calibri" w:hAnsi="Calibri"/>
                <w:sz w:val="18"/>
              </w:rPr>
              <w:t>EITT</w:t>
            </w:r>
          </w:p>
        </w:tc>
        <w:tc>
          <w:tcPr>
            <w:tcW w:type="dxa" w:w="6480"/>
            <w:shd w:fill="F0F4F8" w:val="clear"/>
          </w:tcPr>
          <w:p>
            <w:pPr>
              <w:jc w:val="left"/>
            </w:pPr>
            <w:r/>
            <w:r>
              <w:rPr>
                <w:rFonts w:ascii="Calibri" w:hAnsi="Calibri"/>
                <w:sz w:val="18"/>
              </w:rPr>
              <w:t>PASS — max deviation 0.60% at 50:1 compression</w:t>
            </w:r>
          </w:p>
        </w:tc>
      </w:tr>
      <w:tr>
        <w:tc>
          <w:tcPr>
            <w:tcW w:type="dxa" w:w="2880"/>
          </w:tcPr>
          <w:p>
            <w:pPr>
              <w:jc w:val="center"/>
            </w:pPr>
            <w:r/>
            <w:r>
              <w:rPr>
                <w:rFonts w:ascii="Calibri" w:hAnsi="Calibri"/>
                <w:sz w:val="18"/>
              </w:rPr>
              <w:t>PLL</w:t>
            </w:r>
          </w:p>
        </w:tc>
        <w:tc>
          <w:tcPr>
            <w:tcW w:type="dxa" w:w="6480"/>
          </w:tcPr>
          <w:p>
            <w:pPr>
              <w:jc w:val="left"/>
            </w:pPr>
            <w:r/>
            <w:r>
              <w:rPr>
                <w:rFonts w:ascii="Calibri" w:hAnsi="Calibri"/>
                <w:sz w:val="18"/>
              </w:rPr>
              <w:t>R² = 0.90, bowl (lock), vertex = year 1751, Q = 22.18</w:t>
            </w:r>
          </w:p>
        </w:tc>
      </w:tr>
      <w:tr>
        <w:tc>
          <w:tcPr>
            <w:tcW w:type="dxa" w:w="2880"/>
            <w:shd w:fill="F0F4F8" w:val="clear"/>
          </w:tcPr>
          <w:p>
            <w:pPr>
              <w:jc w:val="center"/>
            </w:pPr>
            <w:r/>
            <w:r>
              <w:rPr>
                <w:rFonts w:ascii="Calibri" w:hAnsi="Calibri"/>
                <w:sz w:val="18"/>
              </w:rPr>
              <w:t>Boundary species</w:t>
            </w:r>
          </w:p>
        </w:tc>
        <w:tc>
          <w:tcPr>
            <w:tcW w:type="dxa" w:w="6480"/>
            <w:shd w:fill="F0F4F8" w:val="clear"/>
          </w:tcPr>
          <w:p>
            <w:pPr>
              <w:jc w:val="left"/>
            </w:pPr>
            <w:r/>
            <w:r>
              <w:rPr>
                <w:rFonts w:ascii="Calibri" w:hAnsi="Calibri"/>
                <w:sz w:val="18"/>
              </w:rPr>
              <w:t>Degenerate (D=2)</w:t>
            </w:r>
          </w:p>
        </w:tc>
      </w:tr>
    </w:tbl>
    <w:p/>
    <w:p>
      <w:pPr>
        <w:spacing w:after="120"/>
      </w:pPr>
      <w:r>
        <w:t>The gold/silver ratio was chosen because it is one of the longest continuous compositional time series available — 338 years of two-part compositions that sum to unity. The EITT passed with remarkable tightness: even at 50:1 compression (averaging 50 consecutive years into a single geometric-mean composition), Shannon entropy deviated by only 0.60%. This established that long-run monetary value is compositionally stationary.</w:t>
      </w:r>
    </w:p>
    <w:p>
      <w:pPr>
        <w:spacing w:after="120"/>
      </w:pPr>
      <w:r>
        <w:t>The PLL parabola revealed something unexpected. The vertex at 1751 marks the last point of gold/silver monetary balance — the bimetallic equilibrium before the gold standard began to dominate. The system has been climbing the right arm of the parabola for 275 years, with sigma-squared-A increasing monotonically through every monetary regime change (bimetallism, gold standard, Bretton Woods, free float). The parabola was not imposed; it emerged from the data. It was the first evidence that sigma-squared-A is a potential function whose shape encodes the physics of the underlying process.</w:t>
      </w:r>
    </w:p>
    <w:p>
      <w:pPr>
        <w:spacing w:after="240"/>
      </w:pPr>
      <w:r>
        <w:rPr>
          <w:b/>
          <w:color w:val="0D1B2A"/>
        </w:rPr>
        <w:t xml:space="preserve">What EXP-01 gave the programme: </w:t>
      </w:r>
      <w:r>
        <w:rPr>
          <w:color w:val="1A1A2E"/>
        </w:rPr>
        <w:t>The EITT test, the PLL parabola concept, the vertex as a dating tool, and the foundational confidence that compositional analysis could reach across centuries of human economic history.</w:t>
      </w:r>
    </w:p>
    <w:p>
      <w:pPr>
        <w:pStyle w:val="Heading2"/>
      </w:pPr>
      <w:r>
        <w:t>4.2  EXP-02: US Energy — The Operating Envelope</w:t>
      </w:r>
    </w:p>
    <w:tbl>
      <w:tblPr>
        <w:tblStyle w:val="TableGrid"/>
        <w:tblW w:type="auto" w:w="0"/>
        <w:jc w:val="center"/>
        <w:tblLook w:firstColumn="1" w:firstRow="1" w:lastColumn="0" w:lastRow="0" w:noHBand="0" w:noVBand="1" w:val="04A0"/>
      </w:tblPr>
      <w:tblGrid>
        <w:gridCol w:w="4680"/>
        <w:gridCol w:w="4680"/>
      </w:tblGrid>
      <w:tr>
        <w:tc>
          <w:tcPr>
            <w:tcW w:type="dxa" w:w="2880"/>
            <w:shd w:fill="0D1B2A" w:val="clear"/>
          </w:tcPr>
          <w:p>
            <w:pPr>
              <w:jc w:val="center"/>
            </w:pPr>
            <w:r/>
            <w:r>
              <w:rPr>
                <w:rFonts w:ascii="Calibri" w:hAnsi="Calibri"/>
                <w:b/>
                <w:color w:val="FFFFFF"/>
                <w:sz w:val="18"/>
              </w:rPr>
              <w:t>Parameter</w:t>
            </w:r>
          </w:p>
        </w:tc>
        <w:tc>
          <w:tcPr>
            <w:tcW w:type="dxa" w:w="6480"/>
            <w:shd w:fill="0D1B2A" w:val="clear"/>
          </w:tcPr>
          <w:p>
            <w:pPr>
              <w:jc w:val="center"/>
            </w:pPr>
            <w:r/>
            <w:r>
              <w:rPr>
                <w:rFonts w:ascii="Calibri" w:hAnsi="Calibri"/>
                <w:b/>
                <w:color w:val="FFFFFF"/>
                <w:sz w:val="18"/>
              </w:rPr>
              <w:t>Value</w:t>
            </w:r>
          </w:p>
        </w:tc>
      </w:tr>
      <w:tr>
        <w:tc>
          <w:tcPr>
            <w:tcW w:type="dxa" w:w="2880"/>
            <w:shd w:fill="F0F4F8" w:val="clear"/>
          </w:tcPr>
          <w:p>
            <w:pPr>
              <w:jc w:val="center"/>
            </w:pPr>
            <w:r/>
            <w:r>
              <w:rPr>
                <w:rFonts w:ascii="Calibri" w:hAnsi="Calibri"/>
                <w:sz w:val="18"/>
              </w:rPr>
              <w:t>Domain</w:t>
            </w:r>
          </w:p>
        </w:tc>
        <w:tc>
          <w:tcPr>
            <w:tcW w:type="dxa" w:w="6480"/>
            <w:shd w:fill="F0F4F8" w:val="clear"/>
          </w:tcPr>
          <w:p>
            <w:pPr>
              <w:jc w:val="left"/>
            </w:pPr>
            <w:r/>
            <w:r>
              <w:rPr>
                <w:rFonts w:ascii="Calibri" w:hAnsi="Calibri"/>
                <w:sz w:val="18"/>
              </w:rPr>
              <w:t>Energy Policy / US Power Generation</w:t>
            </w:r>
          </w:p>
        </w:tc>
      </w:tr>
      <w:tr>
        <w:tc>
          <w:tcPr>
            <w:tcW w:type="dxa" w:w="2880"/>
          </w:tcPr>
          <w:p>
            <w:pPr>
              <w:jc w:val="center"/>
            </w:pPr>
            <w:r/>
            <w:r>
              <w:rPr>
                <w:rFonts w:ascii="Calibri" w:hAnsi="Calibri"/>
                <w:sz w:val="18"/>
              </w:rPr>
              <w:t>Data</w:t>
            </w:r>
          </w:p>
        </w:tc>
        <w:tc>
          <w:tcPr>
            <w:tcW w:type="dxa" w:w="6480"/>
          </w:tcPr>
          <w:p>
            <w:pPr>
              <w:jc w:val="left"/>
            </w:pPr>
            <w:r/>
            <w:r>
              <w:rPr>
                <w:rFonts w:ascii="Calibri" w:hAnsi="Calibri"/>
                <w:sz w:val="18"/>
              </w:rPr>
              <w:t>Monthly electricity generation by source, 10 US states, 2001–2025 (N=300, D=9)</w:t>
            </w:r>
          </w:p>
        </w:tc>
      </w:tr>
      <w:tr>
        <w:tc>
          <w:tcPr>
            <w:tcW w:type="dxa" w:w="2880"/>
            <w:shd w:fill="F0F4F8" w:val="clear"/>
          </w:tcPr>
          <w:p>
            <w:pPr>
              <w:jc w:val="center"/>
            </w:pPr>
            <w:r/>
            <w:r>
              <w:rPr>
                <w:rFonts w:ascii="Calibri" w:hAnsi="Calibri"/>
                <w:sz w:val="18"/>
              </w:rPr>
              <w:t>Simplex</w:t>
            </w:r>
          </w:p>
        </w:tc>
        <w:tc>
          <w:tcPr>
            <w:tcW w:type="dxa" w:w="6480"/>
            <w:shd w:fill="F0F4F8" w:val="clear"/>
          </w:tcPr>
          <w:p>
            <w:pPr>
              <w:jc w:val="left"/>
            </w:pPr>
            <w:r/>
            <w:r>
              <w:rPr>
                <w:rFonts w:ascii="Calibri" w:hAnsi="Calibri"/>
                <w:sz w:val="18"/>
              </w:rPr>
              <w:t>9-part energy source shares</w:t>
            </w:r>
          </w:p>
        </w:tc>
      </w:tr>
      <w:tr>
        <w:tc>
          <w:tcPr>
            <w:tcW w:type="dxa" w:w="2880"/>
          </w:tcPr>
          <w:p>
            <w:pPr>
              <w:jc w:val="center"/>
            </w:pPr>
            <w:r/>
            <w:r>
              <w:rPr>
                <w:rFonts w:ascii="Calibri" w:hAnsi="Calibri"/>
                <w:sz w:val="18"/>
              </w:rPr>
              <w:t>Ordering</w:t>
            </w:r>
          </w:p>
        </w:tc>
        <w:tc>
          <w:tcPr>
            <w:tcW w:type="dxa" w:w="6480"/>
          </w:tcPr>
          <w:p>
            <w:pPr>
              <w:jc w:val="left"/>
            </w:pPr>
            <w:r/>
            <w:r>
              <w:rPr>
                <w:rFonts w:ascii="Calibri" w:hAnsi="Calibri"/>
                <w:sz w:val="18"/>
              </w:rPr>
              <w:t>Calendar month</w:t>
            </w:r>
          </w:p>
        </w:tc>
      </w:tr>
      <w:tr>
        <w:tc>
          <w:tcPr>
            <w:tcW w:type="dxa" w:w="2880"/>
            <w:shd w:fill="F0F4F8" w:val="clear"/>
          </w:tcPr>
          <w:p>
            <w:pPr>
              <w:jc w:val="center"/>
            </w:pPr>
            <w:r/>
            <w:r>
              <w:rPr>
                <w:rFonts w:ascii="Calibri" w:hAnsi="Calibri"/>
                <w:sz w:val="18"/>
              </w:rPr>
              <w:t>EITT</w:t>
            </w:r>
          </w:p>
        </w:tc>
        <w:tc>
          <w:tcPr>
            <w:tcW w:type="dxa" w:w="6480"/>
            <w:shd w:fill="F0F4F8" w:val="clear"/>
          </w:tcPr>
          <w:p>
            <w:pPr>
              <w:jc w:val="left"/>
            </w:pPr>
            <w:r/>
            <w:r>
              <w:rPr>
                <w:rFonts w:ascii="Calibri" w:hAnsi="Calibri"/>
                <w:sz w:val="18"/>
              </w:rPr>
              <w:t>5 PASS / 5 FAIL — interior states pass, boundary states fail</w:t>
            </w:r>
          </w:p>
        </w:tc>
      </w:tr>
      <w:tr>
        <w:tc>
          <w:tcPr>
            <w:tcW w:type="dxa" w:w="2880"/>
          </w:tcPr>
          <w:p>
            <w:pPr>
              <w:jc w:val="center"/>
            </w:pPr>
            <w:r/>
            <w:r>
              <w:rPr>
                <w:rFonts w:ascii="Calibri" w:hAnsi="Calibri"/>
                <w:sz w:val="18"/>
              </w:rPr>
              <w:t>PLL</w:t>
            </w:r>
          </w:p>
        </w:tc>
        <w:tc>
          <w:tcPr>
            <w:tcW w:type="dxa" w:w="6480"/>
          </w:tcPr>
          <w:p>
            <w:pPr>
              <w:jc w:val="left"/>
            </w:pPr>
            <w:r/>
            <w:r>
              <w:rPr>
                <w:rFonts w:ascii="Calibri" w:hAnsi="Calibri"/>
                <w:sz w:val="18"/>
              </w:rPr>
              <w:t>8/10 states R² &gt; 0.3; California bowl (lock), vertex 2014</w:t>
            </w:r>
          </w:p>
        </w:tc>
      </w:tr>
      <w:tr>
        <w:tc>
          <w:tcPr>
            <w:tcW w:type="dxa" w:w="2880"/>
            <w:shd w:fill="F0F4F8" w:val="clear"/>
          </w:tcPr>
          <w:p>
            <w:pPr>
              <w:jc w:val="center"/>
            </w:pPr>
            <w:r/>
            <w:r>
              <w:rPr>
                <w:rFonts w:ascii="Calibri" w:hAnsi="Calibri"/>
                <w:sz w:val="18"/>
              </w:rPr>
              <w:t>Boundary species</w:t>
            </w:r>
          </w:p>
        </w:tc>
        <w:tc>
          <w:tcPr>
            <w:tcW w:type="dxa" w:w="6480"/>
            <w:shd w:fill="F0F4F8" w:val="clear"/>
          </w:tcPr>
          <w:p>
            <w:pPr>
              <w:jc w:val="left"/>
            </w:pPr>
            <w:r/>
            <w:r>
              <w:rPr>
                <w:rFonts w:ascii="Calibri" w:hAnsi="Calibri"/>
                <w:sz w:val="18"/>
              </w:rPr>
              <w:t>Hydro (5 states), Other Fossil (CA), Wind (WI, DE)</w:t>
            </w:r>
          </w:p>
        </w:tc>
      </w:tr>
    </w:tbl>
    <w:p/>
    <w:p>
      <w:pPr>
        <w:spacing w:after="120"/>
      </w:pPr>
      <w:r>
        <w:t>EXP-02 was the first high-dimensional test (D=9) and the first to reveal the operating envelope. Ten US states were chosen to span the full range of energy transition profiles: from West Virginia (&gt;90% coal, nearly static) to California (rapid renewable buildout). The EITT split them exactly as physics demanded: states with diversified, smoothly evolving energy mixes (California, New York, Pennsylvania) passed; states dominated by a single source or undergoing abrupt transitions failed.</w:t>
      </w:r>
    </w:p>
    <w:p>
      <w:pPr>
        <w:spacing w:after="120"/>
      </w:pPr>
      <w:r>
        <w:t>The PLL vertex became a dating tool. California’s vertex at 2014 marks the inflection point of its energy transition — the year solar generation crossed the threshold where it began to restructure the entire mix. Minnesota’s vertex projects to 2037, indicating a transition still in its early stages. West Virginia showed R-squared near zero: no dynamics, no parabola, no transition to date.</w:t>
      </w:r>
    </w:p>
    <w:p>
      <w:pPr>
        <w:spacing w:after="120"/>
      </w:pPr>
      <w:r>
        <w:t>The boundary species discovery was the most consequential. Hydro — not wind, not solar — emerged as the dominant boundary species in five of ten states. Its seasonal variability makes it the natural swing carrier between fossil and renewable sources. This was discovered from the data alone, not from prior knowledge of grid operations, and it was subsequently confirmed by power systems engineers as reflecting the physical reality of grid dispatch.</w:t>
      </w:r>
    </w:p>
    <w:p>
      <w:pPr>
        <w:spacing w:after="240"/>
      </w:pPr>
      <w:r>
        <w:rPr>
          <w:b/>
          <w:color w:val="0D1B2A"/>
        </w:rPr>
        <w:t xml:space="preserve">What EXP-02 gave the programme: </w:t>
      </w:r>
      <w:r>
        <w:rPr>
          <w:color w:val="1A1A2E"/>
        </w:rPr>
        <w:t>The operating envelope (pass/fail conditions), the F17 tuner as an early-warning indicator, the boundary species concept, the vertex as a transition-dating tool, and the confidence that the framework worked in high dimensions.</w:t>
      </w:r>
    </w:p>
    <w:p>
      <w:pPr>
        <w:pStyle w:val="Heading2"/>
      </w:pPr>
      <w:r>
        <w:t>4.3  EXP-03: Nuclear — Walk vs Survey</w:t>
      </w:r>
    </w:p>
    <w:tbl>
      <w:tblPr>
        <w:tblStyle w:val="TableGrid"/>
        <w:tblW w:type="auto" w:w="0"/>
        <w:jc w:val="center"/>
        <w:tblLook w:firstColumn="1" w:firstRow="1" w:lastColumn="0" w:lastRow="0" w:noHBand="0" w:noVBand="1" w:val="04A0"/>
      </w:tblPr>
      <w:tblGrid>
        <w:gridCol w:w="4680"/>
        <w:gridCol w:w="4680"/>
      </w:tblGrid>
      <w:tr>
        <w:tc>
          <w:tcPr>
            <w:tcW w:type="dxa" w:w="2880"/>
            <w:shd w:fill="0D1B2A" w:val="clear"/>
          </w:tcPr>
          <w:p>
            <w:pPr>
              <w:jc w:val="center"/>
            </w:pPr>
            <w:r/>
            <w:r>
              <w:rPr>
                <w:rFonts w:ascii="Calibri" w:hAnsi="Calibri"/>
                <w:b/>
                <w:color w:val="FFFFFF"/>
                <w:sz w:val="18"/>
              </w:rPr>
              <w:t>Parameter</w:t>
            </w:r>
          </w:p>
        </w:tc>
        <w:tc>
          <w:tcPr>
            <w:tcW w:type="dxa" w:w="6480"/>
            <w:shd w:fill="0D1B2A" w:val="clear"/>
          </w:tcPr>
          <w:p>
            <w:pPr>
              <w:jc w:val="center"/>
            </w:pPr>
            <w:r/>
            <w:r>
              <w:rPr>
                <w:rFonts w:ascii="Calibri" w:hAnsi="Calibri"/>
                <w:b/>
                <w:color w:val="FFFFFF"/>
                <w:sz w:val="18"/>
              </w:rPr>
              <w:t>Value</w:t>
            </w:r>
          </w:p>
        </w:tc>
      </w:tr>
      <w:tr>
        <w:tc>
          <w:tcPr>
            <w:tcW w:type="dxa" w:w="2880"/>
            <w:shd w:fill="F0F4F8" w:val="clear"/>
          </w:tcPr>
          <w:p>
            <w:pPr>
              <w:jc w:val="center"/>
            </w:pPr>
            <w:r/>
            <w:r>
              <w:rPr>
                <w:rFonts w:ascii="Calibri" w:hAnsi="Calibri"/>
                <w:sz w:val="18"/>
              </w:rPr>
              <w:t>Domain</w:t>
            </w:r>
          </w:p>
        </w:tc>
        <w:tc>
          <w:tcPr>
            <w:tcW w:type="dxa" w:w="6480"/>
            <w:shd w:fill="F0F4F8" w:val="clear"/>
          </w:tcPr>
          <w:p>
            <w:pPr>
              <w:jc w:val="left"/>
            </w:pPr>
            <w:r/>
            <w:r>
              <w:rPr>
                <w:rFonts w:ascii="Calibri" w:hAnsi="Calibri"/>
                <w:sz w:val="18"/>
              </w:rPr>
              <w:t>Nuclear Physics (decay chains + SEMF valley of stability)</w:t>
            </w:r>
          </w:p>
        </w:tc>
      </w:tr>
      <w:tr>
        <w:tc>
          <w:tcPr>
            <w:tcW w:type="dxa" w:w="2880"/>
          </w:tcPr>
          <w:p>
            <w:pPr>
              <w:jc w:val="center"/>
            </w:pPr>
            <w:r/>
            <w:r>
              <w:rPr>
                <w:rFonts w:ascii="Calibri" w:hAnsi="Calibri"/>
                <w:sz w:val="18"/>
              </w:rPr>
              <w:t>Data</w:t>
            </w:r>
          </w:p>
        </w:tc>
        <w:tc>
          <w:tcPr>
            <w:tcW w:type="dxa" w:w="6480"/>
          </w:tcPr>
          <w:p>
            <w:pPr>
              <w:jc w:val="left"/>
            </w:pPr>
            <w:r/>
            <w:r>
              <w:rPr>
                <w:rFonts w:ascii="Calibri" w:hAnsi="Calibri"/>
                <w:sz w:val="18"/>
              </w:rPr>
              <w:t>3 decay chains (D=2, N=14–38) + SEMF valley (D=4, N=117)</w:t>
            </w:r>
          </w:p>
        </w:tc>
      </w:tr>
      <w:tr>
        <w:tc>
          <w:tcPr>
            <w:tcW w:type="dxa" w:w="2880"/>
            <w:shd w:fill="F0F4F8" w:val="clear"/>
          </w:tcPr>
          <w:p>
            <w:pPr>
              <w:jc w:val="center"/>
            </w:pPr>
            <w:r/>
            <w:r>
              <w:rPr>
                <w:rFonts w:ascii="Calibri" w:hAnsi="Calibri"/>
                <w:sz w:val="18"/>
              </w:rPr>
              <w:t>Simplex</w:t>
            </w:r>
          </w:p>
        </w:tc>
        <w:tc>
          <w:tcPr>
            <w:tcW w:type="dxa" w:w="6480"/>
            <w:shd w:fill="F0F4F8" w:val="clear"/>
          </w:tcPr>
          <w:p>
            <w:pPr>
              <w:jc w:val="left"/>
            </w:pPr>
            <w:r/>
            <w:r>
              <w:rPr>
                <w:rFonts w:ascii="Calibri" w:hAnsi="Calibri"/>
                <w:sz w:val="18"/>
              </w:rPr>
              <w:t>Decay: [parent_share, daughter_share]; SEMF: 4-part binding energy</w:t>
            </w:r>
          </w:p>
        </w:tc>
      </w:tr>
      <w:tr>
        <w:tc>
          <w:tcPr>
            <w:tcW w:type="dxa" w:w="2880"/>
          </w:tcPr>
          <w:p>
            <w:pPr>
              <w:jc w:val="center"/>
            </w:pPr>
            <w:r/>
            <w:r>
              <w:rPr>
                <w:rFonts w:ascii="Calibri" w:hAnsi="Calibri"/>
                <w:sz w:val="18"/>
              </w:rPr>
              <w:t>Ordering</w:t>
            </w:r>
          </w:p>
        </w:tc>
        <w:tc>
          <w:tcPr>
            <w:tcW w:type="dxa" w:w="6480"/>
          </w:tcPr>
          <w:p>
            <w:pPr>
              <w:jc w:val="left"/>
            </w:pPr>
            <w:r/>
            <w:r>
              <w:rPr>
                <w:rFonts w:ascii="Calibri" w:hAnsi="Calibri"/>
                <w:sz w:val="18"/>
              </w:rPr>
              <w:t>Decay: half-life steps; SEMF: atomic number Z</w:t>
            </w:r>
          </w:p>
        </w:tc>
      </w:tr>
      <w:tr>
        <w:tc>
          <w:tcPr>
            <w:tcW w:type="dxa" w:w="2880"/>
            <w:shd w:fill="F0F4F8" w:val="clear"/>
          </w:tcPr>
          <w:p>
            <w:pPr>
              <w:jc w:val="center"/>
            </w:pPr>
            <w:r/>
            <w:r>
              <w:rPr>
                <w:rFonts w:ascii="Calibri" w:hAnsi="Calibri"/>
                <w:sz w:val="18"/>
              </w:rPr>
              <w:t>EITT</w:t>
            </w:r>
          </w:p>
        </w:tc>
        <w:tc>
          <w:tcPr>
            <w:tcW w:type="dxa" w:w="6480"/>
            <w:shd w:fill="F0F4F8" w:val="clear"/>
          </w:tcPr>
          <w:p>
            <w:pPr>
              <w:jc w:val="left"/>
            </w:pPr>
            <w:r/>
            <w:r>
              <w:rPr>
                <w:rFonts w:ascii="Calibri" w:hAnsi="Calibri"/>
                <w:sz w:val="18"/>
              </w:rPr>
              <w:t>Decay chains: all PASS (0.003–0.12%); SEMF: FAILS at M=12 (1.16%)</w:t>
            </w:r>
          </w:p>
        </w:tc>
      </w:tr>
      <w:tr>
        <w:tc>
          <w:tcPr>
            <w:tcW w:type="dxa" w:w="2880"/>
          </w:tcPr>
          <w:p>
            <w:pPr>
              <w:jc w:val="center"/>
            </w:pPr>
            <w:r/>
            <w:r>
              <w:rPr>
                <w:rFonts w:ascii="Calibri" w:hAnsi="Calibri"/>
                <w:sz w:val="18"/>
              </w:rPr>
              <w:t>PLL</w:t>
            </w:r>
          </w:p>
        </w:tc>
        <w:tc>
          <w:tcPr>
            <w:tcW w:type="dxa" w:w="6480"/>
          </w:tcPr>
          <w:p>
            <w:pPr>
              <w:jc w:val="left"/>
            </w:pPr>
            <w:r/>
            <w:r>
              <w:rPr>
                <w:rFonts w:ascii="Calibri" w:hAnsi="Calibri"/>
                <w:sz w:val="18"/>
              </w:rPr>
              <w:t>Decay: hill (anti-lock), R² 0.14–0.62; SEMF: R² = 0.20, L-shaped</w:t>
            </w:r>
          </w:p>
        </w:tc>
      </w:tr>
      <w:tr>
        <w:tc>
          <w:tcPr>
            <w:tcW w:type="dxa" w:w="2880"/>
            <w:shd w:fill="F0F4F8" w:val="clear"/>
          </w:tcPr>
          <w:p>
            <w:pPr>
              <w:jc w:val="center"/>
            </w:pPr>
            <w:r/>
            <w:r>
              <w:rPr>
                <w:rFonts w:ascii="Calibri" w:hAnsi="Calibri"/>
                <w:sz w:val="18"/>
              </w:rPr>
              <w:t>Boundary species</w:t>
            </w:r>
          </w:p>
        </w:tc>
        <w:tc>
          <w:tcPr>
            <w:tcW w:type="dxa" w:w="6480"/>
            <w:shd w:fill="F0F4F8" w:val="clear"/>
          </w:tcPr>
          <w:p>
            <w:pPr>
              <w:jc w:val="left"/>
            </w:pPr>
            <w:r/>
            <w:r>
              <w:rPr>
                <w:rFonts w:ascii="Calibri" w:hAnsi="Calibri"/>
                <w:sz w:val="18"/>
              </w:rPr>
              <w:t>Volume binding (C/S = 1.244)</w:t>
            </w:r>
          </w:p>
        </w:tc>
      </w:tr>
    </w:tbl>
    <w:p/>
    <w:p>
      <w:pPr>
        <w:spacing w:after="120"/>
      </w:pPr>
      <w:r>
        <w:t>EXP-03 was the hardest test — the first application to hard science where the physics is completely known. Three radioactive decay chains (Thorium-232, Uranium-235, Uranium-238) were treated as compositional walks on the 2-simplex: at each step, a parent nuclide decays into a daughter, and the composition evolves deterministically toward stable lead. All three passed EITT with deviations under 0.12% — the tightest passage in the entire programme. Radioactive decay is the cleanest compositional process in nature.</w:t>
      </w:r>
    </w:p>
    <w:p>
      <w:pPr>
        <w:spacing w:after="120"/>
      </w:pPr>
      <w:r>
        <w:t>The PLL shape was hill (anti-lock) for all three chains — a genuine new finding. The hill shape means the decay is a relaxation: sigma-squared-A peaks at the beginning (maximum compositional stress when the parent dominates) and decays toward zero (compositional equilibrium at stable lead). This is physically correct: radioactive decay IS relaxation, and the PLL framework captures this without being told.</w:t>
      </w:r>
    </w:p>
    <w:p>
      <w:pPr>
        <w:spacing w:after="120"/>
      </w:pPr>
      <w:r>
        <w:t>The SEMF valley of stability provided the crucial contrast. When 117 nuclides are arranged by atomic number, the EITT fails — not because the data is fabricated, but because the ordering is a survey, not a walk. There is no physical process that converts iron-56 into uranium-238 by stepping through every intermediate nuclide. This distinction — parametric walk vs ordered survey — became a cornerstone of the operating envelope.</w:t>
      </w:r>
    </w:p>
    <w:p>
      <w:pPr>
        <w:spacing w:after="240"/>
      </w:pPr>
      <w:r>
        <w:rPr>
          <w:b/>
          <w:color w:val="0D1B2A"/>
        </w:rPr>
        <w:t xml:space="preserve">What EXP-03 gave the programme: </w:t>
      </w:r>
      <w:r>
        <w:rPr>
          <w:color w:val="1A1A2E"/>
        </w:rPr>
        <w:t>Hard-science validation with known physics, the walk vs survey distinction, the hill shape as a signature of relaxation processes, the sigma-squared-A heat map of the nuclear landscape, and the confirmation that single-force domains are not parabolic.</w:t>
      </w:r>
    </w:p>
    <w:p>
      <w:pPr>
        <w:pStyle w:val="Heading2"/>
      </w:pPr>
      <w:r>
        <w:t>4.4  EXP-04: Microphone Valley — The Capture Range</w:t>
      </w:r>
    </w:p>
    <w:tbl>
      <w:tblPr>
        <w:tblStyle w:val="TableGrid"/>
        <w:tblW w:type="auto" w:w="0"/>
        <w:jc w:val="center"/>
        <w:tblLook w:firstColumn="1" w:firstRow="1" w:lastColumn="0" w:lastRow="0" w:noHBand="0" w:noVBand="1" w:val="04A0"/>
      </w:tblPr>
      <w:tblGrid>
        <w:gridCol w:w="4680"/>
        <w:gridCol w:w="4680"/>
      </w:tblGrid>
      <w:tr>
        <w:tc>
          <w:tcPr>
            <w:tcW w:type="dxa" w:w="2880"/>
            <w:shd w:fill="0D1B2A" w:val="clear"/>
          </w:tcPr>
          <w:p>
            <w:pPr>
              <w:jc w:val="center"/>
            </w:pPr>
            <w:r/>
            <w:r>
              <w:rPr>
                <w:rFonts w:ascii="Calibri" w:hAnsi="Calibri"/>
                <w:b/>
                <w:color w:val="FFFFFF"/>
                <w:sz w:val="18"/>
              </w:rPr>
              <w:t>Parameter</w:t>
            </w:r>
          </w:p>
        </w:tc>
        <w:tc>
          <w:tcPr>
            <w:tcW w:type="dxa" w:w="6480"/>
            <w:shd w:fill="0D1B2A" w:val="clear"/>
          </w:tcPr>
          <w:p>
            <w:pPr>
              <w:jc w:val="center"/>
            </w:pPr>
            <w:r/>
            <w:r>
              <w:rPr>
                <w:rFonts w:ascii="Calibri" w:hAnsi="Calibri"/>
                <w:b/>
                <w:color w:val="FFFFFF"/>
                <w:sz w:val="18"/>
              </w:rPr>
              <w:t>Value</w:t>
            </w:r>
          </w:p>
        </w:tc>
      </w:tr>
      <w:tr>
        <w:tc>
          <w:tcPr>
            <w:tcW w:type="dxa" w:w="2880"/>
            <w:shd w:fill="F0F4F8" w:val="clear"/>
          </w:tcPr>
          <w:p>
            <w:pPr>
              <w:jc w:val="center"/>
            </w:pPr>
            <w:r/>
            <w:r>
              <w:rPr>
                <w:rFonts w:ascii="Calibri" w:hAnsi="Calibri"/>
                <w:sz w:val="18"/>
              </w:rPr>
              <w:t>Domain</w:t>
            </w:r>
          </w:p>
        </w:tc>
        <w:tc>
          <w:tcPr>
            <w:tcW w:type="dxa" w:w="6480"/>
            <w:shd w:fill="F0F4F8" w:val="clear"/>
          </w:tcPr>
          <w:p>
            <w:pPr>
              <w:jc w:val="left"/>
            </w:pPr>
            <w:r/>
            <w:r>
              <w:rPr>
                <w:rFonts w:ascii="Calibri" w:hAnsi="Calibri"/>
                <w:sz w:val="18"/>
              </w:rPr>
              <w:t>Acoustic Engineering / Signal Processing</w:t>
            </w:r>
          </w:p>
        </w:tc>
      </w:tr>
      <w:tr>
        <w:tc>
          <w:tcPr>
            <w:tcW w:type="dxa" w:w="2880"/>
          </w:tcPr>
          <w:p>
            <w:pPr>
              <w:jc w:val="center"/>
            </w:pPr>
            <w:r/>
            <w:r>
              <w:rPr>
                <w:rFonts w:ascii="Calibri" w:hAnsi="Calibri"/>
                <w:sz w:val="18"/>
              </w:rPr>
              <w:t>Data</w:t>
            </w:r>
          </w:p>
        </w:tc>
        <w:tc>
          <w:tcPr>
            <w:tcW w:type="dxa" w:w="6480"/>
          </w:tcPr>
          <w:p>
            <w:pPr>
              <w:jc w:val="left"/>
            </w:pPr>
            <w:r/>
            <w:r>
              <w:rPr>
                <w:rFonts w:ascii="Calibri" w:hAnsi="Calibri"/>
                <w:sz w:val="18"/>
              </w:rPr>
              <w:t>RC bandpass cascade, orders 1–6, 40–16000 Hz (N=500 per order, D=2)</w:t>
            </w:r>
          </w:p>
        </w:tc>
      </w:tr>
      <w:tr>
        <w:tc>
          <w:tcPr>
            <w:tcW w:type="dxa" w:w="2880"/>
            <w:shd w:fill="F0F4F8" w:val="clear"/>
          </w:tcPr>
          <w:p>
            <w:pPr>
              <w:jc w:val="center"/>
            </w:pPr>
            <w:r/>
            <w:r>
              <w:rPr>
                <w:rFonts w:ascii="Calibri" w:hAnsi="Calibri"/>
                <w:sz w:val="18"/>
              </w:rPr>
              <w:t>Simplex</w:t>
            </w:r>
          </w:p>
        </w:tc>
        <w:tc>
          <w:tcPr>
            <w:tcW w:type="dxa" w:w="6480"/>
            <w:shd w:fill="F0F4F8" w:val="clear"/>
          </w:tcPr>
          <w:p>
            <w:pPr>
              <w:jc w:val="left"/>
            </w:pPr>
            <w:r/>
            <w:r>
              <w:rPr>
                <w:rFonts w:ascii="Calibri" w:hAnsi="Calibri"/>
                <w:sz w:val="18"/>
              </w:rPr>
              <w:t>2-part: [signal_share, loss_share]</w:t>
            </w:r>
          </w:p>
        </w:tc>
      </w:tr>
      <w:tr>
        <w:tc>
          <w:tcPr>
            <w:tcW w:type="dxa" w:w="2880"/>
          </w:tcPr>
          <w:p>
            <w:pPr>
              <w:jc w:val="center"/>
            </w:pPr>
            <w:r/>
            <w:r>
              <w:rPr>
                <w:rFonts w:ascii="Calibri" w:hAnsi="Calibri"/>
                <w:sz w:val="18"/>
              </w:rPr>
              <w:t>Ordering</w:t>
            </w:r>
          </w:p>
        </w:tc>
        <w:tc>
          <w:tcPr>
            <w:tcW w:type="dxa" w:w="6480"/>
          </w:tcPr>
          <w:p>
            <w:pPr>
              <w:jc w:val="left"/>
            </w:pPr>
            <w:r/>
            <w:r>
              <w:rPr>
                <w:rFonts w:ascii="Calibri" w:hAnsi="Calibri"/>
                <w:sz w:val="18"/>
              </w:rPr>
              <w:t>Log-frequency</w:t>
            </w:r>
          </w:p>
        </w:tc>
      </w:tr>
      <w:tr>
        <w:tc>
          <w:tcPr>
            <w:tcW w:type="dxa" w:w="2880"/>
            <w:shd w:fill="F0F4F8" w:val="clear"/>
          </w:tcPr>
          <w:p>
            <w:pPr>
              <w:jc w:val="center"/>
            </w:pPr>
            <w:r/>
            <w:r>
              <w:rPr>
                <w:rFonts w:ascii="Calibri" w:hAnsi="Calibri"/>
                <w:sz w:val="18"/>
              </w:rPr>
              <w:t>EITT</w:t>
            </w:r>
          </w:p>
        </w:tc>
        <w:tc>
          <w:tcPr>
            <w:tcW w:type="dxa" w:w="6480"/>
            <w:shd w:fill="F0F4F8" w:val="clear"/>
          </w:tcPr>
          <w:p>
            <w:pPr>
              <w:jc w:val="left"/>
            </w:pPr>
            <w:r/>
            <w:r>
              <w:rPr>
                <w:rFonts w:ascii="Calibri" w:hAnsi="Calibri"/>
                <w:sz w:val="18"/>
              </w:rPr>
              <w:t>2/6 orders PASS (1–2); critical transition at order 2→3</w:t>
            </w:r>
          </w:p>
        </w:tc>
      </w:tr>
      <w:tr>
        <w:tc>
          <w:tcPr>
            <w:tcW w:type="dxa" w:w="2880"/>
          </w:tcPr>
          <w:p>
            <w:pPr>
              <w:jc w:val="center"/>
            </w:pPr>
            <w:r/>
            <w:r>
              <w:rPr>
                <w:rFonts w:ascii="Calibri" w:hAnsi="Calibri"/>
                <w:sz w:val="18"/>
              </w:rPr>
              <w:t>PLL</w:t>
            </w:r>
          </w:p>
        </w:tc>
        <w:tc>
          <w:tcPr>
            <w:tcW w:type="dxa" w:w="6480"/>
          </w:tcPr>
          <w:p>
            <w:pPr>
              <w:jc w:val="left"/>
            </w:pPr>
            <w:r/>
            <w:r>
              <w:rPr>
                <w:rFonts w:ascii="Calibri" w:hAnsi="Calibri"/>
                <w:sz w:val="18"/>
              </w:rPr>
              <w:t>All R² &lt; 0.15 (non-parabolic); shape flip hill→bowl at order 4→5</w:t>
            </w:r>
          </w:p>
        </w:tc>
      </w:tr>
      <w:tr>
        <w:tc>
          <w:tcPr>
            <w:tcW w:type="dxa" w:w="2880"/>
            <w:shd w:fill="F0F4F8" w:val="clear"/>
          </w:tcPr>
          <w:p>
            <w:pPr>
              <w:jc w:val="center"/>
            </w:pPr>
            <w:r/>
            <w:r>
              <w:rPr>
                <w:rFonts w:ascii="Calibri" w:hAnsi="Calibri"/>
                <w:sz w:val="18"/>
              </w:rPr>
              <w:t>Noise squeeze</w:t>
            </w:r>
          </w:p>
        </w:tc>
        <w:tc>
          <w:tcPr>
            <w:tcW w:type="dxa" w:w="6480"/>
            <w:shd w:fill="F0F4F8" w:val="clear"/>
          </w:tcPr>
          <w:p>
            <w:pPr>
              <w:jc w:val="left"/>
            </w:pPr>
            <w:r/>
            <w:r>
              <w:rPr>
                <w:rFonts w:ascii="Calibri" w:hAnsi="Calibri"/>
                <w:sz w:val="18"/>
              </w:rPr>
              <w:t>Monotonic: 11.4% (order 1) → 30.1% (order 6)</w:t>
            </w:r>
          </w:p>
        </w:tc>
      </w:tr>
    </w:tbl>
    <w:p/>
    <w:p>
      <w:pPr>
        <w:spacing w:after="120"/>
      </w:pPr>
      <w:r>
        <w:t>EXP-04 returned the framework to the domain where Peter Higgins has 35 years of engineering experience. Six orders of RC bandpass filter cascades were treated as frequency-domain compositional walks on the 2-simplex: at each frequency, the composition is [signal passed, signal lost]. The question was precise: does filter rolloff steepness predict EITT passage?</w:t>
      </w:r>
    </w:p>
    <w:p>
      <w:pPr>
        <w:spacing w:after="120"/>
      </w:pPr>
      <w:r>
        <w:t>The answer was equally precise: the 1% EITT threshold falls between order 2 (0.28%) and order 3 (1.13%). This defines the acoustic capture range — the maximum rolloff steepness that preserves compositional temporal autocorrelation. Each additional filter order steepens the rolloff and destroys the structure that EITT requires, and the degradation is monotonic.</w:t>
      </w:r>
    </w:p>
    <w:p>
      <w:pPr>
        <w:spacing w:after="120"/>
      </w:pPr>
      <w:r>
        <w:t>The PLL parabola told a different story. All orders showed R-squared below 0.15 — the sigma-squared-A trajectory on filter data is L-shaped (dominated by the passband-to-rolloff transition), not parabolic. This is consistent with EXP-03’s SEMF valley result: when a single force dominates, the parabola cannot form. But the shape flip from hill (orders 1–4) to bowl (orders 5–6) was a genuine surprise — the first within-system shape transition observed anywhere in the programme.</w:t>
      </w:r>
    </w:p>
    <w:p>
      <w:pPr>
        <w:spacing w:after="240"/>
      </w:pPr>
      <w:r>
        <w:rPr>
          <w:b/>
          <w:color w:val="0D1B2A"/>
        </w:rPr>
        <w:t xml:space="preserve">What EXP-04 gave the programme: </w:t>
      </w:r>
      <w:r>
        <w:rPr>
          <w:color w:val="1A1A2E"/>
        </w:rPr>
        <w:t>The critical order as a capture range analogue, the within-system shape flip, the vertex migration under parameter variation, noise squeeze as a filter complexity measure, and the definitive confirmation that single-force domains produce non-parabolic trajectories.</w:t>
      </w:r>
    </w:p>
    <w:p>
      <w:pPr>
        <w:pStyle w:val="Heading2"/>
      </w:pPr>
      <w:r>
        <w:t>4.5  EXP-05: Geochemistry — The Birthplace</w:t>
      </w:r>
    </w:p>
    <w:tbl>
      <w:tblPr>
        <w:tblStyle w:val="TableGrid"/>
        <w:tblW w:type="auto" w:w="0"/>
        <w:jc w:val="center"/>
        <w:tblLook w:firstColumn="1" w:firstRow="1" w:lastColumn="0" w:lastRow="0" w:noHBand="0" w:noVBand="1" w:val="04A0"/>
      </w:tblPr>
      <w:tblGrid>
        <w:gridCol w:w="4680"/>
        <w:gridCol w:w="4680"/>
      </w:tblGrid>
      <w:tr>
        <w:tc>
          <w:tcPr>
            <w:tcW w:type="dxa" w:w="2880"/>
            <w:shd w:fill="0D1B2A" w:val="clear"/>
          </w:tcPr>
          <w:p>
            <w:pPr>
              <w:jc w:val="center"/>
            </w:pPr>
            <w:r/>
            <w:r>
              <w:rPr>
                <w:rFonts w:ascii="Calibri" w:hAnsi="Calibri"/>
                <w:b/>
                <w:color w:val="FFFFFF"/>
                <w:sz w:val="18"/>
              </w:rPr>
              <w:t>Parameter</w:t>
            </w:r>
          </w:p>
        </w:tc>
        <w:tc>
          <w:tcPr>
            <w:tcW w:type="dxa" w:w="6480"/>
            <w:shd w:fill="0D1B2A" w:val="clear"/>
          </w:tcPr>
          <w:p>
            <w:pPr>
              <w:jc w:val="center"/>
            </w:pPr>
            <w:r/>
            <w:r>
              <w:rPr>
                <w:rFonts w:ascii="Calibri" w:hAnsi="Calibri"/>
                <w:b/>
                <w:color w:val="FFFFFF"/>
                <w:sz w:val="18"/>
              </w:rPr>
              <w:t>Value</w:t>
            </w:r>
          </w:p>
        </w:tc>
      </w:tr>
      <w:tr>
        <w:tc>
          <w:tcPr>
            <w:tcW w:type="dxa" w:w="2880"/>
            <w:shd w:fill="F0F4F8" w:val="clear"/>
          </w:tcPr>
          <w:p>
            <w:pPr>
              <w:jc w:val="center"/>
            </w:pPr>
            <w:r/>
            <w:r>
              <w:rPr>
                <w:rFonts w:ascii="Calibri" w:hAnsi="Calibri"/>
                <w:sz w:val="18"/>
              </w:rPr>
              <w:t>Domain</w:t>
            </w:r>
          </w:p>
        </w:tc>
        <w:tc>
          <w:tcPr>
            <w:tcW w:type="dxa" w:w="6480"/>
            <w:shd w:fill="F0F4F8" w:val="clear"/>
          </w:tcPr>
          <w:p>
            <w:pPr>
              <w:jc w:val="left"/>
            </w:pPr>
            <w:r/>
            <w:r>
              <w:rPr>
                <w:rFonts w:ascii="Calibri" w:hAnsi="Calibri"/>
                <w:sz w:val="18"/>
              </w:rPr>
              <w:t>Igneous Petrology (CoDa’s home domain)</w:t>
            </w:r>
          </w:p>
        </w:tc>
      </w:tr>
      <w:tr>
        <w:tc>
          <w:tcPr>
            <w:tcW w:type="dxa" w:w="2880"/>
          </w:tcPr>
          <w:p>
            <w:pPr>
              <w:jc w:val="center"/>
            </w:pPr>
            <w:r/>
            <w:r>
              <w:rPr>
                <w:rFonts w:ascii="Calibri" w:hAnsi="Calibri"/>
                <w:sz w:val="18"/>
              </w:rPr>
              <w:t>Data</w:t>
            </w:r>
          </w:p>
        </w:tc>
        <w:tc>
          <w:tcPr>
            <w:tcW w:type="dxa" w:w="6480"/>
          </w:tcPr>
          <w:p>
            <w:pPr>
              <w:jc w:val="left"/>
            </w:pPr>
            <w:r/>
            <w:r>
              <w:rPr>
                <w:rFonts w:ascii="Calibri" w:hAnsi="Calibri"/>
                <w:sz w:val="18"/>
              </w:rPr>
              <w:t>28 igneous rock average compositions (Le Maitre, Best, Winter)</w:t>
            </w:r>
          </w:p>
        </w:tc>
      </w:tr>
      <w:tr>
        <w:tc>
          <w:tcPr>
            <w:tcW w:type="dxa" w:w="2880"/>
            <w:shd w:fill="F0F4F8" w:val="clear"/>
          </w:tcPr>
          <w:p>
            <w:pPr>
              <w:jc w:val="center"/>
            </w:pPr>
            <w:r/>
            <w:r>
              <w:rPr>
                <w:rFonts w:ascii="Calibri" w:hAnsi="Calibri"/>
                <w:sz w:val="18"/>
              </w:rPr>
              <w:t>Simplex</w:t>
            </w:r>
          </w:p>
        </w:tc>
        <w:tc>
          <w:tcPr>
            <w:tcW w:type="dxa" w:w="6480"/>
            <w:shd w:fill="F0F4F8" w:val="clear"/>
          </w:tcPr>
          <w:p>
            <w:pPr>
              <w:jc w:val="left"/>
            </w:pPr>
            <w:r/>
            <w:r>
              <w:rPr>
                <w:rFonts w:ascii="Calibri" w:hAnsi="Calibri"/>
                <w:sz w:val="18"/>
              </w:rPr>
              <w:t>8-part major oxides: SiO2, TiO2, Al2O3, FeOt, MgO, CaO, Na2O, K2O</w:t>
            </w:r>
          </w:p>
        </w:tc>
      </w:tr>
      <w:tr>
        <w:tc>
          <w:tcPr>
            <w:tcW w:type="dxa" w:w="2880"/>
          </w:tcPr>
          <w:p>
            <w:pPr>
              <w:jc w:val="center"/>
            </w:pPr>
            <w:r/>
            <w:r>
              <w:rPr>
                <w:rFonts w:ascii="Calibri" w:hAnsi="Calibri"/>
                <w:sz w:val="18"/>
              </w:rPr>
              <w:t>Ordering</w:t>
            </w:r>
          </w:p>
        </w:tc>
        <w:tc>
          <w:tcPr>
            <w:tcW w:type="dxa" w:w="6480"/>
          </w:tcPr>
          <w:p>
            <w:pPr>
              <w:jc w:val="left"/>
            </w:pPr>
            <w:r/>
            <w:r>
              <w:rPr>
                <w:rFonts w:ascii="Calibri" w:hAnsi="Calibri"/>
                <w:sz w:val="18"/>
              </w:rPr>
              <w:t>Differentiation index (SiO2 wt%)</w:t>
            </w:r>
          </w:p>
        </w:tc>
      </w:tr>
      <w:tr>
        <w:tc>
          <w:tcPr>
            <w:tcW w:type="dxa" w:w="2880"/>
            <w:shd w:fill="F0F4F8" w:val="clear"/>
          </w:tcPr>
          <w:p>
            <w:pPr>
              <w:jc w:val="center"/>
            </w:pPr>
            <w:r/>
            <w:r>
              <w:rPr>
                <w:rFonts w:ascii="Calibri" w:hAnsi="Calibri"/>
                <w:sz w:val="18"/>
              </w:rPr>
              <w:t>EITT</w:t>
            </w:r>
          </w:p>
        </w:tc>
        <w:tc>
          <w:tcPr>
            <w:tcW w:type="dxa" w:w="6480"/>
            <w:shd w:fill="F0F4F8" w:val="clear"/>
          </w:tcPr>
          <w:p>
            <w:pPr>
              <w:jc w:val="left"/>
            </w:pPr>
            <w:r/>
            <w:r>
              <w:rPr>
                <w:rFonts w:ascii="Calibri" w:hAnsi="Calibri"/>
                <w:sz w:val="18"/>
              </w:rPr>
              <w:t>Full: FABRICATED (50%); Mafic: PASS (100%); Felsic: PASS (100%)</w:t>
            </w:r>
          </w:p>
        </w:tc>
      </w:tr>
      <w:tr>
        <w:tc>
          <w:tcPr>
            <w:tcW w:type="dxa" w:w="2880"/>
          </w:tcPr>
          <w:p>
            <w:pPr>
              <w:jc w:val="center"/>
            </w:pPr>
            <w:r/>
            <w:r>
              <w:rPr>
                <w:rFonts w:ascii="Calibri" w:hAnsi="Calibri"/>
                <w:sz w:val="18"/>
              </w:rPr>
              <w:t>PLL</w:t>
            </w:r>
          </w:p>
        </w:tc>
        <w:tc>
          <w:tcPr>
            <w:tcW w:type="dxa" w:w="6480"/>
          </w:tcPr>
          <w:p>
            <w:pPr>
              <w:jc w:val="left"/>
            </w:pPr>
            <w:r/>
            <w:r>
              <w:rPr>
                <w:rFonts w:ascii="Calibri" w:hAnsi="Calibri"/>
                <w:sz w:val="18"/>
              </w:rPr>
              <w:t>Full R² = 0.63, bowl; Plutonic R² = 0.82; Volcanic R² = 0.44</w:t>
            </w:r>
          </w:p>
        </w:tc>
      </w:tr>
      <w:tr>
        <w:tc>
          <w:tcPr>
            <w:tcW w:type="dxa" w:w="2880"/>
            <w:shd w:fill="F0F4F8" w:val="clear"/>
          </w:tcPr>
          <w:p>
            <w:pPr>
              <w:jc w:val="center"/>
            </w:pPr>
            <w:r/>
            <w:r>
              <w:rPr>
                <w:rFonts w:ascii="Calibri" w:hAnsi="Calibri"/>
                <w:sz w:val="18"/>
              </w:rPr>
              <w:t>Boundary species</w:t>
            </w:r>
          </w:p>
        </w:tc>
        <w:tc>
          <w:tcPr>
            <w:tcW w:type="dxa" w:w="6480"/>
            <w:shd w:fill="F0F4F8" w:val="clear"/>
          </w:tcPr>
          <w:p>
            <w:pPr>
              <w:jc w:val="left"/>
            </w:pPr>
            <w:r/>
            <w:r>
              <w:rPr>
                <w:rFonts w:ascii="Calibri" w:hAnsi="Calibri"/>
                <w:sz w:val="18"/>
              </w:rPr>
              <w:t>MgO (39.6%), K2O (28.4%) — the two forces of differentiation</w:t>
            </w:r>
          </w:p>
        </w:tc>
      </w:tr>
    </w:tbl>
    <w:p/>
    <w:p>
      <w:pPr>
        <w:spacing w:after="120"/>
      </w:pPr>
      <w:r>
        <w:t>EXP-05 brought the framework home. Compositional Data Analysis was born in geochemistry — Aitchison’s 1986 monograph used whole-rock oxide analyses as its motivating example. Applying the full PLL-EITT chain to the igneous differentiation series — the systematic evolution of magma from ultramafic through felsic — was a return to CoDa’s birthplace with tools that did not exist when the field began.</w:t>
      </w:r>
    </w:p>
    <w:p>
      <w:pPr>
        <w:spacing w:after="120"/>
      </w:pPr>
      <w:r>
        <w:t>The EITT results had clear physical meaning. The full differentiation series fails because igneous differentiation involves discrete mineral phase transitions: olivine gives way to pyroxene, pyroxene to feldspar, feldspar to quartz. Each transition is a compositional discontinuity. But within continuous crystallisation fields — the mafic suite (pyroxene-plagioclase variation) and the felsic suite (feldspar solid solution) — EITT passes at 100%. The tool discriminates between smooth and discontinuous mineralogical processes.</w:t>
      </w:r>
    </w:p>
    <w:p>
      <w:pPr>
        <w:spacing w:after="120"/>
      </w:pPr>
      <w:r>
        <w:t>The PLL parabola was the major new finding. R-squared of 0.63 for the full series, with a bowl-shaped vertex at SiO2 approximately 59 wt% — the andesite-dacite boundary, one of the most important petrogenetic divides in igneous petrology. The two competing forces are MgO depletion (olivine and pyroxene crystallisation, driving sigma-squared-A up from the mafic end) and K2O enrichment (residual melt evolution, driving sigma-squared-A up from the felsic end). The PLL framework independently locates this divide from compositional data alone.</w:t>
      </w:r>
    </w:p>
    <w:p>
      <w:pPr>
        <w:spacing w:after="120"/>
      </w:pPr>
      <w:r>
        <w:t>The cooling rate effect was Peter’s contribution. His pre-registered prediction — that plutonic (slow-cooled) rocks would show higher Aitchison variance than volcanic (fast-cooled) rocks — was confirmed overall and in three of four SiO2 categories. More striking: plutonic rocks produced the strongest PLL parabola in the entire programme (R-squared = 0.82). Slow equilibrium crystallisation creates cleaner sigma-squared-A trajectories because the minerals have time to reach thermodynamic equilibrium. This connects PLL quality to crystallisation kinetics — a bridge between compositional data analysis and physical petrology.</w:t>
      </w:r>
    </w:p>
    <w:p>
      <w:pPr>
        <w:spacing w:after="240"/>
      </w:pPr>
      <w:r>
        <w:rPr>
          <w:b/>
          <w:color w:val="0D1B2A"/>
        </w:rPr>
        <w:t xml:space="preserve">What EXP-05 gave the programme: </w:t>
      </w:r>
      <w:r>
        <w:rPr>
          <w:color w:val="1A1A2E"/>
        </w:rPr>
        <w:t>The first PLL parabola in geochemistry, cooling rate as a PLL quality predictor, MgO and K2O as validated boundary species, 72–91% noise squeeze from mineral phase transitions, the vertex as a petrogenetic divide locator, and the confirmation that CoDa’s home domain obeys the same framework that works in finance, energy, nuclear physics, and acoustics.</w:t>
      </w:r>
    </w:p>
    <w:p>
      <w:pPr>
        <w:pStyle w:val="Heading1"/>
      </w:pPr>
      <w:r>
        <w:t>5. The Discovery Arc: What Each Experiment Taught the Next</w:t>
      </w:r>
    </w:p>
    <w:p>
      <w:pPr>
        <w:spacing w:after="160"/>
      </w:pPr>
      <w:r>
        <w:t>The five experiments were not five independent tests of a finished theory. They were an evolving investigation where each experiment changed the questions that the next one asked. The discovery arc has a logic that was not visible in advance but is unmistakable in retrospect:</w:t>
      </w:r>
    </w:p>
    <w:p>
      <w:pPr>
        <w:spacing w:after="120"/>
      </w:pPr>
      <w:r>
        <w:rPr>
          <w:b/>
          <w:color w:val="0D1B2A"/>
        </w:rPr>
        <w:t xml:space="preserve">EXP-01 </w:t>
      </w:r>
      <w:r>
        <w:rPr>
          <w:color w:val="1A1A2E"/>
        </w:rPr>
        <w:t xml:space="preserve">established that EITT works and that sigma-squared-A is parabolic. It raised the question: </w:t>
      </w:r>
      <w:r>
        <w:rPr>
          <w:i/>
          <w:color w:val="028090"/>
        </w:rPr>
        <w:t>is this specific to precious metals, or universal?</w:t>
      </w:r>
    </w:p>
    <w:p>
      <w:pPr>
        <w:spacing w:after="120"/>
      </w:pPr>
      <w:r>
        <w:rPr>
          <w:b/>
          <w:color w:val="0D1B2A"/>
        </w:rPr>
        <w:t xml:space="preserve">EXP-02 </w:t>
      </w:r>
      <w:r>
        <w:rPr>
          <w:color w:val="1A1A2E"/>
        </w:rPr>
        <w:t xml:space="preserve">answered: universal, but with boundary conditions. Some series pass and some fail; the failure is informative. It raised the question: </w:t>
      </w:r>
      <w:r>
        <w:rPr>
          <w:i/>
          <w:color w:val="028090"/>
        </w:rPr>
        <w:t>can EITT discriminate between genuine physical processes and ordered surveys?</w:t>
      </w:r>
    </w:p>
    <w:p>
      <w:pPr>
        <w:spacing w:after="120"/>
      </w:pPr>
      <w:r>
        <w:rPr>
          <w:b/>
          <w:color w:val="0D1B2A"/>
        </w:rPr>
        <w:t xml:space="preserve">EXP-03 </w:t>
      </w:r>
      <w:r>
        <w:rPr>
          <w:color w:val="1A1A2E"/>
        </w:rPr>
        <w:t xml:space="preserve">answered: yes. Decay chains (genuine walks) pass; the valley of stability (ordered survey) fails. It raised the question: </w:t>
      </w:r>
      <w:r>
        <w:rPr>
          <w:i/>
          <w:color w:val="028090"/>
        </w:rPr>
        <w:t>what happens in an engineered system where the control parameter is known exactly?</w:t>
      </w:r>
    </w:p>
    <w:p>
      <w:pPr>
        <w:spacing w:after="120"/>
      </w:pPr>
      <w:r>
        <w:rPr>
          <w:b/>
          <w:color w:val="0D1B2A"/>
        </w:rPr>
        <w:t xml:space="preserve">EXP-04 </w:t>
      </w:r>
      <w:r>
        <w:rPr>
          <w:color w:val="1A1A2E"/>
        </w:rPr>
        <w:t xml:space="preserve">answered: the EITT threshold maps directly to a measurable engineering parameter (filter order), and the PLL shape can flip within a single system. It raised the question: </w:t>
      </w:r>
      <w:r>
        <w:rPr>
          <w:i/>
          <w:color w:val="028090"/>
        </w:rPr>
        <w:t>what happens in the highest-dimensional, most physically rich domain available — CoDa’s birthplace?</w:t>
      </w:r>
    </w:p>
    <w:p>
      <w:pPr>
        <w:spacing w:after="160"/>
      </w:pPr>
      <w:r>
        <w:rPr>
          <w:b/>
          <w:color w:val="0D1B2A"/>
        </w:rPr>
        <w:t xml:space="preserve">EXP-05 </w:t>
      </w:r>
      <w:r>
        <w:rPr>
          <w:color w:val="1A1A2E"/>
        </w:rPr>
        <w:t>answered: the framework holds. The PLL parabola works in geochemistry (R-squared = 0.63), the vertex locates a known petrogenetic divide, cooling rate predicts PLL quality, and the boundary species decomposition recovers MgO depletion as the primary differentiator — a result any petrologist would recognise.</w:t>
      </w:r>
    </w:p>
    <w:p>
      <w:pPr>
        <w:spacing w:after="240"/>
      </w:pPr>
      <w:r>
        <w:t>The arc is not a line from ignorance to knowledge. It is a spiral: each pass through a new domain revealed structure that demanded re-examination of earlier domains. EXP-01 was re-run with the full PLL chain after the chain was developed in EXP-03. The sealed conclusions of the early experiments were not revised — they were supplemented by retroactive analyses that confirmed the original findings and added new ones.</w:t>
      </w:r>
    </w:p>
    <w:p>
      <w:pPr>
        <w:pStyle w:val="Heading1"/>
      </w:pPr>
      <w:r>
        <w:t>6. Cross-Experiment Analysis: The Operating Envelope</w:t>
      </w:r>
    </w:p>
    <w:p>
      <w:pPr>
        <w:spacing w:after="160"/>
      </w:pPr>
      <w:r>
        <w:t>Across five experiments, the toolkit’s operating envelope has crystallised. The following table summarises the key metrics for each domain: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008"/>
            <w:shd w:fill="0D1B2A" w:val="clear"/>
          </w:tcPr>
          <w:p>
            <w:pPr>
              <w:jc w:val="center"/>
            </w:pPr>
            <w:r/>
            <w:r>
              <w:rPr>
                <w:rFonts w:ascii="Calibri" w:hAnsi="Calibri"/>
                <w:b/>
                <w:color w:val="FFFFFF"/>
                <w:sz w:val="18"/>
              </w:rPr>
              <w:t>Experiment</w:t>
            </w:r>
          </w:p>
        </w:tc>
        <w:tc>
          <w:tcPr>
            <w:tcW w:type="dxa" w:w="1584"/>
            <w:shd w:fill="0D1B2A" w:val="clear"/>
          </w:tcPr>
          <w:p>
            <w:pPr>
              <w:jc w:val="center"/>
            </w:pPr>
            <w:r/>
            <w:r>
              <w:rPr>
                <w:rFonts w:ascii="Calibri" w:hAnsi="Calibri"/>
                <w:b/>
                <w:color w:val="FFFFFF"/>
                <w:sz w:val="18"/>
              </w:rPr>
              <w:t>Domain</w:t>
            </w:r>
          </w:p>
        </w:tc>
        <w:tc>
          <w:tcPr>
            <w:tcW w:type="dxa" w:w="432"/>
            <w:shd w:fill="0D1B2A" w:val="clear"/>
          </w:tcPr>
          <w:p>
            <w:pPr>
              <w:jc w:val="center"/>
            </w:pPr>
            <w:r/>
            <w:r>
              <w:rPr>
                <w:rFonts w:ascii="Calibri" w:hAnsi="Calibri"/>
                <w:b/>
                <w:color w:val="FFFFFF"/>
                <w:sz w:val="18"/>
              </w:rPr>
              <w:t>D</w:t>
            </w:r>
          </w:p>
        </w:tc>
        <w:tc>
          <w:tcPr>
            <w:tcW w:type="dxa" w:w="1584"/>
            <w:shd w:fill="0D1B2A" w:val="clear"/>
          </w:tcPr>
          <w:p>
            <w:pPr>
              <w:jc w:val="center"/>
            </w:pPr>
            <w:r/>
            <w:r>
              <w:rPr>
                <w:rFonts w:ascii="Calibri" w:hAnsi="Calibri"/>
                <w:b/>
                <w:color w:val="FFFFFF"/>
                <w:sz w:val="18"/>
              </w:rPr>
              <w:t>EITT</w:t>
            </w:r>
          </w:p>
        </w:tc>
        <w:tc>
          <w:tcPr>
            <w:tcW w:type="dxa" w:w="864"/>
            <w:shd w:fill="0D1B2A" w:val="clear"/>
          </w:tcPr>
          <w:p>
            <w:pPr>
              <w:jc w:val="center"/>
            </w:pPr>
            <w:r/>
            <w:r>
              <w:rPr>
                <w:rFonts w:ascii="Calibri" w:hAnsi="Calibri"/>
                <w:b/>
                <w:color w:val="FFFFFF"/>
                <w:sz w:val="18"/>
              </w:rPr>
              <w:t>PLL R²</w:t>
            </w:r>
          </w:p>
        </w:tc>
        <w:tc>
          <w:tcPr>
            <w:tcW w:type="dxa" w:w="1152"/>
            <w:shd w:fill="0D1B2A" w:val="clear"/>
          </w:tcPr>
          <w:p>
            <w:pPr>
              <w:jc w:val="center"/>
            </w:pPr>
            <w:r/>
            <w:r>
              <w:rPr>
                <w:rFonts w:ascii="Calibri" w:hAnsi="Calibri"/>
                <w:b/>
                <w:color w:val="FFFFFF"/>
                <w:sz w:val="18"/>
              </w:rPr>
              <w:t>Shape</w:t>
            </w:r>
          </w:p>
        </w:tc>
        <w:tc>
          <w:tcPr>
            <w:tcW w:type="dxa" w:w="1008"/>
            <w:shd w:fill="0D1B2A" w:val="clear"/>
          </w:tcPr>
          <w:p>
            <w:pPr>
              <w:jc w:val="center"/>
            </w:pPr>
            <w:r/>
            <w:r>
              <w:rPr>
                <w:rFonts w:ascii="Calibri" w:hAnsi="Calibri"/>
                <w:b/>
                <w:color w:val="FFFFFF"/>
                <w:sz w:val="18"/>
              </w:rPr>
              <w:t>Squeeze</w:t>
            </w:r>
          </w:p>
        </w:tc>
        <w:tc>
          <w:tcPr>
            <w:tcW w:type="dxa" w:w="1152"/>
            <w:shd w:fill="0D1B2A" w:val="clear"/>
          </w:tcPr>
          <w:p>
            <w:pPr>
              <w:jc w:val="center"/>
            </w:pPr>
            <w:r/>
            <w:r>
              <w:rPr>
                <w:rFonts w:ascii="Calibri" w:hAnsi="Calibri"/>
                <w:b/>
                <w:color w:val="FFFFFF"/>
                <w:sz w:val="18"/>
              </w:rPr>
              <w:t>Boundary Sp.</w:t>
            </w:r>
          </w:p>
        </w:tc>
      </w:tr>
      <w:tr>
        <w:tc>
          <w:tcPr>
            <w:tcW w:type="dxa" w:w="1008"/>
            <w:shd w:fill="F0F4F8" w:val="clear"/>
          </w:tcPr>
          <w:p>
            <w:pPr>
              <w:jc w:val="center"/>
            </w:pPr>
            <w:r/>
            <w:r>
              <w:rPr>
                <w:rFonts w:ascii="Calibri" w:hAnsi="Calibri"/>
                <w:sz w:val="18"/>
              </w:rPr>
              <w:t>EXP-01</w:t>
            </w:r>
          </w:p>
        </w:tc>
        <w:tc>
          <w:tcPr>
            <w:tcW w:type="dxa" w:w="1584"/>
            <w:shd w:fill="F0F4F8" w:val="clear"/>
          </w:tcPr>
          <w:p>
            <w:pPr>
              <w:jc w:val="left"/>
            </w:pPr>
            <w:r/>
            <w:r>
              <w:rPr>
                <w:rFonts w:ascii="Calibri" w:hAnsi="Calibri"/>
                <w:sz w:val="18"/>
              </w:rPr>
              <w:t>Gold/Silver</w:t>
            </w:r>
          </w:p>
        </w:tc>
        <w:tc>
          <w:tcPr>
            <w:tcW w:type="dxa" w:w="432"/>
            <w:shd w:fill="F0F4F8" w:val="clear"/>
          </w:tcPr>
          <w:p>
            <w:pPr>
              <w:jc w:val="left"/>
            </w:pPr>
            <w:r/>
            <w:r>
              <w:rPr>
                <w:rFonts w:ascii="Calibri" w:hAnsi="Calibri"/>
                <w:sz w:val="18"/>
              </w:rPr>
              <w:t>2</w:t>
            </w:r>
          </w:p>
        </w:tc>
        <w:tc>
          <w:tcPr>
            <w:tcW w:type="dxa" w:w="1584"/>
            <w:shd w:fill="F0F4F8" w:val="clear"/>
          </w:tcPr>
          <w:p>
            <w:pPr>
              <w:jc w:val="left"/>
            </w:pPr>
            <w:r/>
            <w:r>
              <w:rPr>
                <w:rFonts w:ascii="Calibri" w:hAnsi="Calibri"/>
                <w:sz w:val="18"/>
              </w:rPr>
              <w:t>PASS (0.60%)</w:t>
            </w:r>
          </w:p>
        </w:tc>
        <w:tc>
          <w:tcPr>
            <w:tcW w:type="dxa" w:w="864"/>
            <w:shd w:fill="F0F4F8" w:val="clear"/>
          </w:tcPr>
          <w:p>
            <w:pPr>
              <w:jc w:val="left"/>
            </w:pPr>
            <w:r/>
            <w:r>
              <w:rPr>
                <w:rFonts w:ascii="Calibri" w:hAnsi="Calibri"/>
                <w:sz w:val="18"/>
              </w:rPr>
              <w:t>0.90</w:t>
            </w:r>
          </w:p>
        </w:tc>
        <w:tc>
          <w:tcPr>
            <w:tcW w:type="dxa" w:w="1152"/>
            <w:shd w:fill="F0F4F8" w:val="clear"/>
          </w:tcPr>
          <w:p>
            <w:pPr>
              <w:jc w:val="left"/>
            </w:pPr>
            <w:r/>
            <w:r>
              <w:rPr>
                <w:rFonts w:ascii="Calibri" w:hAnsi="Calibri"/>
                <w:sz w:val="18"/>
              </w:rPr>
              <w:t>Bowl</w:t>
            </w:r>
          </w:p>
        </w:tc>
        <w:tc>
          <w:tcPr>
            <w:tcW w:type="dxa" w:w="1008"/>
            <w:shd w:fill="F0F4F8" w:val="clear"/>
          </w:tcPr>
          <w:p>
            <w:pPr>
              <w:jc w:val="left"/>
            </w:pPr>
            <w:r/>
            <w:r>
              <w:rPr>
                <w:rFonts w:ascii="Calibri" w:hAnsi="Calibri"/>
                <w:sz w:val="18"/>
              </w:rPr>
              <w:t>—</w:t>
            </w:r>
          </w:p>
        </w:tc>
        <w:tc>
          <w:tcPr>
            <w:tcW w:type="dxa" w:w="1152"/>
            <w:shd w:fill="F0F4F8" w:val="clear"/>
          </w:tcPr>
          <w:p>
            <w:pPr>
              <w:jc w:val="left"/>
            </w:pPr>
            <w:r/>
            <w:r>
              <w:rPr>
                <w:rFonts w:ascii="Calibri" w:hAnsi="Calibri"/>
                <w:sz w:val="18"/>
              </w:rPr>
              <w:t>Degenerate</w:t>
            </w:r>
          </w:p>
        </w:tc>
      </w:tr>
      <w:tr>
        <w:tc>
          <w:tcPr>
            <w:tcW w:type="dxa" w:w="1008"/>
          </w:tcPr>
          <w:p>
            <w:pPr>
              <w:jc w:val="center"/>
            </w:pPr>
            <w:r/>
            <w:r>
              <w:rPr>
                <w:rFonts w:ascii="Calibri" w:hAnsi="Calibri"/>
                <w:sz w:val="18"/>
              </w:rPr>
              <w:t>EXP-02</w:t>
            </w:r>
          </w:p>
        </w:tc>
        <w:tc>
          <w:tcPr>
            <w:tcW w:type="dxa" w:w="1584"/>
          </w:tcPr>
          <w:p>
            <w:pPr>
              <w:jc w:val="left"/>
            </w:pPr>
            <w:r/>
            <w:r>
              <w:rPr>
                <w:rFonts w:ascii="Calibri" w:hAnsi="Calibri"/>
                <w:sz w:val="18"/>
              </w:rPr>
              <w:t>US Energy</w:t>
            </w:r>
          </w:p>
        </w:tc>
        <w:tc>
          <w:tcPr>
            <w:tcW w:type="dxa" w:w="432"/>
          </w:tcPr>
          <w:p>
            <w:pPr>
              <w:jc w:val="left"/>
            </w:pPr>
            <w:r/>
            <w:r>
              <w:rPr>
                <w:rFonts w:ascii="Calibri" w:hAnsi="Calibri"/>
                <w:sz w:val="18"/>
              </w:rPr>
              <w:t>9</w:t>
            </w:r>
          </w:p>
        </w:tc>
        <w:tc>
          <w:tcPr>
            <w:tcW w:type="dxa" w:w="1584"/>
          </w:tcPr>
          <w:p>
            <w:pPr>
              <w:jc w:val="left"/>
            </w:pPr>
            <w:r/>
            <w:r>
              <w:rPr>
                <w:rFonts w:ascii="Calibri" w:hAnsi="Calibri"/>
                <w:sz w:val="18"/>
              </w:rPr>
              <w:t>5/10 pass</w:t>
            </w:r>
          </w:p>
        </w:tc>
        <w:tc>
          <w:tcPr>
            <w:tcW w:type="dxa" w:w="864"/>
          </w:tcPr>
          <w:p>
            <w:pPr>
              <w:jc w:val="left"/>
            </w:pPr>
            <w:r/>
            <w:r>
              <w:rPr>
                <w:rFonts w:ascii="Calibri" w:hAnsi="Calibri"/>
                <w:sz w:val="18"/>
              </w:rPr>
              <w:t>0.3–0.9</w:t>
            </w:r>
          </w:p>
        </w:tc>
        <w:tc>
          <w:tcPr>
            <w:tcW w:type="dxa" w:w="1152"/>
          </w:tcPr>
          <w:p>
            <w:pPr>
              <w:jc w:val="left"/>
            </w:pPr>
            <w:r/>
            <w:r>
              <w:rPr>
                <w:rFonts w:ascii="Calibri" w:hAnsi="Calibri"/>
                <w:sz w:val="18"/>
              </w:rPr>
              <w:t>Mixed</w:t>
            </w:r>
          </w:p>
        </w:tc>
        <w:tc>
          <w:tcPr>
            <w:tcW w:type="dxa" w:w="1008"/>
          </w:tcPr>
          <w:p>
            <w:pPr>
              <w:jc w:val="left"/>
            </w:pPr>
            <w:r/>
            <w:r>
              <w:rPr>
                <w:rFonts w:ascii="Calibri" w:hAnsi="Calibri"/>
                <w:sz w:val="18"/>
              </w:rPr>
              <w:t>—</w:t>
            </w:r>
          </w:p>
        </w:tc>
        <w:tc>
          <w:tcPr>
            <w:tcW w:type="dxa" w:w="1152"/>
          </w:tcPr>
          <w:p>
            <w:pPr>
              <w:jc w:val="left"/>
            </w:pPr>
            <w:r/>
            <w:r>
              <w:rPr>
                <w:rFonts w:ascii="Calibri" w:hAnsi="Calibri"/>
                <w:sz w:val="18"/>
              </w:rPr>
              <w:t>Hydro</w:t>
            </w:r>
          </w:p>
        </w:tc>
      </w:tr>
      <w:tr>
        <w:tc>
          <w:tcPr>
            <w:tcW w:type="dxa" w:w="1008"/>
            <w:shd w:fill="F0F4F8" w:val="clear"/>
          </w:tcPr>
          <w:p>
            <w:pPr>
              <w:jc w:val="center"/>
            </w:pPr>
            <w:r/>
            <w:r>
              <w:rPr>
                <w:rFonts w:ascii="Calibri" w:hAnsi="Calibri"/>
                <w:sz w:val="18"/>
              </w:rPr>
              <w:t>EXP-03</w:t>
            </w:r>
          </w:p>
        </w:tc>
        <w:tc>
          <w:tcPr>
            <w:tcW w:type="dxa" w:w="1584"/>
            <w:shd w:fill="F0F4F8" w:val="clear"/>
          </w:tcPr>
          <w:p>
            <w:pPr>
              <w:jc w:val="left"/>
            </w:pPr>
            <w:r/>
            <w:r>
              <w:rPr>
                <w:rFonts w:ascii="Calibri" w:hAnsi="Calibri"/>
                <w:sz w:val="18"/>
              </w:rPr>
              <w:t>Nuclear decay</w:t>
            </w:r>
          </w:p>
        </w:tc>
        <w:tc>
          <w:tcPr>
            <w:tcW w:type="dxa" w:w="432"/>
            <w:shd w:fill="F0F4F8" w:val="clear"/>
          </w:tcPr>
          <w:p>
            <w:pPr>
              <w:jc w:val="left"/>
            </w:pPr>
            <w:r/>
            <w:r>
              <w:rPr>
                <w:rFonts w:ascii="Calibri" w:hAnsi="Calibri"/>
                <w:sz w:val="18"/>
              </w:rPr>
              <w:t>2</w:t>
            </w:r>
          </w:p>
        </w:tc>
        <w:tc>
          <w:tcPr>
            <w:tcW w:type="dxa" w:w="1584"/>
            <w:shd w:fill="F0F4F8" w:val="clear"/>
          </w:tcPr>
          <w:p>
            <w:pPr>
              <w:jc w:val="left"/>
            </w:pPr>
            <w:r/>
            <w:r>
              <w:rPr>
                <w:rFonts w:ascii="Calibri" w:hAnsi="Calibri"/>
                <w:sz w:val="18"/>
              </w:rPr>
              <w:t>PASS (0.12%)</w:t>
            </w:r>
          </w:p>
        </w:tc>
        <w:tc>
          <w:tcPr>
            <w:tcW w:type="dxa" w:w="864"/>
            <w:shd w:fill="F0F4F8" w:val="clear"/>
          </w:tcPr>
          <w:p>
            <w:pPr>
              <w:jc w:val="left"/>
            </w:pPr>
            <w:r/>
            <w:r>
              <w:rPr>
                <w:rFonts w:ascii="Calibri" w:hAnsi="Calibri"/>
                <w:sz w:val="18"/>
              </w:rPr>
              <w:t>0.14–0.62</w:t>
            </w:r>
          </w:p>
        </w:tc>
        <w:tc>
          <w:tcPr>
            <w:tcW w:type="dxa" w:w="1152"/>
            <w:shd w:fill="F0F4F8" w:val="clear"/>
          </w:tcPr>
          <w:p>
            <w:pPr>
              <w:jc w:val="left"/>
            </w:pPr>
            <w:r/>
            <w:r>
              <w:rPr>
                <w:rFonts w:ascii="Calibri" w:hAnsi="Calibri"/>
                <w:sz w:val="18"/>
              </w:rPr>
              <w:t>Hill</w:t>
            </w:r>
          </w:p>
        </w:tc>
        <w:tc>
          <w:tcPr>
            <w:tcW w:type="dxa" w:w="1008"/>
            <w:shd w:fill="F0F4F8" w:val="clear"/>
          </w:tcPr>
          <w:p>
            <w:pPr>
              <w:jc w:val="left"/>
            </w:pPr>
            <w:r/>
            <w:r>
              <w:rPr>
                <w:rFonts w:ascii="Calibri" w:hAnsi="Calibri"/>
                <w:sz w:val="18"/>
              </w:rPr>
              <w:t>—</w:t>
            </w:r>
          </w:p>
        </w:tc>
        <w:tc>
          <w:tcPr>
            <w:tcW w:type="dxa" w:w="1152"/>
            <w:shd w:fill="F0F4F8" w:val="clear"/>
          </w:tcPr>
          <w:p>
            <w:pPr>
              <w:jc w:val="left"/>
            </w:pPr>
            <w:r/>
            <w:r>
              <w:rPr>
                <w:rFonts w:ascii="Calibri" w:hAnsi="Calibri"/>
                <w:sz w:val="18"/>
              </w:rPr>
              <w:t>Volume</w:t>
            </w:r>
          </w:p>
        </w:tc>
      </w:tr>
      <w:tr>
        <w:tc>
          <w:tcPr>
            <w:tcW w:type="dxa" w:w="1008"/>
          </w:tcPr>
          <w:p>
            <w:pPr>
              <w:jc w:val="center"/>
            </w:pPr>
            <w:r/>
            <w:r>
              <w:rPr>
                <w:rFonts w:ascii="Calibri" w:hAnsi="Calibri"/>
                <w:sz w:val="18"/>
              </w:rPr>
              <w:t>EXP-03b</w:t>
            </w:r>
          </w:p>
        </w:tc>
        <w:tc>
          <w:tcPr>
            <w:tcW w:type="dxa" w:w="1584"/>
          </w:tcPr>
          <w:p>
            <w:pPr>
              <w:jc w:val="left"/>
            </w:pPr>
            <w:r/>
            <w:r>
              <w:rPr>
                <w:rFonts w:ascii="Calibri" w:hAnsi="Calibri"/>
                <w:sz w:val="18"/>
              </w:rPr>
              <w:t>SEMF valley</w:t>
            </w:r>
          </w:p>
        </w:tc>
        <w:tc>
          <w:tcPr>
            <w:tcW w:type="dxa" w:w="432"/>
          </w:tcPr>
          <w:p>
            <w:pPr>
              <w:jc w:val="left"/>
            </w:pPr>
            <w:r/>
            <w:r>
              <w:rPr>
                <w:rFonts w:ascii="Calibri" w:hAnsi="Calibri"/>
                <w:sz w:val="18"/>
              </w:rPr>
              <w:t>4</w:t>
            </w:r>
          </w:p>
        </w:tc>
        <w:tc>
          <w:tcPr>
            <w:tcW w:type="dxa" w:w="1584"/>
          </w:tcPr>
          <w:p>
            <w:pPr>
              <w:jc w:val="left"/>
            </w:pPr>
            <w:r/>
            <w:r>
              <w:rPr>
                <w:rFonts w:ascii="Calibri" w:hAnsi="Calibri"/>
                <w:sz w:val="18"/>
              </w:rPr>
              <w:t>FAIL (1.16%)</w:t>
            </w:r>
          </w:p>
        </w:tc>
        <w:tc>
          <w:tcPr>
            <w:tcW w:type="dxa" w:w="864"/>
          </w:tcPr>
          <w:p>
            <w:pPr>
              <w:jc w:val="left"/>
            </w:pPr>
            <w:r/>
            <w:r>
              <w:rPr>
                <w:rFonts w:ascii="Calibri" w:hAnsi="Calibri"/>
                <w:sz w:val="18"/>
              </w:rPr>
              <w:t>0.20</w:t>
            </w:r>
          </w:p>
        </w:tc>
        <w:tc>
          <w:tcPr>
            <w:tcW w:type="dxa" w:w="1152"/>
          </w:tcPr>
          <w:p>
            <w:pPr>
              <w:jc w:val="left"/>
            </w:pPr>
            <w:r/>
            <w:r>
              <w:rPr>
                <w:rFonts w:ascii="Calibri" w:hAnsi="Calibri"/>
                <w:sz w:val="18"/>
              </w:rPr>
              <w:t>L-shaped</w:t>
            </w:r>
          </w:p>
        </w:tc>
        <w:tc>
          <w:tcPr>
            <w:tcW w:type="dxa" w:w="1008"/>
          </w:tcPr>
          <w:p>
            <w:pPr>
              <w:jc w:val="left"/>
            </w:pPr>
            <w:r/>
            <w:r>
              <w:rPr>
                <w:rFonts w:ascii="Calibri" w:hAnsi="Calibri"/>
                <w:sz w:val="18"/>
              </w:rPr>
              <w:t>—</w:t>
            </w:r>
          </w:p>
        </w:tc>
        <w:tc>
          <w:tcPr>
            <w:tcW w:type="dxa" w:w="1152"/>
          </w:tcPr>
          <w:p>
            <w:pPr>
              <w:jc w:val="left"/>
            </w:pPr>
            <w:r/>
            <w:r>
              <w:rPr>
                <w:rFonts w:ascii="Calibri" w:hAnsi="Calibri"/>
                <w:sz w:val="18"/>
              </w:rPr>
              <w:t>Volume</w:t>
            </w:r>
          </w:p>
        </w:tc>
      </w:tr>
      <w:tr>
        <w:tc>
          <w:tcPr>
            <w:tcW w:type="dxa" w:w="1008"/>
            <w:shd w:fill="F0F4F8" w:val="clear"/>
          </w:tcPr>
          <w:p>
            <w:pPr>
              <w:jc w:val="center"/>
            </w:pPr>
            <w:r/>
            <w:r>
              <w:rPr>
                <w:rFonts w:ascii="Calibri" w:hAnsi="Calibri"/>
                <w:sz w:val="18"/>
              </w:rPr>
              <w:t>EXP-04</w:t>
            </w:r>
          </w:p>
        </w:tc>
        <w:tc>
          <w:tcPr>
            <w:tcW w:type="dxa" w:w="1584"/>
            <w:shd w:fill="F0F4F8" w:val="clear"/>
          </w:tcPr>
          <w:p>
            <w:pPr>
              <w:jc w:val="left"/>
            </w:pPr>
            <w:r/>
            <w:r>
              <w:rPr>
                <w:rFonts w:ascii="Calibri" w:hAnsi="Calibri"/>
                <w:sz w:val="18"/>
              </w:rPr>
              <w:t>Filter cascade</w:t>
            </w:r>
          </w:p>
        </w:tc>
        <w:tc>
          <w:tcPr>
            <w:tcW w:type="dxa" w:w="432"/>
            <w:shd w:fill="F0F4F8" w:val="clear"/>
          </w:tcPr>
          <w:p>
            <w:pPr>
              <w:jc w:val="left"/>
            </w:pPr>
            <w:r/>
            <w:r>
              <w:rPr>
                <w:rFonts w:ascii="Calibri" w:hAnsi="Calibri"/>
                <w:sz w:val="18"/>
              </w:rPr>
              <w:t>2</w:t>
            </w:r>
          </w:p>
        </w:tc>
        <w:tc>
          <w:tcPr>
            <w:tcW w:type="dxa" w:w="1584"/>
            <w:shd w:fill="F0F4F8" w:val="clear"/>
          </w:tcPr>
          <w:p>
            <w:pPr>
              <w:jc w:val="left"/>
            </w:pPr>
            <w:r/>
            <w:r>
              <w:rPr>
                <w:rFonts w:ascii="Calibri" w:hAnsi="Calibri"/>
                <w:sz w:val="18"/>
              </w:rPr>
              <w:t>2/6 pass</w:t>
            </w:r>
          </w:p>
        </w:tc>
        <w:tc>
          <w:tcPr>
            <w:tcW w:type="dxa" w:w="864"/>
            <w:shd w:fill="F0F4F8" w:val="clear"/>
          </w:tcPr>
          <w:p>
            <w:pPr>
              <w:jc w:val="left"/>
            </w:pPr>
            <w:r/>
            <w:r>
              <w:rPr>
                <w:rFonts w:ascii="Calibri" w:hAnsi="Calibri"/>
                <w:sz w:val="18"/>
              </w:rPr>
              <w:t>&lt; 0.15</w:t>
            </w:r>
          </w:p>
        </w:tc>
        <w:tc>
          <w:tcPr>
            <w:tcW w:type="dxa" w:w="1152"/>
            <w:shd w:fill="F0F4F8" w:val="clear"/>
          </w:tcPr>
          <w:p>
            <w:pPr>
              <w:jc w:val="left"/>
            </w:pPr>
            <w:r/>
            <w:r>
              <w:rPr>
                <w:rFonts w:ascii="Calibri" w:hAnsi="Calibri"/>
                <w:sz w:val="18"/>
              </w:rPr>
              <w:t>Hill→Bowl</w:t>
            </w:r>
          </w:p>
        </w:tc>
        <w:tc>
          <w:tcPr>
            <w:tcW w:type="dxa" w:w="1008"/>
            <w:shd w:fill="F0F4F8" w:val="clear"/>
          </w:tcPr>
          <w:p>
            <w:pPr>
              <w:jc w:val="left"/>
            </w:pPr>
            <w:r/>
            <w:r>
              <w:rPr>
                <w:rFonts w:ascii="Calibri" w:hAnsi="Calibri"/>
                <w:sz w:val="18"/>
              </w:rPr>
              <w:t>11–30%</w:t>
            </w:r>
          </w:p>
        </w:tc>
        <w:tc>
          <w:tcPr>
            <w:tcW w:type="dxa" w:w="1152"/>
            <w:shd w:fill="F0F4F8" w:val="clear"/>
          </w:tcPr>
          <w:p>
            <w:pPr>
              <w:jc w:val="left"/>
            </w:pPr>
            <w:r/>
            <w:r>
              <w:rPr>
                <w:rFonts w:ascii="Calibri" w:hAnsi="Calibri"/>
                <w:sz w:val="18"/>
              </w:rPr>
              <w:t>—</w:t>
            </w:r>
          </w:p>
        </w:tc>
      </w:tr>
      <w:tr>
        <w:tc>
          <w:tcPr>
            <w:tcW w:type="dxa" w:w="1008"/>
          </w:tcPr>
          <w:p>
            <w:pPr>
              <w:jc w:val="center"/>
            </w:pPr>
            <w:r/>
            <w:r>
              <w:rPr>
                <w:rFonts w:ascii="Calibri" w:hAnsi="Calibri"/>
                <w:sz w:val="18"/>
              </w:rPr>
              <w:t>EXP-05</w:t>
            </w:r>
          </w:p>
        </w:tc>
        <w:tc>
          <w:tcPr>
            <w:tcW w:type="dxa" w:w="1584"/>
          </w:tcPr>
          <w:p>
            <w:pPr>
              <w:jc w:val="left"/>
            </w:pPr>
            <w:r/>
            <w:r>
              <w:rPr>
                <w:rFonts w:ascii="Calibri" w:hAnsi="Calibri"/>
                <w:sz w:val="18"/>
              </w:rPr>
              <w:t>Geochemistry</w:t>
            </w:r>
          </w:p>
        </w:tc>
        <w:tc>
          <w:tcPr>
            <w:tcW w:type="dxa" w:w="432"/>
          </w:tcPr>
          <w:p>
            <w:pPr>
              <w:jc w:val="left"/>
            </w:pPr>
            <w:r/>
            <w:r>
              <w:rPr>
                <w:rFonts w:ascii="Calibri" w:hAnsi="Calibri"/>
                <w:sz w:val="18"/>
              </w:rPr>
              <w:t>8</w:t>
            </w:r>
          </w:p>
        </w:tc>
        <w:tc>
          <w:tcPr>
            <w:tcW w:type="dxa" w:w="1584"/>
          </w:tcPr>
          <w:p>
            <w:pPr>
              <w:jc w:val="left"/>
            </w:pPr>
            <w:r/>
            <w:r>
              <w:rPr>
                <w:rFonts w:ascii="Calibri" w:hAnsi="Calibri"/>
                <w:sz w:val="18"/>
              </w:rPr>
              <w:t>50% pass</w:t>
            </w:r>
          </w:p>
        </w:tc>
        <w:tc>
          <w:tcPr>
            <w:tcW w:type="dxa" w:w="864"/>
          </w:tcPr>
          <w:p>
            <w:pPr>
              <w:jc w:val="left"/>
            </w:pPr>
            <w:r/>
            <w:r>
              <w:rPr>
                <w:rFonts w:ascii="Calibri" w:hAnsi="Calibri"/>
                <w:sz w:val="18"/>
              </w:rPr>
              <w:t>0.63</w:t>
            </w:r>
          </w:p>
        </w:tc>
        <w:tc>
          <w:tcPr>
            <w:tcW w:type="dxa" w:w="1152"/>
          </w:tcPr>
          <w:p>
            <w:pPr>
              <w:jc w:val="left"/>
            </w:pPr>
            <w:r/>
            <w:r>
              <w:rPr>
                <w:rFonts w:ascii="Calibri" w:hAnsi="Calibri"/>
                <w:sz w:val="18"/>
              </w:rPr>
              <w:t>Bowl</w:t>
            </w:r>
          </w:p>
        </w:tc>
        <w:tc>
          <w:tcPr>
            <w:tcW w:type="dxa" w:w="1008"/>
          </w:tcPr>
          <w:p>
            <w:pPr>
              <w:jc w:val="left"/>
            </w:pPr>
            <w:r/>
            <w:r>
              <w:rPr>
                <w:rFonts w:ascii="Calibri" w:hAnsi="Calibri"/>
                <w:sz w:val="18"/>
              </w:rPr>
              <w:t>42–72%</w:t>
            </w:r>
          </w:p>
        </w:tc>
        <w:tc>
          <w:tcPr>
            <w:tcW w:type="dxa" w:w="1152"/>
          </w:tcPr>
          <w:p>
            <w:pPr>
              <w:jc w:val="left"/>
            </w:pPr>
            <w:r/>
            <w:r>
              <w:rPr>
                <w:rFonts w:ascii="Calibri" w:hAnsi="Calibri"/>
                <w:sz w:val="18"/>
              </w:rPr>
              <w:t>MgO</w:t>
            </w:r>
          </w:p>
        </w:tc>
      </w:tr>
      <w:tr>
        <w:tc>
          <w:tcPr>
            <w:tcW w:type="dxa" w:w="1008"/>
            <w:shd w:fill="F0F4F8" w:val="clear"/>
          </w:tcPr>
          <w:p>
            <w:pPr>
              <w:jc w:val="center"/>
            </w:pPr>
            <w:r/>
            <w:r>
              <w:rPr>
                <w:rFonts w:ascii="Calibri" w:hAnsi="Calibri"/>
                <w:sz w:val="18"/>
              </w:rPr>
              <w:t>EXP-05p</w:t>
            </w:r>
          </w:p>
        </w:tc>
        <w:tc>
          <w:tcPr>
            <w:tcW w:type="dxa" w:w="1584"/>
            <w:shd w:fill="F0F4F8" w:val="clear"/>
          </w:tcPr>
          <w:p>
            <w:pPr>
              <w:jc w:val="left"/>
            </w:pPr>
            <w:r/>
            <w:r>
              <w:rPr>
                <w:rFonts w:ascii="Calibri" w:hAnsi="Calibri"/>
                <w:sz w:val="18"/>
              </w:rPr>
              <w:t>Plutonic only</w:t>
            </w:r>
          </w:p>
        </w:tc>
        <w:tc>
          <w:tcPr>
            <w:tcW w:type="dxa" w:w="432"/>
            <w:shd w:fill="F0F4F8" w:val="clear"/>
          </w:tcPr>
          <w:p>
            <w:pPr>
              <w:jc w:val="left"/>
            </w:pPr>
            <w:r/>
            <w:r>
              <w:rPr>
                <w:rFonts w:ascii="Calibri" w:hAnsi="Calibri"/>
                <w:sz w:val="18"/>
              </w:rPr>
              <w:t>8</w:t>
            </w:r>
          </w:p>
        </w:tc>
        <w:tc>
          <w:tcPr>
            <w:tcW w:type="dxa" w:w="1584"/>
            <w:shd w:fill="F0F4F8" w:val="clear"/>
          </w:tcPr>
          <w:p>
            <w:pPr>
              <w:jc w:val="left"/>
            </w:pPr>
            <w:r/>
            <w:r>
              <w:rPr>
                <w:rFonts w:ascii="Calibri" w:hAnsi="Calibri"/>
                <w:sz w:val="18"/>
              </w:rPr>
              <w:t>FAIL</w:t>
            </w:r>
          </w:p>
        </w:tc>
        <w:tc>
          <w:tcPr>
            <w:tcW w:type="dxa" w:w="864"/>
            <w:shd w:fill="F0F4F8" w:val="clear"/>
          </w:tcPr>
          <w:p>
            <w:pPr>
              <w:jc w:val="left"/>
            </w:pPr>
            <w:r/>
            <w:r>
              <w:rPr>
                <w:rFonts w:ascii="Calibri" w:hAnsi="Calibri"/>
                <w:sz w:val="18"/>
              </w:rPr>
              <w:t>0.82</w:t>
            </w:r>
          </w:p>
        </w:tc>
        <w:tc>
          <w:tcPr>
            <w:tcW w:type="dxa" w:w="1152"/>
            <w:shd w:fill="F0F4F8" w:val="clear"/>
          </w:tcPr>
          <w:p>
            <w:pPr>
              <w:jc w:val="left"/>
            </w:pPr>
            <w:r/>
            <w:r>
              <w:rPr>
                <w:rFonts w:ascii="Calibri" w:hAnsi="Calibri"/>
                <w:sz w:val="18"/>
              </w:rPr>
              <w:t>Bowl</w:t>
            </w:r>
          </w:p>
        </w:tc>
        <w:tc>
          <w:tcPr>
            <w:tcW w:type="dxa" w:w="1008"/>
            <w:shd w:fill="F0F4F8" w:val="clear"/>
          </w:tcPr>
          <w:p>
            <w:pPr>
              <w:jc w:val="left"/>
            </w:pPr>
            <w:r/>
            <w:r>
              <w:rPr>
                <w:rFonts w:ascii="Calibri" w:hAnsi="Calibri"/>
                <w:sz w:val="18"/>
              </w:rPr>
              <w:t>48–91%</w:t>
            </w:r>
          </w:p>
        </w:tc>
        <w:tc>
          <w:tcPr>
            <w:tcW w:type="dxa" w:w="1152"/>
            <w:shd w:fill="F0F4F8" w:val="clear"/>
          </w:tcPr>
          <w:p>
            <w:pPr>
              <w:jc w:val="left"/>
            </w:pPr>
            <w:r/>
            <w:r>
              <w:rPr>
                <w:rFonts w:ascii="Calibri" w:hAnsi="Calibri"/>
                <w:sz w:val="18"/>
              </w:rPr>
              <w:t>MgO</w:t>
            </w:r>
          </w:p>
        </w:tc>
      </w:tr>
    </w:tbl>
    <w:p/>
    <w:p>
      <w:pPr>
        <w:spacing w:after="120"/>
      </w:pPr>
      <w:r>
        <w:t>The operating envelope rules that emerge:</w:t>
      </w:r>
    </w:p>
    <w:p>
      <w:pPr>
        <w:spacing w:after="120"/>
      </w:pPr>
      <w:r>
        <w:rPr>
          <w:b/>
          <w:color w:val="0D1B2A"/>
          <w:sz w:val="22"/>
        </w:rPr>
        <w:t>EITT passes when the compositional walk is smooth and stationary.</w:t>
      </w:r>
      <w:r>
        <w:rPr>
          <w:color w:val="1A1A2E"/>
          <w:sz w:val="22"/>
        </w:rPr>
        <w:t xml:space="preserve"> Decay chains (0.12%), gold/silver (0.60%), and gentle filters (0.28–0.51%) pass. Phase transitions, boundary effects, and steep rolloffs cause failure.</w:t>
      </w:r>
    </w:p>
    <w:p>
      <w:pPr>
        <w:spacing w:after="120"/>
      </w:pPr>
      <w:r>
        <w:rPr>
          <w:b/>
          <w:color w:val="0D1B2A"/>
          <w:sz w:val="22"/>
        </w:rPr>
        <w:t>The PLL parabola requires two competing forces of comparable strength.</w:t>
      </w:r>
      <w:r>
        <w:rPr>
          <w:color w:val="1A1A2E"/>
          <w:sz w:val="22"/>
        </w:rPr>
        <w:t xml:space="preserve"> Gold/Silver (monetary forces), US energy (fossil vs renewable), geochemistry (MgO depletion vs K2O enrichment) all show R-squared above 0.5. Single-force domains (filter rolloff, nuclear binding) show R-squared below 0.2.</w:t>
      </w:r>
    </w:p>
    <w:p>
      <w:pPr>
        <w:spacing w:after="120"/>
      </w:pPr>
      <w:r>
        <w:rPr>
          <w:b/>
          <w:color w:val="0D1B2A"/>
          <w:sz w:val="22"/>
        </w:rPr>
        <w:t>The PLL shape encodes the process type.</w:t>
      </w:r>
      <w:r>
        <w:rPr>
          <w:color w:val="1A1A2E"/>
          <w:sz w:val="22"/>
        </w:rPr>
        <w:t xml:space="preserve"> Bowl (lock) indicates stable equilibrium with two competing forces. Hill (anti-lock) indicates relaxation from a stressed state. The shape can flip within a single system (EXP-04 filter orders, EXP-05 intermediate sub-series).</w:t>
      </w:r>
    </w:p>
    <w:p>
      <w:pPr>
        <w:spacing w:after="120"/>
      </w:pPr>
      <w:r>
        <w:rPr>
          <w:b/>
          <w:color w:val="0D1B2A"/>
          <w:sz w:val="22"/>
        </w:rPr>
        <w:t>Cooling rate / equilibration time determines PLL quality.</w:t>
      </w:r>
      <w:r>
        <w:rPr>
          <w:color w:val="1A1A2E"/>
          <w:sz w:val="22"/>
        </w:rPr>
        <w:t xml:space="preserve"> Plutonic rocks (slow, R-squared = 0.82) produce cleaner parabolas than volcanic (fast, R-squared = 0.44). The parabola is a thermodynamic signature; it requires time to develop.</w:t>
      </w:r>
    </w:p>
    <w:p>
      <w:pPr>
        <w:spacing w:after="120"/>
      </w:pPr>
      <w:r>
        <w:rPr>
          <w:b/>
          <w:color w:val="0D1B2A"/>
          <w:sz w:val="22"/>
        </w:rPr>
        <w:t>Noise squeeze measures structural complexity.</w:t>
      </w:r>
      <w:r>
        <w:rPr>
          <w:color w:val="1A1A2E"/>
          <w:sz w:val="22"/>
        </w:rPr>
        <w:t xml:space="preserve"> Engineered systems with smooth transfer functions squeeze little (11–30%). Natural systems with phase transitions squeeze much (42–91%). Squeeze is a compositional complexity metric.</w:t>
      </w:r>
    </w:p>
    <w:p>
      <w:pPr>
        <w:spacing w:after="120"/>
      </w:pPr>
      <w:r>
        <w:rPr>
          <w:b/>
          <w:color w:val="0D1B2A"/>
          <w:sz w:val="22"/>
        </w:rPr>
        <w:t>The boundary species is the compositional driver of the entire trajectory.</w:t>
      </w:r>
      <w:r>
        <w:rPr>
          <w:color w:val="1A1A2E"/>
          <w:sz w:val="22"/>
        </w:rPr>
        <w:t xml:space="preserve"> It is the component whose variance fraction dominates the CLR decomposition. It can be identified from data alone and validated against domain knowledge.</w:t>
      </w:r>
    </w:p>
    <w:p>
      <w:r>
        <w:br w:type="page"/>
      </w:r>
    </w:p>
    <w:p>
      <w:pPr>
        <w:pStyle w:val="Heading1"/>
      </w:pPr>
      <w:r>
        <w:t>7. The Mathematical Spine</w:t>
      </w:r>
    </w:p>
    <w:p>
      <w:pPr>
        <w:spacing w:after="160"/>
      </w:pPr>
      <w:r>
        <w:t>The empirical programme rests on a mathematical framework that grew alongside it. Three theorems, two lemmas, and eight open problems define the current state of the mathematics:</w:t>
      </w:r>
    </w:p>
    <w:p>
      <w:pPr>
        <w:pStyle w:val="Heading3"/>
      </w:pPr>
      <w:r>
        <w:t>Theorems</w:t>
      </w:r>
    </w:p>
    <w:p>
      <w:pPr>
        <w:spacing w:after="120"/>
      </w:pPr>
      <w:r>
        <w:rPr>
          <w:b/>
          <w:color w:val="0D1B2A"/>
          <w:sz w:val="22"/>
        </w:rPr>
        <w:t xml:space="preserve">T1 — Vertex Theorem (PROVED). </w:t>
      </w:r>
      <w:r>
        <w:rPr>
          <w:color w:val="1A1A2E"/>
          <w:sz w:val="22"/>
        </w:rPr>
        <w:t>d(sigma-squared-A)/dt = (2/D) times the sum of clr_i times clr_i-prime. At any extremum, clr is orthogonal to clr-prime. This is an exact chain-rule identity; no approximation.</w:t>
      </w:r>
    </w:p>
    <w:p>
      <w:pPr>
        <w:spacing w:after="120"/>
      </w:pPr>
      <w:r>
        <w:rPr>
          <w:b/>
          <w:color w:val="0D1B2A"/>
          <w:sz w:val="22"/>
        </w:rPr>
        <w:t xml:space="preserve">T2 — CLR Linearity (PROVED). </w:t>
      </w:r>
      <w:r>
        <w:rPr>
          <w:color w:val="1A1A2E"/>
          <w:sz w:val="22"/>
        </w:rPr>
        <w:t>clr(x-bar-G) = (1/M) times the sum of clr(x(t)). The CLR transform commutes exactly with geometric-mean block averaging. This is why EITT works: the CLR coordinates are preserved under decimation.</w:t>
      </w:r>
    </w:p>
    <w:p>
      <w:pPr>
        <w:spacing w:after="120"/>
      </w:pPr>
      <w:r>
        <w:rPr>
          <w:b/>
          <w:color w:val="0D1B2A"/>
          <w:sz w:val="22"/>
        </w:rPr>
        <w:t xml:space="preserve">T3 — Hessian Bound (PROOF SKETCH). </w:t>
      </w:r>
      <w:r>
        <w:rPr>
          <w:color w:val="1A1A2E"/>
          <w:sz w:val="22"/>
        </w:rPr>
        <w:t>The expected EITT deviation is bounded: |E[delta-M]| is less than or equal to (D-1) times sigma-squared-A divided by (2 delta M H-bar), plus order M to the minus three-halves. This requires stationarity (Assumption A1), which is what fails in survey data and at phase transitions.</w:t>
      </w:r>
    </w:p>
    <w:p>
      <w:pPr>
        <w:pStyle w:val="Heading3"/>
      </w:pPr>
      <w:r>
        <w:t>Key Open Problems</w:t>
      </w:r>
    </w:p>
    <w:p>
      <w:pPr>
        <w:spacing w:after="80"/>
      </w:pPr>
      <w:r>
        <w:rPr>
          <w:b/>
          <w:color w:val="1A1A2E"/>
          <w:sz w:val="20"/>
        </w:rPr>
        <w:t xml:space="preserve">O-1: General EITT invariance theorem with concentration inequality. </w:t>
      </w:r>
      <w:r>
        <w:rPr>
          <w:i/>
          <w:color w:val="555555"/>
          <w:sz w:val="20"/>
        </w:rPr>
        <w:t>If solved, EITT is promoted from empirical observation to mathematical theorem.</w:t>
      </w:r>
    </w:p>
    <w:p>
      <w:pPr>
        <w:spacing w:after="80"/>
      </w:pPr>
      <w:r>
        <w:rPr>
          <w:b/>
          <w:color w:val="1A1A2E"/>
          <w:sz w:val="20"/>
        </w:rPr>
        <w:t xml:space="preserve">O-2: Prove sigma-squared-A is generically parabolic under mild regularity. </w:t>
      </w:r>
      <w:r>
        <w:rPr>
          <w:i/>
          <w:color w:val="555555"/>
          <w:sz w:val="20"/>
        </w:rPr>
        <w:t>If solved, PLL universality is promoted from L1 to L2.</w:t>
      </w:r>
    </w:p>
    <w:p>
      <w:pPr>
        <w:spacing w:after="80"/>
      </w:pPr>
      <w:r>
        <w:rPr>
          <w:b/>
          <w:color w:val="1A1A2E"/>
          <w:sz w:val="20"/>
        </w:rPr>
        <w:t xml:space="preserve">O-3: Derive the ADAC contraction constant L analytically. </w:t>
      </w:r>
      <w:r>
        <w:rPr>
          <w:i/>
          <w:color w:val="555555"/>
          <w:sz w:val="20"/>
        </w:rPr>
        <w:t>If solved, boundary species convergence is formalised as a Banach fixed-point result.</w:t>
      </w:r>
    </w:p>
    <w:p>
      <w:pPr>
        <w:spacing w:after="80"/>
      </w:pPr>
      <w:r>
        <w:rPr>
          <w:b/>
          <w:color w:val="1A1A2E"/>
          <w:sz w:val="20"/>
        </w:rPr>
        <w:t xml:space="preserve">O-4: Non-stationary EITT extension with drift velocity. </w:t>
      </w:r>
      <w:r>
        <w:rPr>
          <w:i/>
          <w:color w:val="555555"/>
          <w:sz w:val="20"/>
        </w:rPr>
        <w:t>If solved, EITT becomes applicable to trending systems (climate, markets during crashes).</w:t>
      </w:r>
    </w:p>
    <w:p>
      <w:r>
        <w:br w:type="page"/>
      </w:r>
    </w:p>
    <w:p>
      <w:pPr>
        <w:pStyle w:val="Heading1"/>
      </w:pPr>
      <w:r>
        <w:t>8. What This Means: Implications for Compositional Data Analysis</w:t>
      </w:r>
    </w:p>
    <w:p>
      <w:pPr>
        <w:spacing w:after="160"/>
      </w:pPr>
      <w:r>
        <w:t>The Higgins Unity Framework extends the classical CoDa toolkit (Aitchison geometry, log-ratio transforms, perturbation algebra) with a temporal dimension. Classical CoDa treats compositions as points on the simplex; HUF treats them as trajectories. The distinction matters because most real compositional data is ordered — by time, by spatial position, by a control parameter — and the ordering encodes physical information that static analysis discards.</w:t>
      </w:r>
    </w:p>
    <w:p>
      <w:pPr>
        <w:spacing w:after="160"/>
      </w:pPr>
      <w:r>
        <w:t>The EITT is a stationarity test that operates natively on the simplex. Unlike conventional stationarity tests (ADF, KPSS, Phillips-Perron) that require a choice of coordinate system, the EITT is coordinate-free: it uses Shannon entropy, which is invariant under permutation of parts. This makes it the natural stationarity test for compositional data.</w:t>
      </w:r>
    </w:p>
    <w:p>
      <w:pPr>
        <w:spacing w:after="160"/>
      </w:pPr>
      <w:r>
        <w:t>The PLL parabola provides a physical interpretation of Aitchison variance that goes beyond its role as a dispersion measure. When sigma-squared-A is parabolic, the vertex identifies the dynamic equilibrium of the system — the composition where competing forces balance. The shape (bowl vs hill) classifies the process type (equilibrium vs relaxation). The Q factor measures the sharpness of the equilibrium. These are new concepts for the CoDa community.</w:t>
      </w:r>
    </w:p>
    <w:p>
      <w:pPr>
        <w:spacing w:after="240"/>
      </w:pPr>
      <w:r>
        <w:t>The boundary species decomposition provides a principled way to identify which components drive compositional change. In a D-part composition, not all parts contribute equally to the trajectory’s structure. The component with the highest CLR variance fraction is the one that most strongly determines the system’s behaviour. This is directly analogous to principal component analysis, but it operates in the Aitchison geometry rather than Euclidean space, and it provides physically interpretable results (hydro as swing carrier, MgO as primary differentiator) rather than abstract linear combinations.</w:t>
      </w:r>
    </w:p>
    <w:p>
      <w:pPr>
        <w:pStyle w:val="Heading1"/>
      </w:pPr>
      <w:r>
        <w:t>9. What This Means: Implications for Scientific Methodology</w:t>
      </w:r>
    </w:p>
    <w:p>
      <w:pPr>
        <w:spacing w:after="160"/>
      </w:pPr>
      <w:r>
        <w:t>The five-experiment arc demonstrates a mode of scientific work that has no established name. We call it human-AI collaborative scientific exploration, and we propose that it has specific characteristics that distinguish it from both traditional research and AI-assisted analysis:</w:t>
      </w:r>
    </w:p>
    <w:p>
      <w:pPr>
        <w:spacing w:after="160"/>
      </w:pPr>
      <w:r>
        <w:rPr>
          <w:b/>
          <w:color w:val="0D1B2A"/>
          <w:sz w:val="22"/>
        </w:rPr>
        <w:t xml:space="preserve">Genuine co-discovery. </w:t>
      </w:r>
      <w:r>
        <w:rPr>
          <w:color w:val="1A1A2E"/>
          <w:sz w:val="22"/>
        </w:rPr>
        <w:t>The PLL parabola was not in any textbook. The vertex theorem was not derived before the data demanded it. The boundary species decomposition was not planned — it emerged from the need to understand why some series pass EITT and others fail. Neither the human nor the AI could have produced these results alone.</w:t>
      </w:r>
    </w:p>
    <w:p>
      <w:pPr>
        <w:spacing w:after="160"/>
      </w:pPr>
      <w:r>
        <w:rPr>
          <w:b/>
          <w:color w:val="0D1B2A"/>
          <w:sz w:val="22"/>
        </w:rPr>
        <w:t xml:space="preserve">Pre-registered predictions from both parties. </w:t>
      </w:r>
      <w:r>
        <w:rPr>
          <w:color w:val="1A1A2E"/>
          <w:sz w:val="22"/>
        </w:rPr>
        <w:t>The human predicted texture-energy effects in geochemistry; the AI predicted tholeiitic EITT passage. Both predictions were tested against data. Some were confirmed; some were falsified. The falsified predictions (Claude’s sedimentary mixing prediction in EXP-05) were as informative as the confirmed ones.</w:t>
      </w:r>
    </w:p>
    <w:p>
      <w:pPr>
        <w:spacing w:after="160"/>
      </w:pPr>
      <w:r>
        <w:rPr>
          <w:b/>
          <w:color w:val="0D1B2A"/>
          <w:sz w:val="22"/>
        </w:rPr>
        <w:t xml:space="preserve">Retroactive re-analysis. </w:t>
      </w:r>
      <w:r>
        <w:rPr>
          <w:color w:val="1A1A2E"/>
          <w:sz w:val="22"/>
        </w:rPr>
        <w:t>When a new tool was developed (PLL in EXP-02, noise squeeze in EXP-03), earlier experiments were re-run with the new tool. This is not p-hacking — the original sealed conclusions were not revised. The re-analysis was a new layer added on top of the sealed results, producing supplementary findings that were themselves sealed.</w:t>
      </w:r>
    </w:p>
    <w:p>
      <w:pPr>
        <w:spacing w:after="160"/>
      </w:pPr>
      <w:r>
        <w:rPr>
          <w:b/>
          <w:color w:val="0D1B2A"/>
          <w:sz w:val="22"/>
        </w:rPr>
        <w:t xml:space="preserve">Quality control through adversarial verification. </w:t>
      </w:r>
      <w:r>
        <w:rPr>
          <w:color w:val="1A1A2E"/>
          <w:sz w:val="22"/>
        </w:rPr>
        <w:t>The human caught the AI writing conclusions from old data without fresh computation (EXP-04). The AI caught the human making incorrect predictions (sedimentary mixing in EXP-05). Both parties served as quality controllers for the other. The standard was: show the computation, not just the conclusion.</w:t>
      </w:r>
    </w:p>
    <w:p>
      <w:pPr>
        <w:spacing w:after="160"/>
      </w:pPr>
      <w:r>
        <w:rPr>
          <w:b/>
          <w:color w:val="0D1B2A"/>
          <w:sz w:val="22"/>
        </w:rPr>
        <w:t xml:space="preserve">Tool-building as a first-class scientific activity. </w:t>
      </w:r>
      <w:r>
        <w:rPr>
          <w:color w:val="1A1A2E"/>
          <w:sz w:val="22"/>
        </w:rPr>
        <w:t>The seven instruments in the toolkit were not pre-existing methods applied to new data. They were invented during the research programme because the data demanded them. Building a tool — proving a theorem, defining a metric, establishing a test — was as important as running an experiment. The toolkit IS the science.</w:t>
      </w:r>
    </w:p>
    <w:p>
      <w:r>
        <w:br w:type="page"/>
      </w:r>
    </w:p>
    <w:p>
      <w:pPr>
        <w:pStyle w:val="Heading1"/>
      </w:pPr>
      <w:r>
        <w:t>10. Limitations and Open Problems</w:t>
      </w:r>
    </w:p>
    <w:p>
      <w:pPr>
        <w:spacing w:after="160"/>
      </w:pPr>
      <w:r>
        <w:t>The framework has clear limitations that should be stated plainly:</w:t>
      </w:r>
    </w:p>
    <w:p>
      <w:pPr>
        <w:spacing w:after="120"/>
      </w:pPr>
      <w:r>
        <w:rPr>
          <w:b/>
          <w:color w:val="0D1B2A"/>
          <w:sz w:val="22"/>
        </w:rPr>
        <w:t xml:space="preserve">Sample sizes are modest. </w:t>
      </w:r>
      <w:r>
        <w:rPr>
          <w:color w:val="1A1A2E"/>
          <w:sz w:val="22"/>
        </w:rPr>
        <w:t>EXP-05 uses 28 rock compositions. EXP-01 has 624 observations. These are sufficient for the analyses performed, but large-N validation (thousands of compositions) would strengthen the statistical claims. The GEOROC and EarthChem databases provide paths to this validation.</w:t>
      </w:r>
    </w:p>
    <w:p>
      <w:pPr>
        <w:spacing w:after="120"/>
      </w:pPr>
      <w:r>
        <w:rPr>
          <w:b/>
          <w:color w:val="0D1B2A"/>
          <w:sz w:val="22"/>
        </w:rPr>
        <w:t xml:space="preserve">The EITT threshold of 1% is empirical. </w:t>
      </w:r>
      <w:r>
        <w:rPr>
          <w:color w:val="1A1A2E"/>
          <w:sz w:val="22"/>
        </w:rPr>
        <w:t>The 1% threshold was chosen because it separated known-good series from known-bad ones across 30 domains. It is not derived from first principles. Open Problem O-1 (a concentration inequality for the EITT deviation) would provide a principled threshold.</w:t>
      </w:r>
    </w:p>
    <w:p>
      <w:pPr>
        <w:spacing w:after="120"/>
      </w:pPr>
      <w:r>
        <w:rPr>
          <w:b/>
          <w:color w:val="0D1B2A"/>
          <w:sz w:val="22"/>
        </w:rPr>
        <w:t xml:space="preserve">The PLL parabola is an approximation. </w:t>
      </w:r>
      <w:r>
        <w:rPr>
          <w:color w:val="1A1A2E"/>
          <w:sz w:val="22"/>
        </w:rPr>
        <w:t>Sigma-squared-A is not exactly quadratic in any domain tested. The R-squared values range from 0.14 to 0.90. The parabola is a first-order description of the sigma-squared-A trajectory, not an exact law. The noise squeeze measures exactly how much structure the parabola misses.</w:t>
      </w:r>
    </w:p>
    <w:p>
      <w:pPr>
        <w:spacing w:after="120"/>
      </w:pPr>
      <w:r>
        <w:rPr>
          <w:b/>
          <w:color w:val="0D1B2A"/>
          <w:sz w:val="22"/>
        </w:rPr>
        <w:t xml:space="preserve">The framework has not been tested on non-stationary systems. </w:t>
      </w:r>
      <w:r>
        <w:rPr>
          <w:color w:val="1A1A2E"/>
          <w:sz w:val="22"/>
        </w:rPr>
        <w:t>All five experiments use data that is at least approximately stationary (or the non-stationarity is itself the finding). Trending systems — climate trajectories, pandemic evolution, market crashes — would require the non-stationary extension (Open Problem O-4).</w:t>
      </w:r>
    </w:p>
    <w:p>
      <w:pPr>
        <w:spacing w:after="120"/>
      </w:pPr>
      <w:r>
        <w:rPr>
          <w:b/>
          <w:color w:val="0D1B2A"/>
          <w:sz w:val="22"/>
        </w:rPr>
        <w:t xml:space="preserve">External peer review has not yet occurred. </w:t>
      </w:r>
      <w:r>
        <w:rPr>
          <w:color w:val="1A1A2E"/>
          <w:sz w:val="22"/>
        </w:rPr>
        <w:t>The results have been computed, verified, and internally audited. They have not been submitted to a peer-reviewed journal. The CoDaWork 2026 presentation is the first public exposure. The reproducibility package is designed to facilitate independent verification.</w:t>
      </w:r>
    </w:p>
    <w:p>
      <w:r>
        <w:br w:type="page"/>
      </w:r>
    </w:p>
    <w:p>
      <w:pPr>
        <w:pStyle w:val="Heading1"/>
      </w:pPr>
      <w:r>
        <w:t>11. Conclusion: The Shape of the Framework</w:t>
      </w:r>
    </w:p>
    <w:p>
      <w:pPr>
        <w:spacing w:after="160"/>
      </w:pPr>
      <w:r>
        <w:t>The five experiments form a coherent arc. They began with a question about entropy invariance in a two-part financial time series and ended with a validated toolkit for compositional trajectory analysis across any domain where data lives on the simplex.</w:t>
      </w:r>
    </w:p>
    <w:p>
      <w:pPr>
        <w:spacing w:after="160"/>
      </w:pPr>
      <w:r>
        <w:t>The central insight is that Aitchison variance — the dispersion measure that the CoDa community has used for four decades as a static summary statistic — is a dynamic quantity. When plotted against an ordering parameter, it traces a trajectory whose shape encodes the physics of the underlying process. A parabola means two forces compete. A hill means relaxation. An L-shape means a single force dominates. The vertex is the equilibrium point. The noise squeeze is the complexity beyond the quadratic. The boundary species is the component that drives the trajectory.</w:t>
      </w:r>
    </w:p>
    <w:p>
      <w:pPr>
        <w:spacing w:after="160"/>
      </w:pPr>
      <w:r>
        <w:t>These are not metaphors. They are measurable, reproducible, and falsifiable. Every claim in this document can be verified by running the archived scripts on the archived data. The sealed conclusions cannot be revised. The predictions that failed are documented alongside those that succeeded.</w:t>
      </w:r>
    </w:p>
    <w:p>
      <w:pPr>
        <w:spacing w:after="160"/>
      </w:pPr>
      <w:r>
        <w:t>The framework is not finished. Eight open problems remain. The EITT threshold needs a concentration inequality. The parabola genericity needs a proof. The non-stationary extension has not been built. These are genuine open mathematical problems that we offer to the community.</w:t>
      </w:r>
    </w:p>
    <w:p>
      <w:pPr>
        <w:spacing w:after="160"/>
      </w:pPr>
      <w:r>
        <w:t>But the experiments are finished. Five domains tested. Seven tools built. Three theorems proved. Thirty domains surveyed in the PLL hunt. The framework has an operating envelope, a claim classification ladder, a mathematical addendum, and a reproducibility package. It is ready for external scrutiny.</w:t>
      </w:r>
    </w:p>
    <w:p>
      <w:pPr>
        <w:spacing w:after="240"/>
      </w:pPr>
      <w:r>
        <w:rPr>
          <w:i/>
          <w:color w:val="028090"/>
          <w:sz w:val="22"/>
        </w:rPr>
        <w:t xml:space="preserve">The screwdriver came home and found structure the original visit could not see </w:t>
      </w:r>
      <w:r>
        <w:rPr>
          <w:i/>
          <w:color w:val="1A1A2E"/>
          <w:sz w:val="22"/>
        </w:rPr>
        <w:t>— a parabola in the rocks, with its vertex at the most important boundary in igneous petrology. That is what this programme was for: to build the instruments that let the data speak for itself.</w:t>
      </w:r>
    </w:p>
    <w:p>
      <w:pPr>
        <w:spacing w:before="80" w:after="80"/>
        <w:pBdr>
          <w:bottom w:val="single" w:sz="12" w:space="1" w:color="0D1B2A"/>
        </w:pBdr>
      </w:pPr>
    </w:p>
    <w:p>
      <w:pPr>
        <w:spacing w:after="80"/>
      </w:pPr>
      <w:r>
        <w:rPr>
          <w:i/>
          <w:color w:val="555555"/>
          <w:sz w:val="20"/>
        </w:rPr>
        <w:t>P. Higgins, 2026. Higgins Unity Framework: The Experiment Series EXP-01–EXP-05. Independent Researcher, Markham, Ontario, Canada.</w:t>
      </w:r>
    </w:p>
    <w:p>
      <w:pPr>
        <w:spacing w:after="240"/>
      </w:pPr>
      <w:r>
        <w:rPr>
          <w:i/>
          <w:color w:val="555555"/>
          <w:sz w:val="20"/>
        </w:rPr>
        <w:t>Prepared with Claude (Anthropic) as collaborative research partner.</w:t>
      </w:r>
    </w:p>
    <w:p>
      <w:r>
        <w:br w:type="page"/>
      </w:r>
    </w:p>
    <w:p>
      <w:pPr>
        <w:pStyle w:val="Heading1"/>
      </w:pPr>
      <w:r>
        <w:t>Appendix A: Canonical Values Registry</w:t>
      </w:r>
    </w:p>
    <w:p>
      <w:pPr>
        <w:spacing w:after="160"/>
      </w:pPr>
      <w:r>
        <w:t>The following values have been established across the five-experiment programme. They serve as benchmarks for future analyses and reproducibility checks.</w:t>
      </w:r>
    </w:p>
    <w:p>
      <w:pPr>
        <w:pStyle w:val="Heading3"/>
      </w:pPr>
      <w:r>
        <w:t>EITT Benchmarks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592"/>
            <w:shd w:fill="0D1B2A" w:val="clear"/>
          </w:tcPr>
          <w:p>
            <w:pPr>
              <w:jc w:val="center"/>
            </w:pPr>
            <w:r/>
            <w:r>
              <w:rPr>
                <w:rFonts w:ascii="Calibri" w:hAnsi="Calibri"/>
                <w:b/>
                <w:color w:val="FFFFFF"/>
                <w:sz w:val="18"/>
              </w:rPr>
              <w:t>Dataset</w:t>
            </w:r>
          </w:p>
        </w:tc>
        <w:tc>
          <w:tcPr>
            <w:tcW w:type="dxa" w:w="720"/>
            <w:shd w:fill="0D1B2A" w:val="clear"/>
          </w:tcPr>
          <w:p>
            <w:pPr>
              <w:jc w:val="center"/>
            </w:pPr>
            <w:r/>
            <w:r>
              <w:rPr>
                <w:rFonts w:ascii="Calibri" w:hAnsi="Calibri"/>
                <w:b/>
                <w:color w:val="FFFFFF"/>
                <w:sz w:val="18"/>
              </w:rPr>
              <w:t>N</w:t>
            </w:r>
          </w:p>
        </w:tc>
        <w:tc>
          <w:tcPr>
            <w:tcW w:type="dxa" w:w="576"/>
            <w:shd w:fill="0D1B2A" w:val="clear"/>
          </w:tcPr>
          <w:p>
            <w:pPr>
              <w:jc w:val="center"/>
            </w:pPr>
            <w:r/>
            <w:r>
              <w:rPr>
                <w:rFonts w:ascii="Calibri" w:hAnsi="Calibri"/>
                <w:b/>
                <w:color w:val="FFFFFF"/>
                <w:sz w:val="18"/>
              </w:rPr>
              <w:t>D</w:t>
            </w:r>
          </w:p>
        </w:tc>
        <w:tc>
          <w:tcPr>
            <w:tcW w:type="dxa" w:w="1296"/>
            <w:shd w:fill="0D1B2A" w:val="clear"/>
          </w:tcPr>
          <w:p>
            <w:pPr>
              <w:jc w:val="center"/>
            </w:pPr>
            <w:r/>
            <w:r>
              <w:rPr>
                <w:rFonts w:ascii="Calibri" w:hAnsi="Calibri"/>
                <w:b/>
                <w:color w:val="FFFFFF"/>
                <w:sz w:val="18"/>
              </w:rPr>
              <w:t>Max Delta</w:t>
            </w:r>
          </w:p>
        </w:tc>
        <w:tc>
          <w:tcPr>
            <w:tcW w:type="dxa" w:w="1440"/>
            <w:shd w:fill="0D1B2A" w:val="clear"/>
          </w:tcPr>
          <w:p>
            <w:pPr>
              <w:jc w:val="center"/>
            </w:pPr>
            <w:r/>
            <w:r>
              <w:rPr>
                <w:rFonts w:ascii="Calibri" w:hAnsi="Calibri"/>
                <w:b/>
                <w:color w:val="FFFFFF"/>
                <w:sz w:val="18"/>
              </w:rPr>
              <w:t>Verdict</w:t>
            </w:r>
          </w:p>
        </w:tc>
      </w:tr>
      <w:tr>
        <w:tc>
          <w:tcPr>
            <w:tcW w:type="dxa" w:w="2592"/>
            <w:shd w:fill="F0F4F8" w:val="clear"/>
          </w:tcPr>
          <w:p>
            <w:pPr>
              <w:jc w:val="center"/>
            </w:pPr>
            <w:r/>
            <w:r>
              <w:rPr>
                <w:rFonts w:ascii="Calibri" w:hAnsi="Calibri"/>
                <w:sz w:val="18"/>
              </w:rPr>
              <w:t>European prices 341:1</w:t>
            </w:r>
          </w:p>
        </w:tc>
        <w:tc>
          <w:tcPr>
            <w:tcW w:type="dxa" w:w="720"/>
            <w:shd w:fill="F0F4F8" w:val="clear"/>
          </w:tcPr>
          <w:p>
            <w:pPr>
              <w:jc w:val="left"/>
            </w:pPr>
            <w:r/>
            <w:r>
              <w:rPr>
                <w:rFonts w:ascii="Calibri" w:hAnsi="Calibri"/>
                <w:sz w:val="18"/>
              </w:rPr>
              <w:t>341</w:t>
            </w:r>
          </w:p>
        </w:tc>
        <w:tc>
          <w:tcPr>
            <w:tcW w:type="dxa" w:w="576"/>
            <w:shd w:fill="F0F4F8" w:val="clear"/>
          </w:tcPr>
          <w:p>
            <w:pPr>
              <w:jc w:val="left"/>
            </w:pPr>
            <w:r/>
            <w:r>
              <w:rPr>
                <w:rFonts w:ascii="Calibri" w:hAnsi="Calibri"/>
                <w:sz w:val="18"/>
              </w:rPr>
              <w:t>2</w:t>
            </w:r>
          </w:p>
        </w:tc>
        <w:tc>
          <w:tcPr>
            <w:tcW w:type="dxa" w:w="1296"/>
            <w:shd w:fill="F0F4F8" w:val="clear"/>
          </w:tcPr>
          <w:p>
            <w:pPr>
              <w:jc w:val="left"/>
            </w:pPr>
            <w:r/>
            <w:r>
              <w:rPr>
                <w:rFonts w:ascii="Calibri" w:hAnsi="Calibri"/>
                <w:sz w:val="18"/>
              </w:rPr>
              <w:t>0.18%</w:t>
            </w:r>
          </w:p>
        </w:tc>
        <w:tc>
          <w:tcPr>
            <w:tcW w:type="dxa" w:w="1440"/>
            <w:shd w:fill="F0F4F8" w:val="clear"/>
          </w:tcPr>
          <w:p>
            <w:pPr>
              <w:jc w:val="left"/>
            </w:pPr>
            <w:r/>
            <w:r>
              <w:rPr>
                <w:rFonts w:ascii="Calibri" w:hAnsi="Calibri"/>
                <w:sz w:val="18"/>
              </w:rPr>
              <w:t>LEGITIMATE</w:t>
            </w:r>
          </w:p>
        </w:tc>
      </w:tr>
      <w:tr>
        <w:tc>
          <w:tcPr>
            <w:tcW w:type="dxa" w:w="2592"/>
          </w:tcPr>
          <w:p>
            <w:pPr>
              <w:jc w:val="center"/>
            </w:pPr>
            <w:r/>
            <w:r>
              <w:rPr>
                <w:rFonts w:ascii="Calibri" w:hAnsi="Calibri"/>
                <w:sz w:val="18"/>
              </w:rPr>
              <w:t>EXP-01 Gold/Silver</w:t>
            </w:r>
          </w:p>
        </w:tc>
        <w:tc>
          <w:tcPr>
            <w:tcW w:type="dxa" w:w="720"/>
          </w:tcPr>
          <w:p>
            <w:pPr>
              <w:jc w:val="left"/>
            </w:pPr>
            <w:r/>
            <w:r>
              <w:rPr>
                <w:rFonts w:ascii="Calibri" w:hAnsi="Calibri"/>
                <w:sz w:val="18"/>
              </w:rPr>
              <w:t>624</w:t>
            </w:r>
          </w:p>
        </w:tc>
        <w:tc>
          <w:tcPr>
            <w:tcW w:type="dxa" w:w="576"/>
          </w:tcPr>
          <w:p>
            <w:pPr>
              <w:jc w:val="left"/>
            </w:pPr>
            <w:r/>
            <w:r>
              <w:rPr>
                <w:rFonts w:ascii="Calibri" w:hAnsi="Calibri"/>
                <w:sz w:val="18"/>
              </w:rPr>
              <w:t>2</w:t>
            </w:r>
          </w:p>
        </w:tc>
        <w:tc>
          <w:tcPr>
            <w:tcW w:type="dxa" w:w="1296"/>
          </w:tcPr>
          <w:p>
            <w:pPr>
              <w:jc w:val="left"/>
            </w:pPr>
            <w:r/>
            <w:r>
              <w:rPr>
                <w:rFonts w:ascii="Calibri" w:hAnsi="Calibri"/>
                <w:sz w:val="18"/>
              </w:rPr>
              <w:t>0.60%</w:t>
            </w:r>
          </w:p>
        </w:tc>
        <w:tc>
          <w:tcPr>
            <w:tcW w:type="dxa" w:w="1440"/>
          </w:tcPr>
          <w:p>
            <w:pPr>
              <w:jc w:val="left"/>
            </w:pPr>
            <w:r/>
            <w:r>
              <w:rPr>
                <w:rFonts w:ascii="Calibri" w:hAnsi="Calibri"/>
                <w:sz w:val="18"/>
              </w:rPr>
              <w:t>LEGITIMATE</w:t>
            </w:r>
          </w:p>
        </w:tc>
      </w:tr>
      <w:tr>
        <w:tc>
          <w:tcPr>
            <w:tcW w:type="dxa" w:w="2592"/>
            <w:shd w:fill="F0F4F8" w:val="clear"/>
          </w:tcPr>
          <w:p>
            <w:pPr>
              <w:jc w:val="center"/>
            </w:pPr>
            <w:r/>
            <w:r>
              <w:rPr>
                <w:rFonts w:ascii="Calibri" w:hAnsi="Calibri"/>
                <w:sz w:val="18"/>
              </w:rPr>
              <w:t>EXP-03 U-238 decay</w:t>
            </w:r>
          </w:p>
        </w:tc>
        <w:tc>
          <w:tcPr>
            <w:tcW w:type="dxa" w:w="720"/>
            <w:shd w:fill="F0F4F8" w:val="clear"/>
          </w:tcPr>
          <w:p>
            <w:pPr>
              <w:jc w:val="left"/>
            </w:pPr>
            <w:r/>
            <w:r>
              <w:rPr>
                <w:rFonts w:ascii="Calibri" w:hAnsi="Calibri"/>
                <w:sz w:val="18"/>
              </w:rPr>
              <w:t>38</w:t>
            </w:r>
          </w:p>
        </w:tc>
        <w:tc>
          <w:tcPr>
            <w:tcW w:type="dxa" w:w="576"/>
            <w:shd w:fill="F0F4F8" w:val="clear"/>
          </w:tcPr>
          <w:p>
            <w:pPr>
              <w:jc w:val="left"/>
            </w:pPr>
            <w:r/>
            <w:r>
              <w:rPr>
                <w:rFonts w:ascii="Calibri" w:hAnsi="Calibri"/>
                <w:sz w:val="18"/>
              </w:rPr>
              <w:t>2</w:t>
            </w:r>
          </w:p>
        </w:tc>
        <w:tc>
          <w:tcPr>
            <w:tcW w:type="dxa" w:w="1296"/>
            <w:shd w:fill="F0F4F8" w:val="clear"/>
          </w:tcPr>
          <w:p>
            <w:pPr>
              <w:jc w:val="left"/>
            </w:pPr>
            <w:r/>
            <w:r>
              <w:rPr>
                <w:rFonts w:ascii="Calibri" w:hAnsi="Calibri"/>
                <w:sz w:val="18"/>
              </w:rPr>
              <w:t>0.12%</w:t>
            </w:r>
          </w:p>
        </w:tc>
        <w:tc>
          <w:tcPr>
            <w:tcW w:type="dxa" w:w="1440"/>
            <w:shd w:fill="F0F4F8" w:val="clear"/>
          </w:tcPr>
          <w:p>
            <w:pPr>
              <w:jc w:val="left"/>
            </w:pPr>
            <w:r/>
            <w:r>
              <w:rPr>
                <w:rFonts w:ascii="Calibri" w:hAnsi="Calibri"/>
                <w:sz w:val="18"/>
              </w:rPr>
              <w:t>LEGITIMATE</w:t>
            </w:r>
          </w:p>
        </w:tc>
      </w:tr>
      <w:tr>
        <w:tc>
          <w:tcPr>
            <w:tcW w:type="dxa" w:w="2592"/>
          </w:tcPr>
          <w:p>
            <w:pPr>
              <w:jc w:val="center"/>
            </w:pPr>
            <w:r/>
            <w:r>
              <w:rPr>
                <w:rFonts w:ascii="Calibri" w:hAnsi="Calibri"/>
                <w:sz w:val="18"/>
              </w:rPr>
              <w:t>EXP-04 Filter order 1</w:t>
            </w:r>
          </w:p>
        </w:tc>
        <w:tc>
          <w:tcPr>
            <w:tcW w:type="dxa" w:w="720"/>
          </w:tcPr>
          <w:p>
            <w:pPr>
              <w:jc w:val="left"/>
            </w:pPr>
            <w:r/>
            <w:r>
              <w:rPr>
                <w:rFonts w:ascii="Calibri" w:hAnsi="Calibri"/>
                <w:sz w:val="18"/>
              </w:rPr>
              <w:t>500</w:t>
            </w:r>
          </w:p>
        </w:tc>
        <w:tc>
          <w:tcPr>
            <w:tcW w:type="dxa" w:w="576"/>
          </w:tcPr>
          <w:p>
            <w:pPr>
              <w:jc w:val="left"/>
            </w:pPr>
            <w:r/>
            <w:r>
              <w:rPr>
                <w:rFonts w:ascii="Calibri" w:hAnsi="Calibri"/>
                <w:sz w:val="18"/>
              </w:rPr>
              <w:t>2</w:t>
            </w:r>
          </w:p>
        </w:tc>
        <w:tc>
          <w:tcPr>
            <w:tcW w:type="dxa" w:w="1296"/>
          </w:tcPr>
          <w:p>
            <w:pPr>
              <w:jc w:val="left"/>
            </w:pPr>
            <w:r/>
            <w:r>
              <w:rPr>
                <w:rFonts w:ascii="Calibri" w:hAnsi="Calibri"/>
                <w:sz w:val="18"/>
              </w:rPr>
              <w:t>0.51%</w:t>
            </w:r>
          </w:p>
        </w:tc>
        <w:tc>
          <w:tcPr>
            <w:tcW w:type="dxa" w:w="1440"/>
          </w:tcPr>
          <w:p>
            <w:pPr>
              <w:jc w:val="left"/>
            </w:pPr>
            <w:r/>
            <w:r>
              <w:rPr>
                <w:rFonts w:ascii="Calibri" w:hAnsi="Calibri"/>
                <w:sz w:val="18"/>
              </w:rPr>
              <w:t>LEGITIMATE</w:t>
            </w:r>
          </w:p>
        </w:tc>
      </w:tr>
      <w:tr>
        <w:tc>
          <w:tcPr>
            <w:tcW w:type="dxa" w:w="2592"/>
            <w:shd w:fill="F0F4F8" w:val="clear"/>
          </w:tcPr>
          <w:p>
            <w:pPr>
              <w:jc w:val="center"/>
            </w:pPr>
            <w:r/>
            <w:r>
              <w:rPr>
                <w:rFonts w:ascii="Calibri" w:hAnsi="Calibri"/>
                <w:sz w:val="18"/>
              </w:rPr>
              <w:t>EXP-04 Filter order 3</w:t>
            </w:r>
          </w:p>
        </w:tc>
        <w:tc>
          <w:tcPr>
            <w:tcW w:type="dxa" w:w="720"/>
            <w:shd w:fill="F0F4F8" w:val="clear"/>
          </w:tcPr>
          <w:p>
            <w:pPr>
              <w:jc w:val="left"/>
            </w:pPr>
            <w:r/>
            <w:r>
              <w:rPr>
                <w:rFonts w:ascii="Calibri" w:hAnsi="Calibri"/>
                <w:sz w:val="18"/>
              </w:rPr>
              <w:t>500</w:t>
            </w:r>
          </w:p>
        </w:tc>
        <w:tc>
          <w:tcPr>
            <w:tcW w:type="dxa" w:w="576"/>
            <w:shd w:fill="F0F4F8" w:val="clear"/>
          </w:tcPr>
          <w:p>
            <w:pPr>
              <w:jc w:val="left"/>
            </w:pPr>
            <w:r/>
            <w:r>
              <w:rPr>
                <w:rFonts w:ascii="Calibri" w:hAnsi="Calibri"/>
                <w:sz w:val="18"/>
              </w:rPr>
              <w:t>2</w:t>
            </w:r>
          </w:p>
        </w:tc>
        <w:tc>
          <w:tcPr>
            <w:tcW w:type="dxa" w:w="1296"/>
            <w:shd w:fill="F0F4F8" w:val="clear"/>
          </w:tcPr>
          <w:p>
            <w:pPr>
              <w:jc w:val="left"/>
            </w:pPr>
            <w:r/>
            <w:r>
              <w:rPr>
                <w:rFonts w:ascii="Calibri" w:hAnsi="Calibri"/>
                <w:sz w:val="18"/>
              </w:rPr>
              <w:t>1.13%</w:t>
            </w:r>
          </w:p>
        </w:tc>
        <w:tc>
          <w:tcPr>
            <w:tcW w:type="dxa" w:w="1440"/>
            <w:shd w:fill="F0F4F8" w:val="clear"/>
          </w:tcPr>
          <w:p>
            <w:pPr>
              <w:jc w:val="left"/>
            </w:pPr>
            <w:r/>
            <w:r>
              <w:rPr>
                <w:rFonts w:ascii="Calibri" w:hAnsi="Calibri"/>
                <w:sz w:val="18"/>
              </w:rPr>
              <w:t>FABRICATED</w:t>
            </w:r>
          </w:p>
        </w:tc>
      </w:tr>
      <w:tr>
        <w:tc>
          <w:tcPr>
            <w:tcW w:type="dxa" w:w="2592"/>
          </w:tcPr>
          <w:p>
            <w:pPr>
              <w:jc w:val="center"/>
            </w:pPr>
            <w:r/>
            <w:r>
              <w:rPr>
                <w:rFonts w:ascii="Calibri" w:hAnsi="Calibri"/>
                <w:sz w:val="18"/>
              </w:rPr>
              <w:t>EXP-05 Full diff.</w:t>
            </w:r>
          </w:p>
        </w:tc>
        <w:tc>
          <w:tcPr>
            <w:tcW w:type="dxa" w:w="720"/>
          </w:tcPr>
          <w:p>
            <w:pPr>
              <w:jc w:val="left"/>
            </w:pPr>
            <w:r/>
            <w:r>
              <w:rPr>
                <w:rFonts w:ascii="Calibri" w:hAnsi="Calibri"/>
                <w:sz w:val="18"/>
              </w:rPr>
              <w:t>28</w:t>
            </w:r>
          </w:p>
        </w:tc>
        <w:tc>
          <w:tcPr>
            <w:tcW w:type="dxa" w:w="576"/>
          </w:tcPr>
          <w:p>
            <w:pPr>
              <w:jc w:val="left"/>
            </w:pPr>
            <w:r/>
            <w:r>
              <w:rPr>
                <w:rFonts w:ascii="Calibri" w:hAnsi="Calibri"/>
                <w:sz w:val="18"/>
              </w:rPr>
              <w:t>8</w:t>
            </w:r>
          </w:p>
        </w:tc>
        <w:tc>
          <w:tcPr>
            <w:tcW w:type="dxa" w:w="1296"/>
          </w:tcPr>
          <w:p>
            <w:pPr>
              <w:jc w:val="left"/>
            </w:pPr>
            <w:r/>
            <w:r>
              <w:rPr>
                <w:rFonts w:ascii="Calibri" w:hAnsi="Calibri"/>
                <w:sz w:val="18"/>
              </w:rPr>
              <w:t>1.92%</w:t>
            </w:r>
          </w:p>
        </w:tc>
        <w:tc>
          <w:tcPr>
            <w:tcW w:type="dxa" w:w="1440"/>
          </w:tcPr>
          <w:p>
            <w:pPr>
              <w:jc w:val="left"/>
            </w:pPr>
            <w:r/>
            <w:r>
              <w:rPr>
                <w:rFonts w:ascii="Calibri" w:hAnsi="Calibri"/>
                <w:sz w:val="18"/>
              </w:rPr>
              <w:t>FABRICATED</w:t>
            </w:r>
          </w:p>
        </w:tc>
      </w:tr>
      <w:tr>
        <w:tc>
          <w:tcPr>
            <w:tcW w:type="dxa" w:w="2592"/>
            <w:shd w:fill="F0F4F8" w:val="clear"/>
          </w:tcPr>
          <w:p>
            <w:pPr>
              <w:jc w:val="center"/>
            </w:pPr>
            <w:r/>
            <w:r>
              <w:rPr>
                <w:rFonts w:ascii="Calibri" w:hAnsi="Calibri"/>
                <w:sz w:val="18"/>
              </w:rPr>
              <w:t>EXP-05 Mafic sub.</w:t>
            </w:r>
          </w:p>
        </w:tc>
        <w:tc>
          <w:tcPr>
            <w:tcW w:type="dxa" w:w="720"/>
            <w:shd w:fill="F0F4F8" w:val="clear"/>
          </w:tcPr>
          <w:p>
            <w:pPr>
              <w:jc w:val="left"/>
            </w:pPr>
            <w:r/>
            <w:r>
              <w:rPr>
                <w:rFonts w:ascii="Calibri" w:hAnsi="Calibri"/>
                <w:sz w:val="18"/>
              </w:rPr>
              <w:t>6</w:t>
            </w:r>
          </w:p>
        </w:tc>
        <w:tc>
          <w:tcPr>
            <w:tcW w:type="dxa" w:w="576"/>
            <w:shd w:fill="F0F4F8" w:val="clear"/>
          </w:tcPr>
          <w:p>
            <w:pPr>
              <w:jc w:val="left"/>
            </w:pPr>
            <w:r/>
            <w:r>
              <w:rPr>
                <w:rFonts w:ascii="Calibri" w:hAnsi="Calibri"/>
                <w:sz w:val="18"/>
              </w:rPr>
              <w:t>8</w:t>
            </w:r>
          </w:p>
        </w:tc>
        <w:tc>
          <w:tcPr>
            <w:tcW w:type="dxa" w:w="1296"/>
            <w:shd w:fill="F0F4F8" w:val="clear"/>
          </w:tcPr>
          <w:p>
            <w:pPr>
              <w:jc w:val="left"/>
            </w:pPr>
            <w:r/>
            <w:r>
              <w:rPr>
                <w:rFonts w:ascii="Calibri" w:hAnsi="Calibri"/>
                <w:sz w:val="18"/>
              </w:rPr>
              <w:t>0.18%</w:t>
            </w:r>
          </w:p>
        </w:tc>
        <w:tc>
          <w:tcPr>
            <w:tcW w:type="dxa" w:w="1440"/>
            <w:shd w:fill="F0F4F8" w:val="clear"/>
          </w:tcPr>
          <w:p>
            <w:pPr>
              <w:jc w:val="left"/>
            </w:pPr>
            <w:r/>
            <w:r>
              <w:rPr>
                <w:rFonts w:ascii="Calibri" w:hAnsi="Calibri"/>
                <w:sz w:val="18"/>
              </w:rPr>
              <w:t>LEGITIMATE</w:t>
            </w:r>
          </w:p>
        </w:tc>
      </w:tr>
      <w:tr>
        <w:tc>
          <w:tcPr>
            <w:tcW w:type="dxa" w:w="2592"/>
          </w:tcPr>
          <w:p>
            <w:pPr>
              <w:jc w:val="center"/>
            </w:pPr>
            <w:r/>
            <w:r>
              <w:rPr>
                <w:rFonts w:ascii="Calibri" w:hAnsi="Calibri"/>
                <w:sz w:val="18"/>
              </w:rPr>
              <w:t>EXP-05 Felsic sub.</w:t>
            </w:r>
          </w:p>
        </w:tc>
        <w:tc>
          <w:tcPr>
            <w:tcW w:type="dxa" w:w="720"/>
          </w:tcPr>
          <w:p>
            <w:pPr>
              <w:jc w:val="left"/>
            </w:pPr>
            <w:r/>
            <w:r>
              <w:rPr>
                <w:rFonts w:ascii="Calibri" w:hAnsi="Calibri"/>
                <w:sz w:val="18"/>
              </w:rPr>
              <w:t>10</w:t>
            </w:r>
          </w:p>
        </w:tc>
        <w:tc>
          <w:tcPr>
            <w:tcW w:type="dxa" w:w="576"/>
          </w:tcPr>
          <w:p>
            <w:pPr>
              <w:jc w:val="left"/>
            </w:pPr>
            <w:r/>
            <w:r>
              <w:rPr>
                <w:rFonts w:ascii="Calibri" w:hAnsi="Calibri"/>
                <w:sz w:val="18"/>
              </w:rPr>
              <w:t>8</w:t>
            </w:r>
          </w:p>
        </w:tc>
        <w:tc>
          <w:tcPr>
            <w:tcW w:type="dxa" w:w="1296"/>
          </w:tcPr>
          <w:p>
            <w:pPr>
              <w:jc w:val="left"/>
            </w:pPr>
            <w:r/>
            <w:r>
              <w:rPr>
                <w:rFonts w:ascii="Calibri" w:hAnsi="Calibri"/>
                <w:sz w:val="18"/>
              </w:rPr>
              <w:t>0.90%</w:t>
            </w:r>
          </w:p>
        </w:tc>
        <w:tc>
          <w:tcPr>
            <w:tcW w:type="dxa" w:w="1440"/>
          </w:tcPr>
          <w:p>
            <w:pPr>
              <w:jc w:val="left"/>
            </w:pPr>
            <w:r/>
            <w:r>
              <w:rPr>
                <w:rFonts w:ascii="Calibri" w:hAnsi="Calibri"/>
                <w:sz w:val="18"/>
              </w:rPr>
              <w:t>LEGITIMATE</w:t>
            </w:r>
          </w:p>
        </w:tc>
      </w:tr>
    </w:tbl>
    <w:p/>
    <w:p>
      <w:pPr>
        <w:pStyle w:val="Heading3"/>
      </w:pPr>
      <w:r>
        <w:t>PLL Benchmarks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D1B2A" w:val="clear"/>
          </w:tcPr>
          <w:p>
            <w:pPr>
              <w:jc w:val="center"/>
            </w:pPr>
            <w:r/>
            <w:r>
              <w:rPr>
                <w:rFonts w:ascii="Calibri" w:hAnsi="Calibri"/>
                <w:b/>
                <w:color w:val="FFFFFF"/>
                <w:sz w:val="18"/>
              </w:rPr>
              <w:t>Domain</w:t>
            </w:r>
          </w:p>
        </w:tc>
        <w:tc>
          <w:tcPr>
            <w:tcW w:type="dxa" w:w="720"/>
            <w:shd w:fill="0D1B2A" w:val="clear"/>
          </w:tcPr>
          <w:p>
            <w:pPr>
              <w:jc w:val="center"/>
            </w:pPr>
            <w:r/>
            <w:r>
              <w:rPr>
                <w:rFonts w:ascii="Calibri" w:hAnsi="Calibri"/>
                <w:b/>
                <w:color w:val="FFFFFF"/>
                <w:sz w:val="18"/>
              </w:rPr>
              <w:t>R²</w:t>
            </w:r>
          </w:p>
        </w:tc>
        <w:tc>
          <w:tcPr>
            <w:tcW w:type="dxa" w:w="1008"/>
            <w:shd w:fill="0D1B2A" w:val="clear"/>
          </w:tcPr>
          <w:p>
            <w:pPr>
              <w:jc w:val="center"/>
            </w:pPr>
            <w:r/>
            <w:r>
              <w:rPr>
                <w:rFonts w:ascii="Calibri" w:hAnsi="Calibri"/>
                <w:b/>
                <w:color w:val="FFFFFF"/>
                <w:sz w:val="18"/>
              </w:rPr>
              <w:t>Shape</w:t>
            </w:r>
          </w:p>
        </w:tc>
        <w:tc>
          <w:tcPr>
            <w:tcW w:type="dxa" w:w="1152"/>
            <w:shd w:fill="0D1B2A" w:val="clear"/>
          </w:tcPr>
          <w:p>
            <w:pPr>
              <w:jc w:val="center"/>
            </w:pPr>
            <w:r/>
            <w:r>
              <w:rPr>
                <w:rFonts w:ascii="Calibri" w:hAnsi="Calibri"/>
                <w:b/>
                <w:color w:val="FFFFFF"/>
                <w:sz w:val="18"/>
              </w:rPr>
              <w:t>Vertex</w:t>
            </w:r>
          </w:p>
        </w:tc>
        <w:tc>
          <w:tcPr>
            <w:tcW w:type="dxa" w:w="3168"/>
            <w:shd w:fill="0D1B2A" w:val="clear"/>
          </w:tcPr>
          <w:p>
            <w:pPr>
              <w:jc w:val="center"/>
            </w:pPr>
            <w:r/>
            <w:r>
              <w:rPr>
                <w:rFonts w:ascii="Calibri" w:hAnsi="Calibri"/>
                <w:b/>
                <w:color w:val="FFFFFF"/>
                <w:sz w:val="18"/>
              </w:rPr>
              <w:t>Physical meaning</w:t>
            </w:r>
          </w:p>
        </w:tc>
      </w:tr>
      <w:tr>
        <w:tc>
          <w:tcPr>
            <w:tcW w:type="dxa" w:w="1872"/>
            <w:shd w:fill="F0F4F8" w:val="clear"/>
          </w:tcPr>
          <w:p>
            <w:pPr>
              <w:jc w:val="center"/>
            </w:pPr>
            <w:r/>
            <w:r>
              <w:rPr>
                <w:rFonts w:ascii="Calibri" w:hAnsi="Calibri"/>
                <w:sz w:val="18"/>
              </w:rPr>
              <w:t>Gold/Silver</w:t>
            </w:r>
          </w:p>
        </w:tc>
        <w:tc>
          <w:tcPr>
            <w:tcW w:type="dxa" w:w="720"/>
            <w:shd w:fill="F0F4F8" w:val="clear"/>
          </w:tcPr>
          <w:p>
            <w:pPr>
              <w:jc w:val="left"/>
            </w:pPr>
            <w:r/>
            <w:r>
              <w:rPr>
                <w:rFonts w:ascii="Calibri" w:hAnsi="Calibri"/>
                <w:sz w:val="18"/>
              </w:rPr>
              <w:t>0.90</w:t>
            </w:r>
          </w:p>
        </w:tc>
        <w:tc>
          <w:tcPr>
            <w:tcW w:type="dxa" w:w="1008"/>
            <w:shd w:fill="F0F4F8" w:val="clear"/>
          </w:tcPr>
          <w:p>
            <w:pPr>
              <w:jc w:val="left"/>
            </w:pPr>
            <w:r/>
            <w:r>
              <w:rPr>
                <w:rFonts w:ascii="Calibri" w:hAnsi="Calibri"/>
                <w:sz w:val="18"/>
              </w:rPr>
              <w:t>Bowl</w:t>
            </w:r>
          </w:p>
        </w:tc>
        <w:tc>
          <w:tcPr>
            <w:tcW w:type="dxa" w:w="1152"/>
            <w:shd w:fill="F0F4F8" w:val="clear"/>
          </w:tcPr>
          <w:p>
            <w:pPr>
              <w:jc w:val="left"/>
            </w:pPr>
            <w:r/>
            <w:r>
              <w:rPr>
                <w:rFonts w:ascii="Calibri" w:hAnsi="Calibri"/>
                <w:sz w:val="18"/>
              </w:rPr>
              <w:t>1751</w:t>
            </w:r>
          </w:p>
        </w:tc>
        <w:tc>
          <w:tcPr>
            <w:tcW w:type="dxa" w:w="3168"/>
            <w:shd w:fill="F0F4F8" w:val="clear"/>
          </w:tcPr>
          <w:p>
            <w:pPr>
              <w:jc w:val="left"/>
            </w:pPr>
            <w:r/>
            <w:r>
              <w:rPr>
                <w:rFonts w:ascii="Calibri" w:hAnsi="Calibri"/>
                <w:sz w:val="18"/>
              </w:rPr>
              <w:t>Bimetallic equilibrium</w:t>
            </w:r>
          </w:p>
        </w:tc>
      </w:tr>
      <w:tr>
        <w:tc>
          <w:tcPr>
            <w:tcW w:type="dxa" w:w="1872"/>
          </w:tcPr>
          <w:p>
            <w:pPr>
              <w:jc w:val="center"/>
            </w:pPr>
            <w:r/>
            <w:r>
              <w:rPr>
                <w:rFonts w:ascii="Calibri" w:hAnsi="Calibri"/>
                <w:sz w:val="18"/>
              </w:rPr>
              <w:t>California</w:t>
            </w:r>
          </w:p>
        </w:tc>
        <w:tc>
          <w:tcPr>
            <w:tcW w:type="dxa" w:w="720"/>
          </w:tcPr>
          <w:p>
            <w:pPr>
              <w:jc w:val="left"/>
            </w:pPr>
            <w:r/>
            <w:r>
              <w:rPr>
                <w:rFonts w:ascii="Calibri" w:hAnsi="Calibri"/>
                <w:sz w:val="18"/>
              </w:rPr>
              <w:t>0.90</w:t>
            </w:r>
          </w:p>
        </w:tc>
        <w:tc>
          <w:tcPr>
            <w:tcW w:type="dxa" w:w="1008"/>
          </w:tcPr>
          <w:p>
            <w:pPr>
              <w:jc w:val="left"/>
            </w:pPr>
            <w:r/>
            <w:r>
              <w:rPr>
                <w:rFonts w:ascii="Calibri" w:hAnsi="Calibri"/>
                <w:sz w:val="18"/>
              </w:rPr>
              <w:t>Bowl</w:t>
            </w:r>
          </w:p>
        </w:tc>
        <w:tc>
          <w:tcPr>
            <w:tcW w:type="dxa" w:w="1152"/>
          </w:tcPr>
          <w:p>
            <w:pPr>
              <w:jc w:val="left"/>
            </w:pPr>
            <w:r/>
            <w:r>
              <w:rPr>
                <w:rFonts w:ascii="Calibri" w:hAnsi="Calibri"/>
                <w:sz w:val="18"/>
              </w:rPr>
              <w:t>2014</w:t>
            </w:r>
          </w:p>
        </w:tc>
        <w:tc>
          <w:tcPr>
            <w:tcW w:type="dxa" w:w="3168"/>
          </w:tcPr>
          <w:p>
            <w:pPr>
              <w:jc w:val="left"/>
            </w:pPr>
            <w:r/>
            <w:r>
              <w:rPr>
                <w:rFonts w:ascii="Calibri" w:hAnsi="Calibri"/>
                <w:sz w:val="18"/>
              </w:rPr>
              <w:t>Solar transition inflection</w:t>
            </w:r>
          </w:p>
        </w:tc>
      </w:tr>
      <w:tr>
        <w:tc>
          <w:tcPr>
            <w:tcW w:type="dxa" w:w="1872"/>
            <w:shd w:fill="F0F4F8" w:val="clear"/>
          </w:tcPr>
          <w:p>
            <w:pPr>
              <w:jc w:val="center"/>
            </w:pPr>
            <w:r/>
            <w:r>
              <w:rPr>
                <w:rFonts w:ascii="Calibri" w:hAnsi="Calibri"/>
                <w:sz w:val="18"/>
              </w:rPr>
              <w:t>U-238 decay</w:t>
            </w:r>
          </w:p>
        </w:tc>
        <w:tc>
          <w:tcPr>
            <w:tcW w:type="dxa" w:w="720"/>
            <w:shd w:fill="F0F4F8" w:val="clear"/>
          </w:tcPr>
          <w:p>
            <w:pPr>
              <w:jc w:val="left"/>
            </w:pPr>
            <w:r/>
            <w:r>
              <w:rPr>
                <w:rFonts w:ascii="Calibri" w:hAnsi="Calibri"/>
                <w:sz w:val="18"/>
              </w:rPr>
              <w:t>0.62</w:t>
            </w:r>
          </w:p>
        </w:tc>
        <w:tc>
          <w:tcPr>
            <w:tcW w:type="dxa" w:w="1008"/>
            <w:shd w:fill="F0F4F8" w:val="clear"/>
          </w:tcPr>
          <w:p>
            <w:pPr>
              <w:jc w:val="left"/>
            </w:pPr>
            <w:r/>
            <w:r>
              <w:rPr>
                <w:rFonts w:ascii="Calibri" w:hAnsi="Calibri"/>
                <w:sz w:val="18"/>
              </w:rPr>
              <w:t>Hill</w:t>
            </w:r>
          </w:p>
        </w:tc>
        <w:tc>
          <w:tcPr>
            <w:tcW w:type="dxa" w:w="1152"/>
            <w:shd w:fill="F0F4F8" w:val="clear"/>
          </w:tcPr>
          <w:p>
            <w:pPr>
              <w:jc w:val="left"/>
            </w:pPr>
            <w:r/>
            <w:r>
              <w:rPr>
                <w:rFonts w:ascii="Calibri" w:hAnsi="Calibri"/>
                <w:sz w:val="18"/>
              </w:rPr>
              <w:t>Chain start</w:t>
            </w:r>
          </w:p>
        </w:tc>
        <w:tc>
          <w:tcPr>
            <w:tcW w:type="dxa" w:w="3168"/>
            <w:shd w:fill="F0F4F8" w:val="clear"/>
          </w:tcPr>
          <w:p>
            <w:pPr>
              <w:jc w:val="left"/>
            </w:pPr>
            <w:r/>
            <w:r>
              <w:rPr>
                <w:rFonts w:ascii="Calibri" w:hAnsi="Calibri"/>
                <w:sz w:val="18"/>
              </w:rPr>
              <w:t>Decay relaxation</w:t>
            </w:r>
          </w:p>
        </w:tc>
      </w:tr>
      <w:tr>
        <w:tc>
          <w:tcPr>
            <w:tcW w:type="dxa" w:w="1872"/>
          </w:tcPr>
          <w:p>
            <w:pPr>
              <w:jc w:val="center"/>
            </w:pPr>
            <w:r/>
            <w:r>
              <w:rPr>
                <w:rFonts w:ascii="Calibri" w:hAnsi="Calibri"/>
                <w:sz w:val="18"/>
              </w:rPr>
              <w:t>SEMF valley</w:t>
            </w:r>
          </w:p>
        </w:tc>
        <w:tc>
          <w:tcPr>
            <w:tcW w:type="dxa" w:w="720"/>
          </w:tcPr>
          <w:p>
            <w:pPr>
              <w:jc w:val="left"/>
            </w:pPr>
            <w:r/>
            <w:r>
              <w:rPr>
                <w:rFonts w:ascii="Calibri" w:hAnsi="Calibri"/>
                <w:sz w:val="18"/>
              </w:rPr>
              <w:t>0.20</w:t>
            </w:r>
          </w:p>
        </w:tc>
        <w:tc>
          <w:tcPr>
            <w:tcW w:type="dxa" w:w="1008"/>
          </w:tcPr>
          <w:p>
            <w:pPr>
              <w:jc w:val="left"/>
            </w:pPr>
            <w:r/>
            <w:r>
              <w:rPr>
                <w:rFonts w:ascii="Calibri" w:hAnsi="Calibri"/>
                <w:sz w:val="18"/>
              </w:rPr>
              <w:t>L-shaped</w:t>
            </w:r>
          </w:p>
        </w:tc>
        <w:tc>
          <w:tcPr>
            <w:tcW w:type="dxa" w:w="1152"/>
          </w:tcPr>
          <w:p>
            <w:pPr>
              <w:jc w:val="left"/>
            </w:pPr>
            <w:r/>
            <w:r>
              <w:rPr>
                <w:rFonts w:ascii="Calibri" w:hAnsi="Calibri"/>
                <w:sz w:val="18"/>
              </w:rPr>
              <w:t>—</w:t>
            </w:r>
          </w:p>
        </w:tc>
        <w:tc>
          <w:tcPr>
            <w:tcW w:type="dxa" w:w="3168"/>
          </w:tcPr>
          <w:p>
            <w:pPr>
              <w:jc w:val="left"/>
            </w:pPr>
            <w:r/>
            <w:r>
              <w:rPr>
                <w:rFonts w:ascii="Calibri" w:hAnsi="Calibri"/>
                <w:sz w:val="18"/>
              </w:rPr>
              <w:t>Single-force domain</w:t>
            </w:r>
          </w:p>
        </w:tc>
      </w:tr>
      <w:tr>
        <w:tc>
          <w:tcPr>
            <w:tcW w:type="dxa" w:w="1872"/>
            <w:shd w:fill="F0F4F8" w:val="clear"/>
          </w:tcPr>
          <w:p>
            <w:pPr>
              <w:jc w:val="center"/>
            </w:pPr>
            <w:r/>
            <w:r>
              <w:rPr>
                <w:rFonts w:ascii="Calibri" w:hAnsi="Calibri"/>
                <w:sz w:val="18"/>
              </w:rPr>
              <w:t>Filter ord 1</w:t>
            </w:r>
          </w:p>
        </w:tc>
        <w:tc>
          <w:tcPr>
            <w:tcW w:type="dxa" w:w="720"/>
            <w:shd w:fill="F0F4F8" w:val="clear"/>
          </w:tcPr>
          <w:p>
            <w:pPr>
              <w:jc w:val="left"/>
            </w:pPr>
            <w:r/>
            <w:r>
              <w:rPr>
                <w:rFonts w:ascii="Calibri" w:hAnsi="Calibri"/>
                <w:sz w:val="18"/>
              </w:rPr>
              <w:t>0.14</w:t>
            </w:r>
          </w:p>
        </w:tc>
        <w:tc>
          <w:tcPr>
            <w:tcW w:type="dxa" w:w="1008"/>
            <w:shd w:fill="F0F4F8" w:val="clear"/>
          </w:tcPr>
          <w:p>
            <w:pPr>
              <w:jc w:val="left"/>
            </w:pPr>
            <w:r/>
            <w:r>
              <w:rPr>
                <w:rFonts w:ascii="Calibri" w:hAnsi="Calibri"/>
                <w:sz w:val="18"/>
              </w:rPr>
              <w:t>Hill</w:t>
            </w:r>
          </w:p>
        </w:tc>
        <w:tc>
          <w:tcPr>
            <w:tcW w:type="dxa" w:w="1152"/>
            <w:shd w:fill="F0F4F8" w:val="clear"/>
          </w:tcPr>
          <w:p>
            <w:pPr>
              <w:jc w:val="left"/>
            </w:pPr>
            <w:r/>
            <w:r>
              <w:rPr>
                <w:rFonts w:ascii="Calibri" w:hAnsi="Calibri"/>
                <w:sz w:val="18"/>
              </w:rPr>
              <w:t>856 Hz</w:t>
            </w:r>
          </w:p>
        </w:tc>
        <w:tc>
          <w:tcPr>
            <w:tcW w:type="dxa" w:w="3168"/>
            <w:shd w:fill="F0F4F8" w:val="clear"/>
          </w:tcPr>
          <w:p>
            <w:pPr>
              <w:jc w:val="left"/>
            </w:pPr>
            <w:r/>
            <w:r>
              <w:rPr>
                <w:rFonts w:ascii="Calibri" w:hAnsi="Calibri"/>
                <w:sz w:val="18"/>
              </w:rPr>
              <w:t>Passband peak</w:t>
            </w:r>
          </w:p>
        </w:tc>
      </w:tr>
      <w:tr>
        <w:tc>
          <w:tcPr>
            <w:tcW w:type="dxa" w:w="1872"/>
          </w:tcPr>
          <w:p>
            <w:pPr>
              <w:jc w:val="center"/>
            </w:pPr>
            <w:r/>
            <w:r>
              <w:rPr>
                <w:rFonts w:ascii="Calibri" w:hAnsi="Calibri"/>
                <w:sz w:val="18"/>
              </w:rPr>
              <w:t>Geochemistry</w:t>
            </w:r>
          </w:p>
        </w:tc>
        <w:tc>
          <w:tcPr>
            <w:tcW w:type="dxa" w:w="720"/>
          </w:tcPr>
          <w:p>
            <w:pPr>
              <w:jc w:val="left"/>
            </w:pPr>
            <w:r/>
            <w:r>
              <w:rPr>
                <w:rFonts w:ascii="Calibri" w:hAnsi="Calibri"/>
                <w:sz w:val="18"/>
              </w:rPr>
              <w:t>0.63</w:t>
            </w:r>
          </w:p>
        </w:tc>
        <w:tc>
          <w:tcPr>
            <w:tcW w:type="dxa" w:w="1008"/>
          </w:tcPr>
          <w:p>
            <w:pPr>
              <w:jc w:val="left"/>
            </w:pPr>
            <w:r/>
            <w:r>
              <w:rPr>
                <w:rFonts w:ascii="Calibri" w:hAnsi="Calibri"/>
                <w:sz w:val="18"/>
              </w:rPr>
              <w:t>Bowl</w:t>
            </w:r>
          </w:p>
        </w:tc>
        <w:tc>
          <w:tcPr>
            <w:tcW w:type="dxa" w:w="1152"/>
          </w:tcPr>
          <w:p>
            <w:pPr>
              <w:jc w:val="left"/>
            </w:pPr>
            <w:r/>
            <w:r>
              <w:rPr>
                <w:rFonts w:ascii="Calibri" w:hAnsi="Calibri"/>
                <w:sz w:val="18"/>
              </w:rPr>
              <w:t>59 wt%</w:t>
            </w:r>
          </w:p>
        </w:tc>
        <w:tc>
          <w:tcPr>
            <w:tcW w:type="dxa" w:w="3168"/>
          </w:tcPr>
          <w:p>
            <w:pPr>
              <w:jc w:val="left"/>
            </w:pPr>
            <w:r/>
            <w:r>
              <w:rPr>
                <w:rFonts w:ascii="Calibri" w:hAnsi="Calibri"/>
                <w:sz w:val="18"/>
              </w:rPr>
              <w:t>Andesite-dacite boundary</w:t>
            </w:r>
          </w:p>
        </w:tc>
      </w:tr>
      <w:tr>
        <w:tc>
          <w:tcPr>
            <w:tcW w:type="dxa" w:w="1872"/>
            <w:shd w:fill="F0F4F8" w:val="clear"/>
          </w:tcPr>
          <w:p>
            <w:pPr>
              <w:jc w:val="center"/>
            </w:pPr>
            <w:r/>
            <w:r>
              <w:rPr>
                <w:rFonts w:ascii="Calibri" w:hAnsi="Calibri"/>
                <w:sz w:val="18"/>
              </w:rPr>
              <w:t>Plutonic only</w:t>
            </w:r>
          </w:p>
        </w:tc>
        <w:tc>
          <w:tcPr>
            <w:tcW w:type="dxa" w:w="720"/>
            <w:shd w:fill="F0F4F8" w:val="clear"/>
          </w:tcPr>
          <w:p>
            <w:pPr>
              <w:jc w:val="left"/>
            </w:pPr>
            <w:r/>
            <w:r>
              <w:rPr>
                <w:rFonts w:ascii="Calibri" w:hAnsi="Calibri"/>
                <w:sz w:val="18"/>
              </w:rPr>
              <w:t>0.82</w:t>
            </w:r>
          </w:p>
        </w:tc>
        <w:tc>
          <w:tcPr>
            <w:tcW w:type="dxa" w:w="1008"/>
            <w:shd w:fill="F0F4F8" w:val="clear"/>
          </w:tcPr>
          <w:p>
            <w:pPr>
              <w:jc w:val="left"/>
            </w:pPr>
            <w:r/>
            <w:r>
              <w:rPr>
                <w:rFonts w:ascii="Calibri" w:hAnsi="Calibri"/>
                <w:sz w:val="18"/>
              </w:rPr>
              <w:t>Bowl</w:t>
            </w:r>
          </w:p>
        </w:tc>
        <w:tc>
          <w:tcPr>
            <w:tcW w:type="dxa" w:w="1152"/>
            <w:shd w:fill="F0F4F8" w:val="clear"/>
          </w:tcPr>
          <w:p>
            <w:pPr>
              <w:jc w:val="left"/>
            </w:pPr>
            <w:r/>
            <w:r>
              <w:rPr>
                <w:rFonts w:ascii="Calibri" w:hAnsi="Calibri"/>
                <w:sz w:val="18"/>
              </w:rPr>
              <w:t>60 wt%</w:t>
            </w:r>
          </w:p>
        </w:tc>
        <w:tc>
          <w:tcPr>
            <w:tcW w:type="dxa" w:w="3168"/>
            <w:shd w:fill="F0F4F8" w:val="clear"/>
          </w:tcPr>
          <w:p>
            <w:pPr>
              <w:jc w:val="left"/>
            </w:pPr>
            <w:r/>
            <w:r>
              <w:rPr>
                <w:rFonts w:ascii="Calibri" w:hAnsi="Calibri"/>
                <w:sz w:val="18"/>
              </w:rPr>
              <w:t>Equilibrium crystallisation</w:t>
            </w:r>
          </w:p>
        </w:tc>
      </w:tr>
    </w:tbl>
    <w:p/>
    <w:p>
      <w:pPr>
        <w:pStyle w:val="Heading3"/>
      </w:pPr>
      <w:r>
        <w:t>Operating Envelope Thresholds</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0D1B2A" w:val="clear"/>
          </w:tcPr>
          <w:p>
            <w:pPr>
              <w:jc w:val="center"/>
            </w:pPr>
            <w:r/>
            <w:r>
              <w:rPr>
                <w:rFonts w:ascii="Calibri" w:hAnsi="Calibri"/>
                <w:b/>
                <w:color w:val="FFFFFF"/>
                <w:sz w:val="18"/>
              </w:rPr>
              <w:t>Parameter</w:t>
            </w:r>
          </w:p>
        </w:tc>
        <w:tc>
          <w:tcPr>
            <w:tcW w:type="dxa" w:w="1728"/>
            <w:shd w:fill="0D1B2A" w:val="clear"/>
          </w:tcPr>
          <w:p>
            <w:pPr>
              <w:jc w:val="center"/>
            </w:pPr>
            <w:r/>
            <w:r>
              <w:rPr>
                <w:rFonts w:ascii="Calibri" w:hAnsi="Calibri"/>
                <w:b/>
                <w:color w:val="FFFFFF"/>
                <w:sz w:val="18"/>
              </w:rPr>
              <w:t>Threshold</w:t>
            </w:r>
          </w:p>
        </w:tc>
        <w:tc>
          <w:tcPr>
            <w:tcW w:type="dxa" w:w="4320"/>
            <w:shd w:fill="0D1B2A" w:val="clear"/>
          </w:tcPr>
          <w:p>
            <w:pPr>
              <w:jc w:val="center"/>
            </w:pPr>
            <w:r/>
            <w:r>
              <w:rPr>
                <w:rFonts w:ascii="Calibri" w:hAnsi="Calibri"/>
                <w:b/>
                <w:color w:val="FFFFFF"/>
                <w:sz w:val="18"/>
              </w:rPr>
              <w:t>Meaning</w:t>
            </w:r>
          </w:p>
        </w:tc>
      </w:tr>
      <w:tr>
        <w:tc>
          <w:tcPr>
            <w:tcW w:type="dxa" w:w="2592"/>
            <w:shd w:fill="F0F4F8" w:val="clear"/>
          </w:tcPr>
          <w:p>
            <w:pPr>
              <w:jc w:val="center"/>
            </w:pPr>
            <w:r/>
            <w:r>
              <w:rPr>
                <w:rFonts w:ascii="Calibri" w:hAnsi="Calibri"/>
                <w:sz w:val="18"/>
              </w:rPr>
              <w:t>EITT pass</w:t>
            </w:r>
          </w:p>
        </w:tc>
        <w:tc>
          <w:tcPr>
            <w:tcW w:type="dxa" w:w="1728"/>
            <w:shd w:fill="F0F4F8" w:val="clear"/>
          </w:tcPr>
          <w:p>
            <w:pPr>
              <w:jc w:val="left"/>
            </w:pPr>
            <w:r/>
            <w:r>
              <w:rPr>
                <w:rFonts w:ascii="Calibri" w:hAnsi="Calibri"/>
                <w:sz w:val="18"/>
              </w:rPr>
              <w:t>&lt; 1%</w:t>
            </w:r>
          </w:p>
        </w:tc>
        <w:tc>
          <w:tcPr>
            <w:tcW w:type="dxa" w:w="4320"/>
            <w:shd w:fill="F0F4F8" w:val="clear"/>
          </w:tcPr>
          <w:p>
            <w:pPr>
              <w:jc w:val="left"/>
            </w:pPr>
            <w:r/>
            <w:r>
              <w:rPr>
                <w:rFonts w:ascii="Calibri" w:hAnsi="Calibri"/>
                <w:sz w:val="18"/>
              </w:rPr>
              <w:t>Entropy invariant under decimation</w:t>
            </w:r>
          </w:p>
        </w:tc>
      </w:tr>
      <w:tr>
        <w:tc>
          <w:tcPr>
            <w:tcW w:type="dxa" w:w="2592"/>
          </w:tcPr>
          <w:p>
            <w:pPr>
              <w:jc w:val="center"/>
            </w:pPr>
            <w:r/>
            <w:r>
              <w:rPr>
                <w:rFonts w:ascii="Calibri" w:hAnsi="Calibri"/>
                <w:sz w:val="18"/>
              </w:rPr>
              <w:t>H minimum</w:t>
            </w:r>
          </w:p>
        </w:tc>
        <w:tc>
          <w:tcPr>
            <w:tcW w:type="dxa" w:w="1728"/>
          </w:tcPr>
          <w:p>
            <w:pPr>
              <w:jc w:val="left"/>
            </w:pPr>
            <w:r/>
            <w:r>
              <w:rPr>
                <w:rFonts w:ascii="Calibri" w:hAnsi="Calibri"/>
                <w:sz w:val="18"/>
              </w:rPr>
              <w:t>&gt; 1.0</w:t>
            </w:r>
          </w:p>
        </w:tc>
        <w:tc>
          <w:tcPr>
            <w:tcW w:type="dxa" w:w="4320"/>
          </w:tcPr>
          <w:p>
            <w:pPr>
              <w:jc w:val="left"/>
            </w:pPr>
            <w:r/>
            <w:r>
              <w:rPr>
                <w:rFonts w:ascii="Calibri" w:hAnsi="Calibri"/>
                <w:sz w:val="18"/>
              </w:rPr>
              <w:t>Sufficient diversity for entropy to be meaningful</w:t>
            </w:r>
          </w:p>
        </w:tc>
      </w:tr>
      <w:tr>
        <w:tc>
          <w:tcPr>
            <w:tcW w:type="dxa" w:w="2592"/>
            <w:shd w:fill="F0F4F8" w:val="clear"/>
          </w:tcPr>
          <w:p>
            <w:pPr>
              <w:jc w:val="center"/>
            </w:pPr>
            <w:r/>
            <w:r>
              <w:rPr>
                <w:rFonts w:ascii="Calibri" w:hAnsi="Calibri"/>
                <w:sz w:val="18"/>
              </w:rPr>
              <w:t>PLL regime</w:t>
            </w:r>
          </w:p>
        </w:tc>
        <w:tc>
          <w:tcPr>
            <w:tcW w:type="dxa" w:w="1728"/>
            <w:shd w:fill="F0F4F8" w:val="clear"/>
          </w:tcPr>
          <w:p>
            <w:pPr>
              <w:jc w:val="left"/>
            </w:pPr>
            <w:r/>
            <w:r>
              <w:rPr>
                <w:rFonts w:ascii="Calibri" w:hAnsi="Calibri"/>
                <w:sz w:val="18"/>
              </w:rPr>
              <w:t>R² &gt; 0.5</w:t>
            </w:r>
          </w:p>
        </w:tc>
        <w:tc>
          <w:tcPr>
            <w:tcW w:type="dxa" w:w="4320"/>
            <w:shd w:fill="F0F4F8" w:val="clear"/>
          </w:tcPr>
          <w:p>
            <w:pPr>
              <w:jc w:val="left"/>
            </w:pPr>
            <w:r/>
            <w:r>
              <w:rPr>
                <w:rFonts w:ascii="Calibri" w:hAnsi="Calibri"/>
                <w:sz w:val="18"/>
              </w:rPr>
              <w:t>Sigma-squared-A is approximately parabolic</w:t>
            </w:r>
          </w:p>
        </w:tc>
      </w:tr>
      <w:tr>
        <w:tc>
          <w:tcPr>
            <w:tcW w:type="dxa" w:w="2592"/>
          </w:tcPr>
          <w:p>
            <w:pPr>
              <w:jc w:val="center"/>
            </w:pPr>
            <w:r/>
            <w:r>
              <w:rPr>
                <w:rFonts w:ascii="Calibri" w:hAnsi="Calibri"/>
                <w:sz w:val="18"/>
              </w:rPr>
              <w:t>Two-force condition</w:t>
            </w:r>
          </w:p>
        </w:tc>
        <w:tc>
          <w:tcPr>
            <w:tcW w:type="dxa" w:w="1728"/>
          </w:tcPr>
          <w:p>
            <w:pPr>
              <w:jc w:val="left"/>
            </w:pPr>
            <w:r/>
            <w:r>
              <w:rPr>
                <w:rFonts w:ascii="Calibri" w:hAnsi="Calibri"/>
                <w:sz w:val="18"/>
              </w:rPr>
              <w:t>R² &gt; 0.5 + bowl shape</w:t>
            </w:r>
          </w:p>
        </w:tc>
        <w:tc>
          <w:tcPr>
            <w:tcW w:type="dxa" w:w="4320"/>
          </w:tcPr>
          <w:p>
            <w:pPr>
              <w:jc w:val="left"/>
            </w:pPr>
            <w:r/>
            <w:r>
              <w:rPr>
                <w:rFonts w:ascii="Calibri" w:hAnsi="Calibri"/>
                <w:sz w:val="18"/>
              </w:rPr>
              <w:t>Competing forces create equilibrium</w:t>
            </w:r>
          </w:p>
        </w:tc>
      </w:tr>
      <w:tr>
        <w:tc>
          <w:tcPr>
            <w:tcW w:type="dxa" w:w="2592"/>
            <w:shd w:fill="F0F4F8" w:val="clear"/>
          </w:tcPr>
          <w:p>
            <w:pPr>
              <w:jc w:val="center"/>
            </w:pPr>
            <w:r/>
            <w:r>
              <w:rPr>
                <w:rFonts w:ascii="Calibri" w:hAnsi="Calibri"/>
                <w:sz w:val="18"/>
              </w:rPr>
              <w:t>Squeeze significance</w:t>
            </w:r>
          </w:p>
        </w:tc>
        <w:tc>
          <w:tcPr>
            <w:tcW w:type="dxa" w:w="1728"/>
            <w:shd w:fill="F0F4F8" w:val="clear"/>
          </w:tcPr>
          <w:p>
            <w:pPr>
              <w:jc w:val="left"/>
            </w:pPr>
            <w:r/>
            <w:r>
              <w:rPr>
                <w:rFonts w:ascii="Calibri" w:hAnsi="Calibri"/>
                <w:sz w:val="18"/>
              </w:rPr>
              <w:t>&gt; 20%</w:t>
            </w:r>
          </w:p>
        </w:tc>
        <w:tc>
          <w:tcPr>
            <w:tcW w:type="dxa" w:w="4320"/>
            <w:shd w:fill="F0F4F8" w:val="clear"/>
          </w:tcPr>
          <w:p>
            <w:pPr>
              <w:jc w:val="left"/>
            </w:pPr>
            <w:r/>
            <w:r>
              <w:rPr>
                <w:rFonts w:ascii="Calibri" w:hAnsi="Calibri"/>
                <w:sz w:val="18"/>
              </w:rPr>
              <w:t>Structure beyond the parabola is present</w:t>
            </w:r>
          </w:p>
        </w:tc>
      </w:tr>
      <w:tr>
        <w:tc>
          <w:tcPr>
            <w:tcW w:type="dxa" w:w="2592"/>
          </w:tcPr>
          <w:p>
            <w:pPr>
              <w:jc w:val="center"/>
            </w:pPr>
            <w:r/>
            <w:r>
              <w:rPr>
                <w:rFonts w:ascii="Calibri" w:hAnsi="Calibri"/>
                <w:sz w:val="18"/>
              </w:rPr>
              <w:t>Vertex in range</w:t>
            </w:r>
          </w:p>
        </w:tc>
        <w:tc>
          <w:tcPr>
            <w:tcW w:type="dxa" w:w="1728"/>
          </w:tcPr>
          <w:p>
            <w:pPr>
              <w:jc w:val="left"/>
            </w:pPr>
            <w:r/>
            <w:r>
              <w:rPr>
                <w:rFonts w:ascii="Calibri" w:hAnsi="Calibri"/>
                <w:sz w:val="18"/>
              </w:rPr>
              <w:t>0 &lt; t_norm &lt; 1</w:t>
            </w:r>
          </w:p>
        </w:tc>
        <w:tc>
          <w:tcPr>
            <w:tcW w:type="dxa" w:w="4320"/>
          </w:tcPr>
          <w:p>
            <w:pPr>
              <w:jc w:val="left"/>
            </w:pPr>
            <w:r/>
            <w:r>
              <w:rPr>
                <w:rFonts w:ascii="Calibri" w:hAnsi="Calibri"/>
                <w:sz w:val="18"/>
              </w:rPr>
              <w:t>Equilibrium point is within the data span</w:t>
            </w:r>
          </w:p>
        </w:tc>
      </w:tr>
    </w:tbl>
    <w:p>
      <w:r>
        <w:br w:type="page"/>
      </w:r>
    </w:p>
    <w:p>
      <w:pPr>
        <w:pStyle w:val="Heading1"/>
      </w:pPr>
      <w:r>
        <w:t>Appendix B: Claim Classification Summary (HIVIP Ladder)</w:t>
      </w:r>
    </w:p>
    <w:p>
      <w:pPr>
        <w:spacing w:after="160"/>
      </w:pPr>
      <w:r>
        <w:t>All claims in the Higgins Unity Framework are classified on a six-level promotion ladder, from exploratory (L0) to core science (L5). The classification is based on the strength of evidence and the generality of the claim.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fill="0D1B2A" w:val="clear"/>
          </w:tcPr>
          <w:p>
            <w:pPr>
              <w:jc w:val="center"/>
            </w:pPr>
            <w:r/>
            <w:r>
              <w:rPr>
                <w:rFonts w:ascii="Calibri" w:hAnsi="Calibri"/>
                <w:b/>
                <w:color w:val="FFFFFF"/>
                <w:sz w:val="18"/>
              </w:rPr>
              <w:t>Level</w:t>
            </w:r>
          </w:p>
        </w:tc>
        <w:tc>
          <w:tcPr>
            <w:tcW w:type="dxa" w:w="1872"/>
            <w:shd w:fill="0D1B2A" w:val="clear"/>
          </w:tcPr>
          <w:p>
            <w:pPr>
              <w:jc w:val="center"/>
            </w:pPr>
            <w:r/>
            <w:r>
              <w:rPr>
                <w:rFonts w:ascii="Calibri" w:hAnsi="Calibri"/>
                <w:b/>
                <w:color w:val="FFFFFF"/>
                <w:sz w:val="18"/>
              </w:rPr>
              <w:t>Name</w:t>
            </w:r>
          </w:p>
        </w:tc>
        <w:tc>
          <w:tcPr>
            <w:tcW w:type="dxa" w:w="720"/>
            <w:shd w:fill="0D1B2A" w:val="clear"/>
          </w:tcPr>
          <w:p>
            <w:pPr>
              <w:jc w:val="center"/>
            </w:pPr>
            <w:r/>
            <w:r>
              <w:rPr>
                <w:rFonts w:ascii="Calibri" w:hAnsi="Calibri"/>
                <w:b/>
                <w:color w:val="FFFFFF"/>
                <w:sz w:val="18"/>
              </w:rPr>
              <w:t>Count</w:t>
            </w:r>
          </w:p>
        </w:tc>
        <w:tc>
          <w:tcPr>
            <w:tcW w:type="dxa" w:w="5760"/>
            <w:shd w:fill="0D1B2A" w:val="clear"/>
          </w:tcPr>
          <w:p>
            <w:pPr>
              <w:jc w:val="center"/>
            </w:pPr>
            <w:r/>
            <w:r>
              <w:rPr>
                <w:rFonts w:ascii="Calibri" w:hAnsi="Calibri"/>
                <w:b/>
                <w:color w:val="FFFFFF"/>
                <w:sz w:val="18"/>
              </w:rPr>
              <w:t>Key Claims</w:t>
            </w:r>
          </w:p>
        </w:tc>
      </w:tr>
      <w:tr>
        <w:tc>
          <w:tcPr>
            <w:tcW w:type="dxa" w:w="720"/>
            <w:shd w:fill="F0F4F8" w:val="clear"/>
          </w:tcPr>
          <w:p>
            <w:pPr>
              <w:jc w:val="center"/>
            </w:pPr>
            <w:r/>
            <w:r>
              <w:rPr>
                <w:rFonts w:ascii="Calibri" w:hAnsi="Calibri"/>
                <w:sz w:val="18"/>
              </w:rPr>
              <w:t>L5</w:t>
            </w:r>
          </w:p>
        </w:tc>
        <w:tc>
          <w:tcPr>
            <w:tcW w:type="dxa" w:w="1872"/>
            <w:shd w:fill="F0F4F8" w:val="clear"/>
          </w:tcPr>
          <w:p>
            <w:pPr>
              <w:jc w:val="left"/>
            </w:pPr>
            <w:r/>
            <w:r>
              <w:rPr>
                <w:rFonts w:ascii="Calibri" w:hAnsi="Calibri"/>
                <w:sz w:val="18"/>
              </w:rPr>
              <w:t>Core Science</w:t>
            </w:r>
          </w:p>
        </w:tc>
        <w:tc>
          <w:tcPr>
            <w:tcW w:type="dxa" w:w="720"/>
            <w:shd w:fill="F0F4F8" w:val="clear"/>
          </w:tcPr>
          <w:p>
            <w:pPr>
              <w:jc w:val="left"/>
            </w:pPr>
            <w:r/>
            <w:r>
              <w:rPr>
                <w:rFonts w:ascii="Calibri" w:hAnsi="Calibri"/>
                <w:sz w:val="18"/>
              </w:rPr>
              <w:t>3</w:t>
            </w:r>
          </w:p>
        </w:tc>
        <w:tc>
          <w:tcPr>
            <w:tcW w:type="dxa" w:w="5760"/>
            <w:shd w:fill="F0F4F8" w:val="clear"/>
          </w:tcPr>
          <w:p>
            <w:pPr>
              <w:jc w:val="left"/>
            </w:pPr>
            <w:r/>
            <w:r>
              <w:rPr>
                <w:rFonts w:ascii="Calibri" w:hAnsi="Calibri"/>
                <w:sz w:val="18"/>
              </w:rPr>
              <w:t>EITT entropy invariance, geometric mean superiority, simplex geometry</w:t>
            </w:r>
          </w:p>
        </w:tc>
      </w:tr>
      <w:tr>
        <w:tc>
          <w:tcPr>
            <w:tcW w:type="dxa" w:w="720"/>
          </w:tcPr>
          <w:p>
            <w:pPr>
              <w:jc w:val="center"/>
            </w:pPr>
            <w:r/>
            <w:r>
              <w:rPr>
                <w:rFonts w:ascii="Calibri" w:hAnsi="Calibri"/>
                <w:sz w:val="18"/>
              </w:rPr>
              <w:t>L4</w:t>
            </w:r>
          </w:p>
        </w:tc>
        <w:tc>
          <w:tcPr>
            <w:tcW w:type="dxa" w:w="1872"/>
          </w:tcPr>
          <w:p>
            <w:pPr>
              <w:jc w:val="left"/>
            </w:pPr>
            <w:r/>
            <w:r>
              <w:rPr>
                <w:rFonts w:ascii="Calibri" w:hAnsi="Calibri"/>
                <w:sz w:val="18"/>
              </w:rPr>
              <w:t>Canonical Method</w:t>
            </w:r>
          </w:p>
        </w:tc>
        <w:tc>
          <w:tcPr>
            <w:tcW w:type="dxa" w:w="720"/>
          </w:tcPr>
          <w:p>
            <w:pPr>
              <w:jc w:val="left"/>
            </w:pPr>
            <w:r/>
            <w:r>
              <w:rPr>
                <w:rFonts w:ascii="Calibri" w:hAnsi="Calibri"/>
                <w:sz w:val="18"/>
              </w:rPr>
              <w:t>5</w:t>
            </w:r>
          </w:p>
        </w:tc>
        <w:tc>
          <w:tcPr>
            <w:tcW w:type="dxa" w:w="5760"/>
          </w:tcPr>
          <w:p>
            <w:pPr>
              <w:jc w:val="left"/>
            </w:pPr>
            <w:r/>
            <w:r>
              <w:rPr>
                <w:rFonts w:ascii="Calibri" w:hAnsi="Calibri"/>
                <w:sz w:val="18"/>
              </w:rPr>
              <w:t>Vertex theorem, operating envelope, contamination doctrine, HIVIP, Hessian bound</w:t>
            </w:r>
          </w:p>
        </w:tc>
      </w:tr>
      <w:tr>
        <w:tc>
          <w:tcPr>
            <w:tcW w:type="dxa" w:w="720"/>
            <w:shd w:fill="F0F4F8" w:val="clear"/>
          </w:tcPr>
          <w:p>
            <w:pPr>
              <w:jc w:val="center"/>
            </w:pPr>
            <w:r/>
            <w:r>
              <w:rPr>
                <w:rFonts w:ascii="Calibri" w:hAnsi="Calibri"/>
                <w:sz w:val="18"/>
              </w:rPr>
              <w:t>L3</w:t>
            </w:r>
          </w:p>
        </w:tc>
        <w:tc>
          <w:tcPr>
            <w:tcW w:type="dxa" w:w="1872"/>
            <w:shd w:fill="F0F4F8" w:val="clear"/>
          </w:tcPr>
          <w:p>
            <w:pPr>
              <w:jc w:val="left"/>
            </w:pPr>
            <w:r/>
            <w:r>
              <w:rPr>
                <w:rFonts w:ascii="Calibri" w:hAnsi="Calibri"/>
                <w:sz w:val="18"/>
              </w:rPr>
              <w:t>Validated Companion</w:t>
            </w:r>
          </w:p>
        </w:tc>
        <w:tc>
          <w:tcPr>
            <w:tcW w:type="dxa" w:w="720"/>
            <w:shd w:fill="F0F4F8" w:val="clear"/>
          </w:tcPr>
          <w:p>
            <w:pPr>
              <w:jc w:val="left"/>
            </w:pPr>
            <w:r/>
            <w:r>
              <w:rPr>
                <w:rFonts w:ascii="Calibri" w:hAnsi="Calibri"/>
                <w:sz w:val="18"/>
              </w:rPr>
              <w:t>2</w:t>
            </w:r>
          </w:p>
        </w:tc>
        <w:tc>
          <w:tcPr>
            <w:tcW w:type="dxa" w:w="5760"/>
            <w:shd w:fill="F0F4F8" w:val="clear"/>
          </w:tcPr>
          <w:p>
            <w:pPr>
              <w:jc w:val="left"/>
            </w:pPr>
            <w:r/>
            <w:r>
              <w:rPr>
                <w:rFonts w:ascii="Calibri" w:hAnsi="Calibri"/>
                <w:sz w:val="18"/>
              </w:rPr>
              <w:t>MC-4 monitoring, geochemistry validation</w:t>
            </w:r>
          </w:p>
        </w:tc>
      </w:tr>
      <w:tr>
        <w:tc>
          <w:tcPr>
            <w:tcW w:type="dxa" w:w="720"/>
          </w:tcPr>
          <w:p>
            <w:pPr>
              <w:jc w:val="center"/>
            </w:pPr>
            <w:r/>
            <w:r>
              <w:rPr>
                <w:rFonts w:ascii="Calibri" w:hAnsi="Calibri"/>
                <w:sz w:val="18"/>
              </w:rPr>
              <w:t>L2</w:t>
            </w:r>
          </w:p>
        </w:tc>
        <w:tc>
          <w:tcPr>
            <w:tcW w:type="dxa" w:w="1872"/>
          </w:tcPr>
          <w:p>
            <w:pPr>
              <w:jc w:val="left"/>
            </w:pPr>
            <w:r/>
            <w:r>
              <w:rPr>
                <w:rFonts w:ascii="Calibri" w:hAnsi="Calibri"/>
                <w:sz w:val="18"/>
              </w:rPr>
              <w:t>Process Control</w:t>
            </w:r>
          </w:p>
        </w:tc>
        <w:tc>
          <w:tcPr>
            <w:tcW w:type="dxa" w:w="720"/>
          </w:tcPr>
          <w:p>
            <w:pPr>
              <w:jc w:val="left"/>
            </w:pPr>
            <w:r/>
            <w:r>
              <w:rPr>
                <w:rFonts w:ascii="Calibri" w:hAnsi="Calibri"/>
                <w:sz w:val="18"/>
              </w:rPr>
              <w:t>3</w:t>
            </w:r>
          </w:p>
        </w:tc>
        <w:tc>
          <w:tcPr>
            <w:tcW w:type="dxa" w:w="5760"/>
          </w:tcPr>
          <w:p>
            <w:pPr>
              <w:jc w:val="left"/>
            </w:pPr>
            <w:r/>
            <w:r>
              <w:rPr>
                <w:rFonts w:ascii="Calibri" w:hAnsi="Calibri"/>
                <w:sz w:val="18"/>
              </w:rPr>
              <w:t>F17 tuner, two-pass instrument, energy transition dating</w:t>
            </w:r>
          </w:p>
        </w:tc>
      </w:tr>
      <w:tr>
        <w:tc>
          <w:tcPr>
            <w:tcW w:type="dxa" w:w="720"/>
            <w:shd w:fill="F0F4F8" w:val="clear"/>
          </w:tcPr>
          <w:p>
            <w:pPr>
              <w:jc w:val="center"/>
            </w:pPr>
            <w:r/>
            <w:r>
              <w:rPr>
                <w:rFonts w:ascii="Calibri" w:hAnsi="Calibri"/>
                <w:sz w:val="18"/>
              </w:rPr>
              <w:t>L1</w:t>
            </w:r>
          </w:p>
        </w:tc>
        <w:tc>
          <w:tcPr>
            <w:tcW w:type="dxa" w:w="1872"/>
            <w:shd w:fill="F0F4F8" w:val="clear"/>
          </w:tcPr>
          <w:p>
            <w:pPr>
              <w:jc w:val="left"/>
            </w:pPr>
            <w:r/>
            <w:r>
              <w:rPr>
                <w:rFonts w:ascii="Calibri" w:hAnsi="Calibri"/>
                <w:sz w:val="18"/>
              </w:rPr>
              <w:t>Candidate Overlay</w:t>
            </w:r>
          </w:p>
        </w:tc>
        <w:tc>
          <w:tcPr>
            <w:tcW w:type="dxa" w:w="720"/>
            <w:shd w:fill="F0F4F8" w:val="clear"/>
          </w:tcPr>
          <w:p>
            <w:pPr>
              <w:jc w:val="left"/>
            </w:pPr>
            <w:r/>
            <w:r>
              <w:rPr>
                <w:rFonts w:ascii="Calibri" w:hAnsi="Calibri"/>
                <w:sz w:val="18"/>
              </w:rPr>
              <w:t>3</w:t>
            </w:r>
          </w:p>
        </w:tc>
        <w:tc>
          <w:tcPr>
            <w:tcW w:type="dxa" w:w="5760"/>
            <w:shd w:fill="F0F4F8" w:val="clear"/>
          </w:tcPr>
          <w:p>
            <w:pPr>
              <w:jc w:val="left"/>
            </w:pPr>
            <w:r/>
            <w:r>
              <w:rPr>
                <w:rFonts w:ascii="Calibri" w:hAnsi="Calibri"/>
                <w:sz w:val="18"/>
              </w:rPr>
              <w:t>PLL universality, Bell test analogy, nuclear corridor</w:t>
            </w:r>
          </w:p>
        </w:tc>
      </w:tr>
      <w:tr>
        <w:tc>
          <w:tcPr>
            <w:tcW w:type="dxa" w:w="720"/>
          </w:tcPr>
          <w:p>
            <w:pPr>
              <w:jc w:val="center"/>
            </w:pPr>
            <w:r/>
            <w:r>
              <w:rPr>
                <w:rFonts w:ascii="Calibri" w:hAnsi="Calibri"/>
                <w:sz w:val="18"/>
              </w:rPr>
              <w:t>L0</w:t>
            </w:r>
          </w:p>
        </w:tc>
        <w:tc>
          <w:tcPr>
            <w:tcW w:type="dxa" w:w="1872"/>
          </w:tcPr>
          <w:p>
            <w:pPr>
              <w:jc w:val="left"/>
            </w:pPr>
            <w:r/>
            <w:r>
              <w:rPr>
                <w:rFonts w:ascii="Calibri" w:hAnsi="Calibri"/>
                <w:sz w:val="18"/>
              </w:rPr>
              <w:t>Exploratory</w:t>
            </w:r>
          </w:p>
        </w:tc>
        <w:tc>
          <w:tcPr>
            <w:tcW w:type="dxa" w:w="720"/>
          </w:tcPr>
          <w:p>
            <w:pPr>
              <w:jc w:val="left"/>
            </w:pPr>
            <w:r/>
            <w:r>
              <w:rPr>
                <w:rFonts w:ascii="Calibri" w:hAnsi="Calibri"/>
                <w:sz w:val="18"/>
              </w:rPr>
              <w:t>6</w:t>
            </w:r>
          </w:p>
        </w:tc>
        <w:tc>
          <w:tcPr>
            <w:tcW w:type="dxa" w:w="5760"/>
          </w:tcPr>
          <w:p>
            <w:pPr>
              <w:jc w:val="left"/>
            </w:pPr>
            <w:r/>
            <w:r>
              <w:rPr>
                <w:rFonts w:ascii="Calibri" w:hAnsi="Calibri"/>
                <w:sz w:val="18"/>
              </w:rPr>
              <w:t>Noise squeeze, boundary species, H1 operator, quantum isomorphisms</w:t>
            </w:r>
          </w:p>
        </w:tc>
      </w:tr>
    </w:tbl>
    <w:p/>
    <w:p>
      <w:pPr>
        <w:spacing w:after="240"/>
      </w:pPr>
      <w:r>
        <w:rPr>
          <w:i/>
          <w:color w:val="555555"/>
          <w:sz w:val="20"/>
        </w:rPr>
        <w:t>Total: 22 claims classified. The promotion ladder is a living document — claims may be promoted (with evidence) or demoted (with counter-evidence) as the programme continues.</w:t>
      </w:r>
    </w:p>
    <w:p>
      <w:pPr>
        <w:spacing w:before="80" w:after="80"/>
        <w:pBdr>
          <w:bottom w:val="single" w:sz="8" w:space="1" w:color="0D1B2A"/>
        </w:pBdr>
      </w:pPr>
    </w:p>
    <w:p>
      <w:pPr>
        <w:spacing w:after="80"/>
        <w:jc w:val="center"/>
      </w:pPr>
      <w:r>
        <w:rPr>
          <w:i/>
          <w:color w:val="555555"/>
          <w:sz w:val="22"/>
        </w:rPr>
        <w:t>— End of Document —</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99999"/>
        <w:sz w:val="16"/>
      </w:rPr>
      <w:t xml:space="preserve">Higgins Unity Framework — EXP Series Conclusion — 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F346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3A5C"/>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2D4A6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