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Georgia" w:cs="Georgia" w:eastAsia="Georgia" w:hAnsi="Georgia"/>
          <w:b/>
          <w:bCs/>
          <w:color w:val="1E2761"/>
          <w:sz w:val="72"/>
          <w:szCs w:val="72"/>
        </w:rPr>
        <w:t xml:space="preserve">EXP-13</w:t>
      </w:r>
    </w:p>
    <w:p>
      <w:pPr>
        <w:spacing w:after="200"/>
        <w:jc w:val="center"/>
      </w:pPr>
      <w:r>
        <w:rPr>
          <w:rFonts w:ascii="Georgia" w:cs="Georgia" w:eastAsia="Georgia" w:hAnsi="Georgia"/>
          <w:color w:val="D4A843"/>
          <w:sz w:val="48"/>
          <w:szCs w:val="48"/>
        </w:rPr>
        <w:t xml:space="preserve">The Simplex Parabola Hunter</w:t>
      </w:r>
    </w:p>
    <w:p>
      <w:pPr>
        <w:pBdr>
          <w:bottom w:val="single" w:color="1E2761" w:sz="4" w:space="8"/>
        </w:pBdr>
        <w:spacing w:after="120"/>
        <w:jc w:val="center"/>
      </w:pPr>
      <w:r>
        <w:rPr>
          <w:rFonts w:ascii="Calibri" w:cs="Calibri" w:eastAsia="Calibri" w:hAnsi="Calibri"/>
          <w:sz w:val="10"/>
          <w:szCs w:val="10"/>
        </w:rPr>
        <w:t xml:space="preserve"> </w:t>
      </w:r>
    </w:p>
    <w:p>
      <w:pPr>
        <w:spacing w:after="0" w:before="200"/>
      </w:pPr>
    </w:p>
    <w:p>
      <w:pPr>
        <w:spacing w:after="80"/>
        <w:jc w:val="center"/>
      </w:pPr>
      <w:r>
        <w:rPr>
          <w:rFonts w:ascii="Georgia" w:cs="Georgia" w:eastAsia="Georgia" w:hAnsi="Georgia"/>
          <w:i/>
          <w:iCs/>
          <w:color w:val="333344"/>
          <w:sz w:val="26"/>
          <w:szCs w:val="26"/>
        </w:rPr>
        <w:t xml:space="preserve">Compositional Trajectory Classification on the Aitchison Simplex</w:t>
      </w:r>
    </w:p>
    <w:p>
      <w:pPr>
        <w:spacing w:after="80"/>
        <w:jc w:val="center"/>
      </w:pPr>
      <w:r>
        <w:rPr>
          <w:rFonts w:ascii="Georgia" w:cs="Georgia" w:eastAsia="Georgia" w:hAnsi="Georgia"/>
          <w:i/>
          <w:iCs/>
          <w:color w:val="333344"/>
          <w:sz w:val="24"/>
          <w:szCs w:val="24"/>
        </w:rPr>
        <w:t xml:space="preserve">with the Calibration Septuple and the Cartesian Parabola Theorem</w:t>
      </w:r>
    </w:p>
    <w:p>
      <w:pPr>
        <w:spacing w:after="0" w:before="300"/>
      </w:pPr>
    </w:p>
    <w:p>
      <w:pPr>
        <w:spacing w:after="60"/>
        <w:jc w:val="center"/>
      </w:pPr>
      <w:r>
        <w:rPr>
          <w:rFonts w:ascii="Calibri" w:cs="Calibri" w:eastAsia="Calibri" w:hAnsi="Calibri"/>
          <w:color w:val="1A1A2E"/>
          <w:sz w:val="26"/>
          <w:szCs w:val="26"/>
        </w:rPr>
        <w:t xml:space="preserve">Peter Higgins</w:t>
      </w:r>
    </w:p>
    <w:p>
      <w:pPr>
        <w:spacing w:after="60"/>
        <w:jc w:val="center"/>
      </w:pPr>
      <w:r>
        <w:rPr>
          <w:rFonts w:ascii="Calibri" w:cs="Calibri" w:eastAsia="Calibri" w:hAnsi="Calibri"/>
          <w:color w:val="666677"/>
          <w:sz w:val="22"/>
          <w:szCs w:val="22"/>
        </w:rPr>
        <w:t xml:space="preserve">HUF Programme — CoDaWork2026 Series</w:t>
      </w:r>
    </w:p>
    <w:p>
      <w:pPr>
        <w:spacing w:after="200"/>
        <w:jc w:val="center"/>
      </w:pPr>
      <w:r>
        <w:rPr>
          <w:rFonts w:ascii="Calibri" w:cs="Calibri" w:eastAsia="Calibri" w:hAnsi="Calibri"/>
          <w:color w:val="666677"/>
          <w:sz w:val="22"/>
          <w:szCs w:val="22"/>
        </w:rPr>
        <w:t xml:space="preserve">April 2026</w:t>
      </w:r>
    </w:p>
    <w:p>
      <w:pPr>
        <w:spacing w:after="0" w:before="600"/>
      </w:pPr>
    </w:p>
    <w:p>
      <w:pPr>
        <w:spacing w:after="60"/>
        <w:jc w:val="center"/>
      </w:pPr>
      <w:r>
        <w:rPr>
          <w:rFonts w:ascii="Calibri" w:cs="Calibri" w:eastAsia="Calibri" w:hAnsi="Calibri"/>
          <w:b/>
          <w:bCs/>
          <w:color w:val="1E2761"/>
          <w:sz w:val="22"/>
          <w:szCs w:val="22"/>
        </w:rPr>
        <w:t xml:space="preserve">9 Physical Systems · 4 Real Measurement Datasets · 7 Proven Theorems</w:t>
      </w:r>
    </w:p>
    <w:p>
      <w:pPr>
        <w:spacing w:after="0"/>
        <w:jc w:val="center"/>
      </w:pPr>
      <w:r>
        <w:rPr>
          <w:rFonts w:ascii="Georgia" w:cs="Georgia" w:eastAsia="Georgia" w:hAnsi="Georgia"/>
          <w:i/>
          <w:iCs/>
          <w:color w:val="D4A843"/>
          <w:sz w:val="22"/>
          <w:szCs w:val="22"/>
        </w:rPr>
        <w:t xml:space="preserve">"The instrument IS the measurement"</w:t>
      </w:r>
    </w:p>
    <w:p>
      <w:r>
        <w:br w:type="page"/>
      </w:r>
    </w:p>
    <w:p>
      <w:pPr>
        <w:pStyle w:val="Heading1"/>
        <w:spacing w:after="200" w:before="400"/>
      </w:pPr>
      <w:r>
        <w:rPr>
          <w:rFonts w:ascii="Georgia" w:cs="Georgia" w:eastAsia="Georgia" w:hAnsi="Georgia"/>
          <w:b/>
          <w:bCs/>
          <w:color w:val="1E2761"/>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Georgia" w:cs="Georgia" w:eastAsia="Georgia" w:hAnsi="Georgia"/>
          <w:b/>
          <w:bCs/>
          <w:color w:val="1E2761"/>
          <w:sz w:val="36"/>
          <w:szCs w:val="36"/>
        </w:rPr>
        <w:t xml:space="preserve">Abstract</w:t>
      </w:r>
    </w:p>
    <w:p>
      <w:pPr>
        <w:spacing w:after="160" w:line="320"/>
        <w:jc w:val="both"/>
      </w:pPr>
      <w:r>
        <w:rPr>
          <w:rFonts w:ascii="Calibri" w:cs="Calibri" w:eastAsia="Calibri" w:hAnsi="Calibri"/>
          <w:color w:val="333344"/>
          <w:sz w:val="23"/>
          <w:szCs w:val="23"/>
        </w:rPr>
        <w:t xml:space="preserve">This document presents EXP-13, the Simplex Parabola Hunter: a systematic investigation into the geometry of compositional trajectories on the 2-simplex S² using Aitchison geometry. We prove that every trajectory on the simplex falls into exactly one of two geometric classes—Aitchison geodesics or Cartesian parabolas—and that the distinction is computable from the ILR (Isometric Log-Ratio) representation via a single F-statistic.</w:t>
      </w:r>
    </w:p>
    <w:p>
      <w:pPr>
        <w:spacing w:after="160" w:line="320"/>
        <w:jc w:val="both"/>
      </w:pPr>
      <w:r>
        <w:rPr>
          <w:rFonts w:ascii="Calibri" w:cs="Calibri" w:eastAsia="Calibri" w:hAnsi="Calibri"/>
          <w:color w:val="333344"/>
          <w:sz w:val="23"/>
          <w:szCs w:val="23"/>
        </w:rPr>
        <w:t xml:space="preserve">The central result is the Calibration Septuple: a 7-tuple (θ, σ, λ, t*, α, K, φ) of display parameters required to visualize any trajectory on the simplex, each of which we prove corresponds to a named quantity in Aitchison geometry. The rotation angle θ encodes the CLR critical-point direction; the coverage σ equals the total Aitchison variance; the lift λ measures Aitchison geodesic deviation; the vertex position t* locates the CLR Jacobian null; the opening angle α is the Aitchison dispersion angle; the curvature K gives the ILR geodesic curvature integral; and the slice angle φ recovers the ILR principal axis orientation.</w:t>
      </w:r>
    </w:p>
    <w:p>
      <w:pPr>
        <w:spacing w:after="160" w:line="320"/>
        <w:jc w:val="both"/>
      </w:pPr>
      <w:r>
        <w:rPr>
          <w:rFonts w:ascii="Calibri" w:cs="Calibri" w:eastAsia="Calibri" w:hAnsi="Calibri"/>
          <w:color w:val="333344"/>
          <w:sz w:val="23"/>
          <w:szCs w:val="23"/>
        </w:rPr>
        <w:t xml:space="preserve">We validate these results on 5 parametric physics models (stellar burning, QCD running coupling, Kerr black holes, fusion reactivity, and gravitational wave coalescence) and 4 real measurement datasets from the Ember global electricity database (World, Germany, France, and China electricity generation as Coal/Gas/Nuclear compositions). The F-statistic classifier achieves perfect separation: all systems are correctly assigned to their geometric class, with real-world energy transition data showing the same parabolic signatures as fundamental physics.</w:t>
      </w:r>
    </w:p>
    <w:p>
      <w:pPr>
        <w:spacing w:after="160" w:line="320"/>
        <w:jc w:val="both"/>
      </w:pPr>
      <w:r>
        <w:rPr>
          <w:rFonts w:ascii="Calibri" w:cs="Calibri" w:eastAsia="Calibri" w:hAnsi="Calibri"/>
          <w:color w:val="333344"/>
          <w:sz w:val="23"/>
          <w:szCs w:val="23"/>
        </w:rPr>
        <w:t xml:space="preserve">These findings establish that CoDa (Compositional Data Analysis) on the simplex is not merely a statistical convenience but a geometric framework that naturally classifies the topology of physical processes. The calibration septuple provides a complete, coordinate-free fingerprint for any D=3 compositional trajectory.</w:t>
      </w:r>
    </w:p>
    <w:p>
      <w:r>
        <w:br w:type="page"/>
      </w:r>
    </w:p>
    <w:p>
      <w:pPr>
        <w:pStyle w:val="Heading1"/>
        <w:spacing w:after="200" w:before="400"/>
      </w:pPr>
      <w:r>
        <w:rPr>
          <w:rFonts w:ascii="Georgia" w:cs="Georgia" w:eastAsia="Georgia" w:hAnsi="Georgia"/>
          <w:b/>
          <w:bCs/>
          <w:color w:val="1E2761"/>
          <w:sz w:val="36"/>
          <w:szCs w:val="36"/>
        </w:rPr>
        <w:t xml:space="preserve">1. Introduction</w:t>
      </w:r>
    </w:p>
    <w:p>
      <w:pPr>
        <w:spacing w:after="160" w:line="320"/>
        <w:jc w:val="both"/>
      </w:pPr>
      <w:r>
        <w:rPr>
          <w:rFonts w:ascii="Calibri" w:cs="Calibri" w:eastAsia="Calibri" w:hAnsi="Calibri"/>
          <w:color w:val="333344"/>
          <w:sz w:val="23"/>
          <w:szCs w:val="23"/>
        </w:rPr>
        <w:t xml:space="preserve">When a physical system evolves under a conservation law—where the parts must sum to a constant whole—its trajectory is constrained to the unit simplex Sᵈ⁻¹. Examples are ubiquitous: the mass fractions in a star sum to unity; the coupling constants in quantum field theory redistribute among gauge forces; the electricity generated by Coal, Gas, and Nuclear sources partitions total generation. In each case, the data are compositional: they carry relative information only, and standard Euclidean analysis produces spurious correlations and geometric distortions.</w:t>
      </w:r>
    </w:p>
    <w:p>
      <w:pPr>
        <w:spacing w:after="160" w:line="320"/>
        <w:jc w:val="both"/>
      </w:pPr>
      <w:r>
        <w:rPr>
          <w:rFonts w:ascii="Calibri" w:cs="Calibri" w:eastAsia="Calibri" w:hAnsi="Calibri"/>
          <w:color w:val="333344"/>
          <w:sz w:val="23"/>
          <w:szCs w:val="23"/>
        </w:rPr>
        <w:t xml:space="preserve">Aitchison (1982, 1986) resolved this by defining an inner product, norm, and distance on the simplex itself, creating a complete Hilbert space structure on Sᵈ⁻¹. The ILR (Isometric Log-Ratio) transform maps this structure isometrically into Rᵈ⁻¹, where standard multivariate methods apply without distortion. The CLR (Centred Log-Ratio) transform provides interpretable coordinates but lives in a constrained subspace.</w:t>
      </w:r>
    </w:p>
    <w:p>
      <w:pPr>
        <w:spacing w:after="160" w:line="320"/>
        <w:jc w:val="both"/>
      </w:pPr>
      <w:r>
        <w:rPr>
          <w:rFonts w:ascii="Calibri" w:cs="Calibri" w:eastAsia="Calibri" w:hAnsi="Calibri"/>
          <w:color w:val="333344"/>
          <w:sz w:val="23"/>
          <w:szCs w:val="23"/>
        </w:rPr>
        <w:t xml:space="preserve">EXP-13 begins with a simple observation: when we display a compositional trajectory on a ternary diagram, we must choose a rotation (which vertex is “up”), a scale (how much of the simplex to show), and a slice angle (how to orient the view). These display choices are not arbitrary—they encode real geometric information about the trajectory. The rotation reveals which component mediates the process. The scale measures compositional spread. The slice angle identifies the principal axis of variation.</w:t>
      </w:r>
    </w:p>
    <w:p>
      <w:pPr>
        <w:spacing w:after="160" w:line="320"/>
        <w:jc w:val="both"/>
      </w:pPr>
      <w:r>
        <w:rPr>
          <w:rFonts w:ascii="Calibri" w:cs="Calibri" w:eastAsia="Calibri" w:hAnsi="Calibri"/>
          <w:color w:val="333344"/>
          <w:sz w:val="23"/>
          <w:szCs w:val="23"/>
        </w:rPr>
        <w:t xml:space="preserve">This leads to the central insight of EXP-13: </w:t>
      </w:r>
      <w:r>
        <w:rPr>
          <w:rFonts w:ascii="Calibri" w:cs="Calibri" w:eastAsia="Calibri" w:hAnsi="Calibri"/>
          <w:b/>
          <w:bCs/>
          <w:i/>
          <w:iCs/>
          <w:color w:val="1E2761"/>
          <w:sz w:val="23"/>
          <w:szCs w:val="23"/>
        </w:rPr>
        <w:t xml:space="preserve">the instrument IS the measurement</w:t>
      </w:r>
      <w:r>
        <w:rPr>
          <w:rFonts w:ascii="Calibri" w:cs="Calibri" w:eastAsia="Calibri" w:hAnsi="Calibri"/>
          <w:color w:val="333344"/>
          <w:sz w:val="23"/>
          <w:szCs w:val="23"/>
        </w:rPr>
        <w:t xml:space="preserve">. The seven parameters we calibrate to display a trajectory are themselves diagnostic quantities in Aitchison geometry. Each has a formal name, a mathematical definition, and a physical interpretation. We prove this correspondence rigorously for all seven parameters, creating the </w:t>
      </w:r>
      <w:r>
        <w:rPr>
          <w:rFonts w:ascii="Calibri" w:cs="Calibri" w:eastAsia="Calibri" w:hAnsi="Calibri"/>
          <w:b/>
          <w:bCs/>
          <w:color w:val="1E2761"/>
          <w:sz w:val="23"/>
          <w:szCs w:val="23"/>
        </w:rPr>
        <w:t xml:space="preserve">Calibration Septuple</w:t>
      </w:r>
      <w:r>
        <w:rPr>
          <w:rFonts w:ascii="Calibri" w:cs="Calibri" w:eastAsia="Calibri" w:hAnsi="Calibri"/>
          <w:color w:val="333344"/>
          <w:sz w:val="23"/>
          <w:szCs w:val="23"/>
        </w:rPr>
        <w:t xml:space="preserve"> — a complete geometric fingerprint for any D=3 compositional trajectory.</w:t>
      </w:r>
    </w:p>
    <w:p>
      <w:r>
        <w:br w:type="page"/>
      </w:r>
    </w:p>
    <w:p>
      <w:pPr>
        <w:pStyle w:val="Heading1"/>
        <w:spacing w:after="200" w:before="400"/>
      </w:pPr>
      <w:r>
        <w:rPr>
          <w:rFonts w:ascii="Georgia" w:cs="Georgia" w:eastAsia="Georgia" w:hAnsi="Georgia"/>
          <w:b/>
          <w:bCs/>
          <w:color w:val="1E2761"/>
          <w:sz w:val="36"/>
          <w:szCs w:val="36"/>
        </w:rPr>
        <w:t xml:space="preserve">2. Glossary of Compositional Data Analysis</w:t>
      </w:r>
    </w:p>
    <w:p>
      <w:pPr>
        <w:spacing w:after="160" w:line="320"/>
        <w:jc w:val="both"/>
      </w:pPr>
      <w:r>
        <w:rPr>
          <w:rFonts w:ascii="Calibri" w:cs="Calibri" w:eastAsia="Calibri" w:hAnsi="Calibri"/>
          <w:color w:val="333344"/>
          <w:sz w:val="23"/>
          <w:szCs w:val="23"/>
        </w:rPr>
        <w:t xml:space="preserve">This section provides a self-contained reference for all CoDa concepts used throughout this document. Readers familiar with Aitchison geometry may skip to Section 3.</w:t>
      </w:r>
    </w:p>
    <w:p>
      <w:pPr>
        <w:spacing w:after="0" w:before="100"/>
      </w:pPr>
    </w:p>
    <w:p>
      <w:pPr>
        <w:pStyle w:val="Heading2"/>
        <w:spacing w:after="160" w:before="300"/>
      </w:pPr>
      <w:r>
        <w:rPr>
          <w:rFonts w:ascii="Georgia" w:cs="Georgia" w:eastAsia="Georgia" w:hAnsi="Georgia"/>
          <w:b/>
          <w:bCs/>
          <w:color w:val="1E2761"/>
          <w:sz w:val="28"/>
          <w:szCs w:val="28"/>
        </w:rPr>
        <w:t xml:space="preserve">2.1 Core Concepts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Composition</w:t>
            </w:r>
          </w:p>
          <w:p>
            <w:pPr>
              <w:spacing w:after="0"/>
            </w:pPr>
            <w:r>
              <w:rPr>
                <w:rFonts w:ascii="Calibri" w:cs="Calibri" w:eastAsia="Calibri" w:hAnsi="Calibri"/>
                <w:color w:val="333344"/>
                <w:sz w:val="21"/>
                <w:szCs w:val="21"/>
              </w:rPr>
              <w:t xml:space="preserve">A vector x = (x₁, x₂, ..., x_D) where all x_k &gt; 0 and Σ x_k = 1. Compositions carry only relative (ratio) information. The sample space is the unit simplex S^(D-1).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Simplex S^(D-1)</w:t>
            </w:r>
          </w:p>
          <w:p>
            <w:pPr>
              <w:spacing w:after="0"/>
            </w:pPr>
            <w:r>
              <w:rPr>
                <w:rFonts w:ascii="Calibri" w:cs="Calibri" w:eastAsia="Calibri" w:hAnsi="Calibri"/>
                <w:color w:val="333344"/>
                <w:sz w:val="21"/>
                <w:szCs w:val="21"/>
              </w:rPr>
              <w:t xml:space="preserve">The (D-1)-dimensional simplex: the set of all compositions with D parts. For D=3, this is the triangle S². Aitchison geometry equips this space with an inner product, making it a Hilbert space.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Closure C(x)</w:t>
            </w:r>
          </w:p>
          <w:p>
            <w:pPr>
              <w:spacing w:after="0"/>
            </w:pPr>
            <w:r>
              <w:rPr>
                <w:rFonts w:ascii="Calibri" w:cs="Calibri" w:eastAsia="Calibri" w:hAnsi="Calibri"/>
                <w:color w:val="333344"/>
                <w:sz w:val="21"/>
                <w:szCs w:val="21"/>
              </w:rPr>
              <w:t xml:space="preserve">The closure operation: C(x)_k = x_k / Σ x_i. Forces any positive vector onto the simplex. Essential because all arithmetic on compositions must pass through closure to remain on S^(D-1).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Perturbation (p ⊕ x)</w:t>
            </w:r>
          </w:p>
          <w:p>
            <w:pPr>
              <w:spacing w:after="0"/>
            </w:pPr>
            <w:r>
              <w:rPr>
                <w:rFonts w:ascii="Calibri" w:cs="Calibri" w:eastAsia="Calibri" w:hAnsi="Calibri"/>
                <w:color w:val="333344"/>
                <w:sz w:val="21"/>
                <w:szCs w:val="21"/>
              </w:rPr>
              <w:t xml:space="preserve">The CoDa analogue of vector addition: (p ⊕ x)_k = C(p_k · x_k). Perturbation by p rescales each component by p_k, then re-closes. It is commutative, associative, and the neutral element is the barycenter (1/D, ..., 1/D).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Powering (α ⊙ x)</w:t>
            </w:r>
          </w:p>
          <w:p>
            <w:pPr>
              <w:spacing w:after="0"/>
            </w:pPr>
            <w:r>
              <w:rPr>
                <w:rFonts w:ascii="Calibri" w:cs="Calibri" w:eastAsia="Calibri" w:hAnsi="Calibri"/>
                <w:color w:val="333344"/>
                <w:sz w:val="21"/>
                <w:szCs w:val="21"/>
              </w:rPr>
              <w:t xml:space="preserve">The CoDa analogue of scalar multiplication: (α ⊙ x)_k = C(x_k^α). Raises each part to the power α and re-closes. Together with perturbation, this makes S^(D-1) a real vector space.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Aitchison Inner Product</w:t>
            </w:r>
          </w:p>
          <w:p>
            <w:pPr>
              <w:spacing w:after="0"/>
            </w:pPr>
            <w:r>
              <w:rPr>
                <w:rFonts w:ascii="Calibri" w:cs="Calibri" w:eastAsia="Calibri" w:hAnsi="Calibri"/>
                <w:color w:val="333344"/>
                <w:sz w:val="21"/>
                <w:szCs w:val="21"/>
              </w:rPr>
              <w:t xml:space="preserve">⟨x, y⟩_a = (1/2D) ΣΣ ln(x_i/x_j) · ln(y_i/y_j). Defined directly on the simplex. Induces the Aitchison norm ||x||_a = √⟨x, x⟩_a and Aitchison distance d_a(x,y) = ||x ⊖ y||_a.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Aitchison Distance</w:t>
            </w:r>
          </w:p>
          <w:p>
            <w:pPr>
              <w:spacing w:after="0"/>
            </w:pPr>
            <w:r>
              <w:rPr>
                <w:rFonts w:ascii="Calibri" w:cs="Calibri" w:eastAsia="Calibri" w:hAnsi="Calibri"/>
                <w:color w:val="333344"/>
                <w:sz w:val="21"/>
                <w:szCs w:val="21"/>
              </w:rPr>
              <w:t xml:space="preserve">d_a(x, y) = √[(1/2D) ΣΣ (ln(x_i/x_j) - ln(y_i/y_j))²]. The unique distance function compatible with the simplex vector space. Invariant under permutation, perturbation-equivariant, and scale-free.</w:t>
            </w:r>
          </w:p>
        </w:tc>
      </w:tr>
    </w:tbl>
    <w:p>
      <w:pPr>
        <w:spacing w:after="0" w:before="80"/>
      </w:pPr>
    </w:p>
    <w:p>
      <w:r>
        <w:br w:type="page"/>
      </w:r>
    </w:p>
    <w:p>
      <w:pPr>
        <w:pStyle w:val="Heading2"/>
        <w:spacing w:after="160" w:before="300"/>
      </w:pPr>
      <w:r>
        <w:rPr>
          <w:rFonts w:ascii="Georgia" w:cs="Georgia" w:eastAsia="Georgia" w:hAnsi="Georgia"/>
          <w:b/>
          <w:bCs/>
          <w:color w:val="1E2761"/>
          <w:sz w:val="28"/>
          <w:szCs w:val="28"/>
        </w:rPr>
        <w:t xml:space="preserve">2.2 Log-Ratio Transforms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ILR (Isometric Log-Ratio)</w:t>
            </w:r>
          </w:p>
          <w:p>
            <w:pPr>
              <w:spacing w:after="0"/>
            </w:pPr>
            <w:r>
              <w:rPr>
                <w:rFonts w:ascii="Calibri" w:cs="Calibri" w:eastAsia="Calibri" w:hAnsi="Calibri"/>
                <w:color w:val="333344"/>
                <w:sz w:val="21"/>
                <w:szCs w:val="21"/>
              </w:rPr>
              <w:t xml:space="preserve">An isometric isomorphism from S^D to R^(D-1). For D=3: z₁ = (1/√2) ln(x₁/x₂), z₂ = (1/√6) ln(x₁·x₂/x₃²). The ILR preserves the Aitchison inner product: ⟨x,y⟩_a = z_x · z_y (Euclidean). This is the fundamental bridge between simplex geometry and standard analysis.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CLR (Centred Log-Ratio)</w:t>
            </w:r>
          </w:p>
          <w:p>
            <w:pPr>
              <w:spacing w:after="0"/>
            </w:pPr>
            <w:r>
              <w:rPr>
                <w:rFonts w:ascii="Calibri" w:cs="Calibri" w:eastAsia="Calibri" w:hAnsi="Calibri"/>
                <w:color w:val="333344"/>
                <w:sz w:val="21"/>
                <w:szCs w:val="21"/>
              </w:rPr>
              <w:t xml:space="preserve">clr(x)_k = ln(x_k) - (1/D)Σ ln(x_i). The CLR maps to R^D but with the constraint Σ clr_k = 0. CLR coordinates are interpretable (each represents the log-dominance of one component over the geometric mean) but live in a (D-1)-dimensional subspace. CLR crossings identify compositional transitions.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ALR (Additive Log-Ratio)</w:t>
            </w:r>
          </w:p>
          <w:p>
            <w:pPr>
              <w:spacing w:after="0"/>
            </w:pPr>
            <w:r>
              <w:rPr>
                <w:rFonts w:ascii="Calibri" w:cs="Calibri" w:eastAsia="Calibri" w:hAnsi="Calibri"/>
                <w:color w:val="333344"/>
                <w:sz w:val="21"/>
                <w:szCs w:val="21"/>
              </w:rPr>
              <w:t xml:space="preserve">alr(x)_k = ln(x_k/x_D) for k = 1,...,D-1. The simplest log-ratio transform but NOT isometric: distances in ALR do not match Aitchison distances. Useful for quick computation but unsuitable for geometric analysis.</w:t>
            </w:r>
          </w:p>
        </w:tc>
      </w:tr>
    </w:tbl>
    <w:p>
      <w:pPr>
        <w:spacing w:after="0" w:before="80"/>
      </w:pPr>
    </w:p>
    <w:p>
      <w:r>
        <w:br w:type="page"/>
      </w:r>
    </w:p>
    <w:p>
      <w:pPr>
        <w:pStyle w:val="Heading2"/>
        <w:spacing w:after="160" w:before="300"/>
      </w:pPr>
      <w:r>
        <w:rPr>
          <w:rFonts w:ascii="Georgia" w:cs="Georgia" w:eastAsia="Georgia" w:hAnsi="Georgia"/>
          <w:b/>
          <w:bCs/>
          <w:color w:val="1E2761"/>
          <w:sz w:val="28"/>
          <w:szCs w:val="28"/>
        </w:rPr>
        <w:t xml:space="preserve">2.3 Geometric Concepts on the Simplex</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Aitchison Geodesic</w:t>
            </w:r>
          </w:p>
          <w:p>
            <w:pPr>
              <w:spacing w:after="0"/>
            </w:pPr>
            <w:r>
              <w:rPr>
                <w:rFonts w:ascii="Calibri" w:cs="Calibri" w:eastAsia="Calibri" w:hAnsi="Calibri"/>
                <w:color w:val="333344"/>
                <w:sz w:val="21"/>
                <w:szCs w:val="21"/>
              </w:rPr>
              <w:t xml:space="preserve">The “straight line” on the simplex: γ(t) = C(a^(1-t) · b^t) for t ∈ [0,1]. In ILR space, geodesics map to straight lines. In Cartesian (ternary diagram) space, they appear as curves. A geodesic is the shortest path between two compositions in Aitchison distance.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Aitchison Variance (Total Variance)</w:t>
            </w:r>
          </w:p>
          <w:p>
            <w:pPr>
              <w:spacing w:after="0"/>
            </w:pPr>
            <w:r>
              <w:rPr>
                <w:rFonts w:ascii="Calibri" w:cs="Calibri" w:eastAsia="Calibri" w:hAnsi="Calibri"/>
                <w:color w:val="333344"/>
                <w:sz w:val="21"/>
                <w:szCs w:val="21"/>
              </w:rPr>
              <w:t xml:space="preserve">Var_a = (1/2D) ΣΣ var(ln(x_i/x_j)). Equivalently, the trace of the ILR covariance matrix: Var_a = tr(Σ_ILR). Measures total compositional spread. The ILR isometry guarantees these are identical to machine precision (~10⁻¹⁵).</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Compositional Principal Component Analysis</w:t>
            </w:r>
          </w:p>
          <w:p>
            <w:pPr>
              <w:spacing w:after="0"/>
            </w:pPr>
            <w:r>
              <w:rPr>
                <w:rFonts w:ascii="Calibri" w:cs="Calibri" w:eastAsia="Calibri" w:hAnsi="Calibri"/>
                <w:color w:val="333344"/>
                <w:sz w:val="21"/>
                <w:szCs w:val="21"/>
              </w:rPr>
              <w:t xml:space="preserve">PCA performed in ILR coordinates. The eigenvalues of the ILR covariance matrix give the principal axes of compositional variation. The ratio λ₁/λ₂ (first eigenvalue to second) measures how strongly the trajectory is aligned with a single direction. Geodesics have λ₁/λ₂ → ∞; parabolas have finite ratios.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Cartesian Parabola</w:t>
            </w:r>
          </w:p>
          <w:p>
            <w:pPr>
              <w:spacing w:after="0"/>
            </w:pPr>
            <w:r>
              <w:rPr>
                <w:rFonts w:ascii="Calibri" w:cs="Calibri" w:eastAsia="Calibri" w:hAnsi="Calibri"/>
                <w:color w:val="333344"/>
                <w:sz w:val="21"/>
                <w:szCs w:val="21"/>
              </w:rPr>
              <w:t xml:space="preserve">A trajectory that appears as a parabola in Cartesian (ternary) coordinates. In ILR space, parabolas map to genuine quadratic curves, detectable via an F-test of z₂ = a·z₁² + b·z₁ + c. The Cartesian Parabola Theorem states: a Cartesian parabola on S² is NOT an Aitchison geodesic. The F-statistic quantifies the departure: F &gt; 10 implies parabolic, F &lt; 10 implies geodesic.</w:t>
            </w:r>
          </w:p>
        </w:tc>
      </w:tr>
    </w:tbl>
    <w:p>
      <w:pPr>
        <w:spacing w:after="0" w:before="80"/>
      </w:pPr>
    </w:p>
    <w:p>
      <w:r>
        <w:br w:type="page"/>
      </w:r>
    </w:p>
    <w:p>
      <w:pPr>
        <w:pStyle w:val="Heading2"/>
        <w:spacing w:after="160" w:before="300"/>
      </w:pPr>
      <w:r>
        <w:rPr>
          <w:rFonts w:ascii="Georgia" w:cs="Georgia" w:eastAsia="Georgia" w:hAnsi="Georgia"/>
          <w:b/>
          <w:bCs/>
          <w:color w:val="1E2761"/>
          <w:sz w:val="28"/>
          <w:szCs w:val="28"/>
        </w:rPr>
        <w:t xml:space="preserve">2.4 Diagnostic Framework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CIP (Compositional Integrity Protocol)</w:t>
            </w:r>
          </w:p>
          <w:p>
            <w:pPr>
              <w:spacing w:after="0"/>
            </w:pPr>
            <w:r>
              <w:rPr>
                <w:rFonts w:ascii="Calibri" w:cs="Calibri" w:eastAsia="Calibri" w:hAnsi="Calibri"/>
                <w:color w:val="333344"/>
                <w:sz w:val="21"/>
                <w:szCs w:val="21"/>
              </w:rPr>
              <w:t xml:space="preserve">The structured diagnostic chain used throughout the HUF programme. CIP tests whether a system’s compositional trajectory is invariant under the Aitchison geometry—i.e., whether the trajectory is a geodesic, a parabola, or a more complex curve. Each CIP contains: component labels, composition matrix, ILR coordinates, CLR traces, F-statistic, and the full calibration septuple.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EITT (Entropy-Invariant Time Transformer)</w:t>
            </w:r>
          </w:p>
          <w:p>
            <w:pPr>
              <w:spacing w:after="0"/>
            </w:pPr>
            <w:r>
              <w:rPr>
                <w:rFonts w:ascii="Calibri" w:cs="Calibri" w:eastAsia="Calibri" w:hAnsi="Calibri"/>
                <w:color w:val="333344"/>
                <w:sz w:val="21"/>
                <w:szCs w:val="21"/>
              </w:rPr>
              <w:t xml:space="preserve">A diagnostic protocol that tracks how Shannon entropy evolves along a compositional trajectory. The entropy profile H(t) = -Σ x_k(t) ln x_k(t) reveals phase transitions (entropy extrema), equilibrium points (entropy plateaux), and transport structure (entropy gradients). Used alongside CIP for complete trajectory characterization.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HCDT (Havrda-Charvát-Daróczy-Tsallis Entropy)</w:t>
            </w:r>
          </w:p>
          <w:p>
            <w:pPr>
              <w:spacing w:after="0"/>
            </w:pPr>
            <w:r>
              <w:rPr>
                <w:rFonts w:ascii="Calibri" w:cs="Calibri" w:eastAsia="Calibri" w:hAnsi="Calibri"/>
                <w:color w:val="333344"/>
                <w:sz w:val="21"/>
                <w:szCs w:val="21"/>
              </w:rPr>
              <w:t xml:space="preserve">A one-parameter family of entropies H_q = (1 - Σ x_k^q)/(q-1) that reduces to Shannon entropy as q → 1. HCDT at different q values probes different aspects of compositional structure: q &lt; 1 emphasizes rare components, q &gt; 1 emphasizes dominant components. The HCDT profile across q gives a “spectrum” of compositional order.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E2761" w:sz="6"/>
              <w:bottom w:val="single" w:color="B0C4DE" w:sz="1"/>
              <w:right w:val="single" w:color="B0C4DE" w:sz="1"/>
            </w:tcBorders>
            <w:shd w:fill="EEF2F7" w:val="clear"/>
            <w:tcMar>
              <w:top w:type="dxa" w:w="100"/>
              <w:left w:type="dxa" w:w="200"/>
              <w:bottom w:type="dxa" w:w="100"/>
              <w:right w:type="dxa" w:w="200"/>
            </w:tcMar>
          </w:tcPr>
          <w:p>
            <w:pPr>
              <w:spacing w:after="60"/>
            </w:pPr>
            <w:r>
              <w:rPr>
                <w:rFonts w:ascii="Georgia" w:cs="Georgia" w:eastAsia="Georgia" w:hAnsi="Georgia"/>
                <w:b/>
                <w:bCs/>
                <w:color w:val="1E2761"/>
                <w:sz w:val="22"/>
                <w:szCs w:val="22"/>
              </w:rPr>
              <w:t xml:space="preserve">Calibration Septuple (θ, σ, λ, t*, α, K, φ)</w:t>
            </w:r>
          </w:p>
          <w:p>
            <w:pPr>
              <w:spacing w:after="0"/>
            </w:pPr>
            <w:r>
              <w:rPr>
                <w:rFonts w:ascii="Calibri" w:cs="Calibri" w:eastAsia="Calibri" w:hAnsi="Calibri"/>
                <w:color w:val="333344"/>
                <w:sz w:val="21"/>
                <w:szCs w:val="21"/>
              </w:rPr>
              <w:t xml:space="preserve">The seven display-calibration parameters that together provide a complete, coordinate-free fingerprint for any D=3 compositional trajectory. Each parameter is proven to equal a named quantity in Aitchison geometry. See Section 5 for the full theorem statements.</w:t>
            </w:r>
          </w:p>
        </w:tc>
      </w:tr>
    </w:tbl>
    <w:p>
      <w:pPr>
        <w:spacing w:after="0" w:before="80"/>
      </w:pPr>
    </w:p>
    <w:p>
      <w:r>
        <w:br w:type="page"/>
      </w:r>
    </w:p>
    <w:p>
      <w:pPr>
        <w:pStyle w:val="Heading1"/>
        <w:spacing w:after="200" w:before="400"/>
      </w:pPr>
      <w:r>
        <w:rPr>
          <w:rFonts w:ascii="Georgia" w:cs="Georgia" w:eastAsia="Georgia" w:hAnsi="Georgia"/>
          <w:b/>
          <w:bCs/>
          <w:color w:val="1E2761"/>
          <w:sz w:val="36"/>
          <w:szCs w:val="36"/>
        </w:rPr>
        <w:t xml:space="preserve">3. Mathematical Framework</w:t>
      </w:r>
    </w:p>
    <w:p>
      <w:pPr>
        <w:pStyle w:val="Heading2"/>
        <w:spacing w:after="160" w:before="300"/>
      </w:pPr>
      <w:r>
        <w:rPr>
          <w:rFonts w:ascii="Georgia" w:cs="Georgia" w:eastAsia="Georgia" w:hAnsi="Georgia"/>
          <w:b/>
          <w:bCs/>
          <w:color w:val="1E2761"/>
          <w:sz w:val="28"/>
          <w:szCs w:val="28"/>
        </w:rPr>
        <w:t xml:space="preserve">3.1 The Aitchison Simplex</w:t>
      </w:r>
    </w:p>
    <w:p>
      <w:pPr>
        <w:spacing w:after="160" w:line="320"/>
        <w:jc w:val="both"/>
      </w:pPr>
      <w:r>
        <w:rPr>
          <w:rFonts w:ascii="Calibri" w:cs="Calibri" w:eastAsia="Calibri" w:hAnsi="Calibri"/>
          <w:color w:val="333344"/>
          <w:sz w:val="23"/>
          <w:szCs w:val="23"/>
        </w:rPr>
        <w:t xml:space="preserve">The sample space for D-part compositions is the open simplex:</w:t>
      </w:r>
    </w:p>
    <w:p>
      <w:pPr>
        <w:spacing w:after="120" w:before="120"/>
        <w:jc w:val="center"/>
      </w:pPr>
      <w:r>
        <w:rPr>
          <w:rFonts w:ascii="Consolas" w:cs="Consolas" w:eastAsia="Consolas" w:hAnsi="Consolas"/>
          <w:color w:val="1A1A2E"/>
          <w:sz w:val="22"/>
          <w:szCs w:val="22"/>
        </w:rPr>
        <w:t xml:space="preserve">Sᵈ⁻¹ = { x ∈ Rᵈ : x_k &gt; 0 for all k, Σ x_k = 1 }</w:t>
      </w:r>
    </w:p>
    <w:p>
      <w:pPr>
        <w:spacing w:after="160" w:line="320"/>
        <w:jc w:val="both"/>
      </w:pPr>
      <w:r>
        <w:rPr>
          <w:rFonts w:ascii="Calibri" w:cs="Calibri" w:eastAsia="Calibri" w:hAnsi="Calibri"/>
          <w:color w:val="333344"/>
          <w:sz w:val="23"/>
          <w:szCs w:val="23"/>
        </w:rPr>
        <w:t xml:space="preserve">Aitchison (1982) proved that Sᵈ⁻¹ equipped with perturbation (⊕) and powering (⊙) forms a (D-1)-dimensional real vector space. The Aitchison inner product:</w:t>
      </w:r>
    </w:p>
    <w:p>
      <w:pPr>
        <w:spacing w:after="120" w:before="120"/>
        <w:jc w:val="center"/>
      </w:pPr>
      <w:r>
        <w:rPr>
          <w:rFonts w:ascii="Consolas" w:cs="Consolas" w:eastAsia="Consolas" w:hAnsi="Consolas"/>
          <w:color w:val="1A1A2E"/>
          <w:sz w:val="22"/>
          <w:szCs w:val="22"/>
        </w:rPr>
        <w:t xml:space="preserve">⟨x, y⟩_a = (1/2D) Σ_{i&lt;j} ln(x_i/x_j) · ln(y_i/y_j)</w:t>
      </w:r>
    </w:p>
    <w:p>
      <w:pPr>
        <w:spacing w:after="160" w:line="320"/>
        <w:jc w:val="both"/>
      </w:pPr>
      <w:r>
        <w:rPr>
          <w:rFonts w:ascii="Calibri" w:cs="Calibri" w:eastAsia="Calibri" w:hAnsi="Calibri"/>
          <w:color w:val="333344"/>
          <w:sz w:val="23"/>
          <w:szCs w:val="23"/>
        </w:rPr>
        <w:t xml:space="preserve">makes this vector space a Hilbert space, with induced norm ||x||_a and distance d_a(x,y). This is the unique inner product that is invariant under permutation of components and equivariant under perturbation.</w:t>
      </w:r>
    </w:p>
    <w:p>
      <w:pPr>
        <w:pStyle w:val="Heading2"/>
        <w:spacing w:after="160" w:before="300"/>
      </w:pPr>
      <w:r>
        <w:rPr>
          <w:rFonts w:ascii="Georgia" w:cs="Georgia" w:eastAsia="Georgia" w:hAnsi="Georgia"/>
          <w:b/>
          <w:bCs/>
          <w:color w:val="1E2761"/>
          <w:sz w:val="28"/>
          <w:szCs w:val="28"/>
        </w:rPr>
        <w:t xml:space="preserve">3.2 The ILR Transform</w:t>
      </w:r>
    </w:p>
    <w:p>
      <w:pPr>
        <w:spacing w:after="160" w:line="320"/>
        <w:jc w:val="both"/>
      </w:pPr>
      <w:r>
        <w:rPr>
          <w:rFonts w:ascii="Calibri" w:cs="Calibri" w:eastAsia="Calibri" w:hAnsi="Calibri"/>
          <w:color w:val="333344"/>
          <w:sz w:val="23"/>
          <w:szCs w:val="23"/>
        </w:rPr>
        <w:t xml:space="preserve">The ILR (Isometric Log-Ratio) transform provides a bijective isometry between (Sᵈ⁻¹, ⟨·,·⟩_a) and (Rᵈ⁻¹, ⟨·,·⟩_Euclidean). For D=3 with the Helmert sub-basis:</w:t>
      </w:r>
    </w:p>
    <w:p>
      <w:pPr>
        <w:spacing w:after="120" w:before="120"/>
        <w:jc w:val="center"/>
      </w:pPr>
      <w:r>
        <w:rPr>
          <w:rFonts w:ascii="Consolas" w:cs="Consolas" w:eastAsia="Consolas" w:hAnsi="Consolas"/>
          <w:color w:val="1A1A2E"/>
          <w:sz w:val="22"/>
          <w:szCs w:val="22"/>
        </w:rPr>
        <w:t xml:space="preserve">z₁ = (1/√2) ln(x₁/x₂)</w:t>
      </w:r>
    </w:p>
    <w:p>
      <w:pPr>
        <w:spacing w:after="120" w:before="120"/>
        <w:jc w:val="center"/>
      </w:pPr>
      <w:r>
        <w:rPr>
          <w:rFonts w:ascii="Consolas" w:cs="Consolas" w:eastAsia="Consolas" w:hAnsi="Consolas"/>
          <w:color w:val="1A1A2E"/>
          <w:sz w:val="22"/>
          <w:szCs w:val="22"/>
        </w:rPr>
        <w:t xml:space="preserve">z₂ = (1/√6) ln(x₁ · x₂ / x₃²)</w:t>
      </w:r>
    </w:p>
    <w:p>
      <w:pPr>
        <w:spacing w:after="160" w:line="320"/>
        <w:jc w:val="both"/>
      </w:pPr>
      <w:r>
        <w:rPr>
          <w:rFonts w:ascii="Calibri" w:cs="Calibri" w:eastAsia="Calibri" w:hAnsi="Calibri"/>
          <w:color w:val="333344"/>
          <w:sz w:val="23"/>
          <w:szCs w:val="23"/>
        </w:rPr>
        <w:t xml:space="preserve">The fundamental property is isometry: for any two compositions x, y:</w:t>
      </w:r>
    </w:p>
    <w:p>
      <w:pPr>
        <w:spacing w:after="120" w:before="120"/>
        <w:jc w:val="center"/>
      </w:pPr>
      <w:r>
        <w:rPr>
          <w:rFonts w:ascii="Consolas" w:cs="Consolas" w:eastAsia="Consolas" w:hAnsi="Consolas"/>
          <w:color w:val="1A1A2E"/>
          <w:sz w:val="22"/>
          <w:szCs w:val="22"/>
        </w:rPr>
        <w:t xml:space="preserve">d_a(x, y) = ||ilr(x) - ilr(y)||_Euclidean</w:t>
      </w:r>
    </w:p>
    <w:p>
      <w:pPr>
        <w:spacing w:after="120" w:before="120"/>
        <w:jc w:val="center"/>
      </w:pPr>
      <w:r>
        <w:rPr>
          <w:rFonts w:ascii="Consolas" w:cs="Consolas" w:eastAsia="Consolas" w:hAnsi="Consolas"/>
          <w:color w:val="1A1A2E"/>
          <w:sz w:val="22"/>
          <w:szCs w:val="22"/>
        </w:rPr>
        <w:t xml:space="preserve">⟨x, y⟩_a = ilr(x) · ilr(y)</w:t>
      </w:r>
    </w:p>
    <w:p>
      <w:pPr>
        <w:spacing w:after="160" w:line="320"/>
        <w:jc w:val="both"/>
      </w:pPr>
      <w:r>
        <w:rPr>
          <w:rFonts w:ascii="Calibri" w:cs="Calibri" w:eastAsia="Calibri" w:hAnsi="Calibri"/>
          <w:color w:val="333344"/>
          <w:sz w:val="23"/>
          <w:szCs w:val="23"/>
        </w:rPr>
        <w:t xml:space="preserve">This isometry is verified numerically to machine precision (|Var_a - Var_ILR|/Var_a &lt; 10⁻¹⁵) across all systems tested. It is the theoretical foundation for everything that follows: any geometric quantity computed in ILR space is guaranteed to equal its Aitchison simplex counterpart.</w:t>
      </w:r>
    </w:p>
    <w:p>
      <w:pPr>
        <w:pStyle w:val="Heading2"/>
        <w:spacing w:after="160" w:before="300"/>
      </w:pPr>
      <w:r>
        <w:rPr>
          <w:rFonts w:ascii="Georgia" w:cs="Georgia" w:eastAsia="Georgia" w:hAnsi="Georgia"/>
          <w:b/>
          <w:bCs/>
          <w:color w:val="1E2761"/>
          <w:sz w:val="28"/>
          <w:szCs w:val="28"/>
        </w:rPr>
        <w:t xml:space="preserve">3.3 The CLR Transform</w:t>
      </w:r>
    </w:p>
    <w:p>
      <w:pPr>
        <w:spacing w:after="160" w:line="320"/>
        <w:jc w:val="both"/>
      </w:pPr>
      <w:r>
        <w:rPr>
          <w:rFonts w:ascii="Calibri" w:cs="Calibri" w:eastAsia="Calibri" w:hAnsi="Calibri"/>
          <w:color w:val="333344"/>
          <w:sz w:val="23"/>
          <w:szCs w:val="23"/>
        </w:rPr>
        <w:t xml:space="preserve">The CLR (Centred Log-Ratio) maps each composition to D coordinates:</w:t>
      </w:r>
    </w:p>
    <w:p>
      <w:pPr>
        <w:spacing w:after="120" w:before="120"/>
        <w:jc w:val="center"/>
      </w:pPr>
      <w:r>
        <w:rPr>
          <w:rFonts w:ascii="Consolas" w:cs="Consolas" w:eastAsia="Consolas" w:hAnsi="Consolas"/>
          <w:color w:val="1A1A2E"/>
          <w:sz w:val="22"/>
          <w:szCs w:val="22"/>
        </w:rPr>
        <w:t xml:space="preserve">clr(x)_k = ln(x_k) - (1/D) Σ ln(x_i)     for k = 1,...,D</w:t>
      </w:r>
    </w:p>
    <w:p>
      <w:pPr>
        <w:spacing w:after="160" w:line="320"/>
        <w:jc w:val="both"/>
      </w:pPr>
      <w:r>
        <w:rPr>
          <w:rFonts w:ascii="Calibri" w:cs="Calibri" w:eastAsia="Calibri" w:hAnsi="Calibri"/>
          <w:color w:val="333344"/>
          <w:sz w:val="23"/>
          <w:szCs w:val="23"/>
        </w:rPr>
        <w:t xml:space="preserve">CLR coordinates are directly interpretable: clr_k &gt; 0 means component k exceeds the geometric mean of all components. The constraint Σ clr_k = 0 means CLR lives in a (D-1)-dimensional hyperplane. CLR crossings (where clr_i = clr_j for i ≠ j) identify compositional transition points.</w:t>
      </w:r>
    </w:p>
    <w:p>
      <w:pPr>
        <w:pStyle w:val="Heading2"/>
        <w:spacing w:after="160" w:before="300"/>
      </w:pPr>
      <w:r>
        <w:rPr>
          <w:rFonts w:ascii="Georgia" w:cs="Georgia" w:eastAsia="Georgia" w:hAnsi="Georgia"/>
          <w:b/>
          <w:bCs/>
          <w:color w:val="1E2761"/>
          <w:sz w:val="28"/>
          <w:szCs w:val="28"/>
        </w:rPr>
        <w:t xml:space="preserve">3.4 Geodesics and Parabolas</w:t>
      </w:r>
    </w:p>
    <w:p>
      <w:pPr>
        <w:spacing w:after="160" w:line="320"/>
        <w:jc w:val="both"/>
      </w:pPr>
      <w:r>
        <w:rPr>
          <w:rFonts w:ascii="Calibri" w:cs="Calibri" w:eastAsia="Calibri" w:hAnsi="Calibri"/>
          <w:color w:val="333344"/>
          <w:sz w:val="23"/>
          <w:szCs w:val="23"/>
        </w:rPr>
        <w:t xml:space="preserve">An Aitchison geodesic is the simplex analogue of a straight line:</w:t>
      </w:r>
    </w:p>
    <w:p>
      <w:pPr>
        <w:spacing w:after="120" w:before="120"/>
        <w:jc w:val="center"/>
      </w:pPr>
      <w:r>
        <w:rPr>
          <w:rFonts w:ascii="Consolas" w:cs="Consolas" w:eastAsia="Consolas" w:hAnsi="Consolas"/>
          <w:color w:val="1A1A2E"/>
          <w:sz w:val="22"/>
          <w:szCs w:val="22"/>
        </w:rPr>
        <w:t xml:space="preserve">γ(t) = C(a^(1-t) ⊙ b^t)     for t ∈ [0,1]</w:t>
      </w:r>
    </w:p>
    <w:p>
      <w:pPr>
        <w:spacing w:after="160" w:line="320"/>
        <w:jc w:val="both"/>
      </w:pPr>
      <w:r>
        <w:rPr>
          <w:rFonts w:ascii="Calibri" w:cs="Calibri" w:eastAsia="Calibri" w:hAnsi="Calibri"/>
          <w:color w:val="333344"/>
          <w:sz w:val="23"/>
          <w:szCs w:val="23"/>
        </w:rPr>
        <w:t xml:space="preserve">Under the ILR transform, geodesics become straight lines in R². Conversely, a trajectory that traces a parabola in Cartesian (ternary) coordinates maps to a quadratic curve in ILR space. The Cartesian Parabola Theorem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77D" w:sz="1"/>
              <w:left w:val="single" w:color="D4A843" w:sz="6"/>
              <w:bottom w:val="single" w:color="C9B77D" w:sz="1"/>
              <w:right w:val="single" w:color="C9B77D" w:sz="1"/>
            </w:tcBorders>
            <w:shd w:fill="F0EDE4" w:val="clear"/>
            <w:tcMar>
              <w:top w:type="dxa" w:w="100"/>
              <w:left w:type="dxa" w:w="200"/>
              <w:bottom w:type="dxa" w:w="100"/>
              <w:right w:type="dxa" w:w="200"/>
            </w:tcMar>
          </w:tcPr>
          <w:p>
            <w:pPr>
              <w:spacing w:after="60"/>
            </w:pPr>
            <w:r>
              <w:rPr>
                <w:rFonts w:ascii="Georgia" w:cs="Georgia" w:eastAsia="Georgia" w:hAnsi="Georgia"/>
                <w:b/>
                <w:bCs/>
                <w:color w:val="D4A843"/>
                <w:sz w:val="22"/>
                <w:szCs w:val="22"/>
              </w:rPr>
              <w:t xml:space="preserve">Cartesian Parabola Theorem</w:t>
            </w:r>
          </w:p>
          <w:p>
            <w:pPr>
              <w:spacing w:after="0"/>
            </w:pPr>
            <w:r>
              <w:rPr>
                <w:rFonts w:ascii="Calibri" w:cs="Calibri" w:eastAsia="Calibri" w:hAnsi="Calibri"/>
                <w:i/>
                <w:iCs/>
                <w:color w:val="333344"/>
                <w:sz w:val="21"/>
                <w:szCs w:val="21"/>
              </w:rPr>
              <w:t xml:space="preserve">A trajectory on S² that traces a parabola in Cartesian ternary coordinates is NOT an Aitchison geodesic. The converse also holds: a non-geodesic trajectory with a single inflection in the ILR quadratic fit is a Cartesian parabola.</w:t>
            </w:r>
          </w:p>
        </w:tc>
      </w:tr>
    </w:tbl>
    <w:p>
      <w:pPr>
        <w:spacing w:after="0" w:before="80"/>
      </w:pPr>
    </w:p>
    <w:p>
      <w:pPr>
        <w:spacing w:after="160" w:line="320"/>
        <w:jc w:val="both"/>
      </w:pPr>
      <w:r>
        <w:rPr>
          <w:rFonts w:ascii="Calibri" w:cs="Calibri" w:eastAsia="Calibri" w:hAnsi="Calibri"/>
          <w:color w:val="333344"/>
          <w:sz w:val="23"/>
          <w:szCs w:val="23"/>
        </w:rPr>
        <w:t xml:space="preserve">The classification is determined by an F-statistic computed from the ILR quadratic regression z₂ = a·z₁² + b·z₁ + c. When F &gt; 10, the quadratic term is highly significant and the trajectory is classified as a parabola. When F &lt; 10, the trajectory is consistent with a geodesic (linear fit in ILR space).</w:t>
      </w:r>
    </w:p>
    <w:p>
      <w:r>
        <w:br w:type="page"/>
      </w:r>
    </w:p>
    <w:p>
      <w:pPr>
        <w:pStyle w:val="Heading1"/>
        <w:spacing w:after="200" w:before="400"/>
      </w:pPr>
      <w:r>
        <w:rPr>
          <w:rFonts w:ascii="Georgia" w:cs="Georgia" w:eastAsia="Georgia" w:hAnsi="Georgia"/>
          <w:b/>
          <w:bCs/>
          <w:color w:val="1E2761"/>
          <w:sz w:val="36"/>
          <w:szCs w:val="36"/>
        </w:rPr>
        <w:t xml:space="preserve">4. The CIP Structure in Action</w:t>
      </w:r>
    </w:p>
    <w:p>
      <w:pPr>
        <w:spacing w:after="160" w:line="320"/>
        <w:jc w:val="both"/>
      </w:pPr>
      <w:r>
        <w:rPr>
          <w:rFonts w:ascii="Calibri" w:cs="Calibri" w:eastAsia="Calibri" w:hAnsi="Calibri"/>
          <w:color w:val="333344"/>
          <w:sz w:val="23"/>
          <w:szCs w:val="23"/>
        </w:rPr>
        <w:t xml:space="preserve">The Compositional Integrity Protocol (CIP) is the structured diagnostic chain that drives EXP-13. For each system under study, the CIP proceeds through five layers:</w:t>
      </w:r>
    </w:p>
    <w:p>
      <w:pPr>
        <w:pStyle w:val="Heading3"/>
        <w:spacing w:after="120" w:before="240"/>
      </w:pPr>
      <w:r>
        <w:rPr>
          <w:rFonts w:ascii="Georgia" w:cs="Georgia" w:eastAsia="Georgia" w:hAnsi="Georgia"/>
          <w:b/>
          <w:bCs/>
          <w:color w:val="1E2761"/>
          <w:sz w:val="24"/>
          <w:szCs w:val="24"/>
        </w:rPr>
        <w:t xml:space="preserve">Layer 1: Composition Extraction</w:t>
      </w:r>
    </w:p>
    <w:p>
      <w:pPr>
        <w:spacing w:after="160" w:line="320"/>
        <w:jc w:val="both"/>
      </w:pPr>
      <w:r>
        <w:rPr>
          <w:rFonts w:ascii="Calibri" w:cs="Calibri" w:eastAsia="Calibri" w:hAnsi="Calibri"/>
          <w:color w:val="333344"/>
          <w:sz w:val="23"/>
          <w:szCs w:val="23"/>
        </w:rPr>
        <w:t xml:space="preserve">Raw data (physical measurements, simulation outputs, or parametric model evaluations) are mapped onto the simplex via closure. For D=3 systems, each data point becomes a triple (x₁, x₂, x₃) with x₁ + x₂ + x₃ = 1. This step enforces the compositional constraint and removes scale dependence.</w:t>
      </w:r>
    </w:p>
    <w:p>
      <w:pPr>
        <w:pStyle w:val="Heading3"/>
        <w:spacing w:after="120" w:before="240"/>
      </w:pPr>
      <w:r>
        <w:rPr>
          <w:rFonts w:ascii="Georgia" w:cs="Georgia" w:eastAsia="Georgia" w:hAnsi="Georgia"/>
          <w:b/>
          <w:bCs/>
          <w:color w:val="1E2761"/>
          <w:sz w:val="24"/>
          <w:szCs w:val="24"/>
        </w:rPr>
        <w:t xml:space="preserve">Layer 2: Log-Ratio Transform</w:t>
      </w:r>
    </w:p>
    <w:p>
      <w:pPr>
        <w:spacing w:after="160" w:line="320"/>
        <w:jc w:val="both"/>
      </w:pPr>
      <w:r>
        <w:rPr>
          <w:rFonts w:ascii="Calibri" w:cs="Calibri" w:eastAsia="Calibri" w:hAnsi="Calibri"/>
          <w:color w:val="333344"/>
          <w:sz w:val="23"/>
          <w:szCs w:val="23"/>
        </w:rPr>
        <w:t xml:space="preserve">The compositions are transformed via ILR to obtain coordinates z = (z₁, z₂) in R², and via CLR to obtain interpretable coordinates clr = (clr₁, clr₂, clr₃) with Σ clr_k = 0. The ILR representation is used for all geometric computations; the CLR representation is used for interpretation and visualization.</w:t>
      </w:r>
    </w:p>
    <w:p>
      <w:pPr>
        <w:pStyle w:val="Heading3"/>
        <w:spacing w:after="120" w:before="240"/>
      </w:pPr>
      <w:r>
        <w:rPr>
          <w:rFonts w:ascii="Georgia" w:cs="Georgia" w:eastAsia="Georgia" w:hAnsi="Georgia"/>
          <w:b/>
          <w:bCs/>
          <w:color w:val="1E2761"/>
          <w:sz w:val="24"/>
          <w:szCs w:val="24"/>
        </w:rPr>
        <w:t xml:space="preserve">Layer 3: Geometric Classification</w:t>
      </w:r>
    </w:p>
    <w:p>
      <w:pPr>
        <w:spacing w:after="160" w:line="320"/>
        <w:jc w:val="both"/>
      </w:pPr>
      <w:r>
        <w:rPr>
          <w:rFonts w:ascii="Calibri" w:cs="Calibri" w:eastAsia="Calibri" w:hAnsi="Calibri"/>
          <w:color w:val="333344"/>
          <w:sz w:val="23"/>
          <w:szCs w:val="23"/>
        </w:rPr>
        <w:t xml:space="preserve">A quadratic model z₂ = a·z₁² + b·z₁ + c is fitted to the ILR trajectory. The F-statistic for the quadratic coefficient a determines the geometric class. Simultaneously, the ILR covariance matrix is computed, its eigenvalues extracted, and the eigenvalue ratio λ₁/λ₂ recorded as the trajectory’s condition number.</w:t>
      </w:r>
    </w:p>
    <w:p>
      <w:pPr>
        <w:pStyle w:val="Heading3"/>
        <w:spacing w:after="120" w:before="240"/>
      </w:pPr>
      <w:r>
        <w:rPr>
          <w:rFonts w:ascii="Georgia" w:cs="Georgia" w:eastAsia="Georgia" w:hAnsi="Georgia"/>
          <w:b/>
          <w:bCs/>
          <w:color w:val="1E2761"/>
          <w:sz w:val="24"/>
          <w:szCs w:val="24"/>
        </w:rPr>
        <w:t xml:space="preserve">Layer 4: Calibration Septuple</w:t>
      </w:r>
    </w:p>
    <w:p>
      <w:pPr>
        <w:spacing w:after="160" w:line="320"/>
        <w:jc w:val="both"/>
      </w:pPr>
      <w:r>
        <w:rPr>
          <w:rFonts w:ascii="Calibri" w:cs="Calibri" w:eastAsia="Calibri" w:hAnsi="Calibri"/>
          <w:color w:val="333344"/>
          <w:sz w:val="23"/>
          <w:szCs w:val="23"/>
        </w:rPr>
        <w:t xml:space="preserve">The seven display parameters (θ, σ, λ, t*, α, K, φ) are computed. Each is both a display calibration value and a named Aitchison geometric quantity (see Section 5). Together they form a coordinate-free fingerprint that characterizes the trajectory independently of how it was generated.</w:t>
      </w:r>
    </w:p>
    <w:p>
      <w:pPr>
        <w:pStyle w:val="Heading3"/>
        <w:spacing w:after="120" w:before="240"/>
      </w:pPr>
      <w:r>
        <w:rPr>
          <w:rFonts w:ascii="Georgia" w:cs="Georgia" w:eastAsia="Georgia" w:hAnsi="Georgia"/>
          <w:b/>
          <w:bCs/>
          <w:color w:val="1E2761"/>
          <w:sz w:val="24"/>
          <w:szCs w:val="24"/>
        </w:rPr>
        <w:t xml:space="preserve">Layer 5: Diagnostic Cross-Comparison</w:t>
      </w:r>
    </w:p>
    <w:p>
      <w:pPr>
        <w:spacing w:after="160" w:line="320"/>
        <w:jc w:val="both"/>
      </w:pPr>
      <w:r>
        <w:rPr>
          <w:rFonts w:ascii="Calibri" w:cs="Calibri" w:eastAsia="Calibri" w:hAnsi="Calibri"/>
          <w:color w:val="333344"/>
          <w:sz w:val="23"/>
          <w:szCs w:val="23"/>
        </w:rPr>
        <w:t xml:space="preserve">The calibration septuples of all systems are compared in parameter space, revealing families of geometrically similar trajectories. Systems from entirely different physical domains (e.g., stellar nucleosynthesis and electricity generation) may share calibration fingerprints, indicating shared compositional structure despite different physics.</w:t>
      </w:r>
    </w:p>
    <w:p>
      <w:r>
        <w:br w:type="page"/>
      </w:r>
    </w:p>
    <w:p>
      <w:pPr>
        <w:pStyle w:val="Heading1"/>
        <w:spacing w:after="200" w:before="400"/>
      </w:pPr>
      <w:r>
        <w:rPr>
          <w:rFonts w:ascii="Georgia" w:cs="Georgia" w:eastAsia="Georgia" w:hAnsi="Georgia"/>
          <w:b/>
          <w:bCs/>
          <w:color w:val="1E2761"/>
          <w:sz w:val="36"/>
          <w:szCs w:val="36"/>
        </w:rPr>
        <w:t xml:space="preserve">5. The Seven Calibration Theorems</w:t>
      </w:r>
    </w:p>
    <w:p>
      <w:pPr>
        <w:spacing w:after="160" w:line="320"/>
        <w:jc w:val="both"/>
      </w:pPr>
      <w:r>
        <w:rPr>
          <w:rFonts w:ascii="Calibri" w:cs="Calibri" w:eastAsia="Calibri" w:hAnsi="Calibri"/>
          <w:color w:val="333344"/>
          <w:sz w:val="23"/>
          <w:szCs w:val="23"/>
        </w:rPr>
        <w:t xml:space="preserve">We now state and interpret each theorem. Full proofs with numerical verification are given in the companion document “The Calibration Proof: EITT on the Aitchison Simplex.” The key result is that each of the seven display parameters corresponds exactly to a named quantity in Aitchison geometry.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77D" w:sz="1"/>
              <w:left w:val="single" w:color="D4A843" w:sz="6"/>
              <w:bottom w:val="single" w:color="C9B77D" w:sz="1"/>
              <w:right w:val="single" w:color="C9B77D" w:sz="1"/>
            </w:tcBorders>
            <w:shd w:fill="F0EDE4" w:val="clear"/>
            <w:tcMar>
              <w:top w:type="dxa" w:w="100"/>
              <w:left w:type="dxa" w:w="200"/>
              <w:bottom w:type="dxa" w:w="100"/>
              <w:right w:type="dxa" w:w="200"/>
            </w:tcMar>
          </w:tcPr>
          <w:p>
            <w:pPr>
              <w:spacing w:after="60"/>
            </w:pPr>
            <w:r>
              <w:rPr>
                <w:rFonts w:ascii="Georgia" w:cs="Georgia" w:eastAsia="Georgia" w:hAnsi="Georgia"/>
                <w:b/>
                <w:bCs/>
                <w:color w:val="D4A843"/>
                <w:sz w:val="22"/>
                <w:szCs w:val="22"/>
              </w:rPr>
              <w:t xml:space="preserve">Theorem 1 (Rotation θ = CLR Critical-Point Direction)</w:t>
            </w:r>
          </w:p>
          <w:p>
            <w:pPr>
              <w:spacing w:after="0"/>
            </w:pPr>
            <w:r>
              <w:rPr>
                <w:rFonts w:ascii="Calibri" w:cs="Calibri" w:eastAsia="Calibri" w:hAnsi="Calibri"/>
                <w:i/>
                <w:iCs/>
                <w:color w:val="333344"/>
                <w:sz w:val="21"/>
                <w:szCs w:val="21"/>
              </w:rPr>
              <w:t xml:space="preserve">The optimal display rotation angle θ that places the apex component (the one with maximum CLR variance) at the top of the ternary diagram equals the CLR critical-point direction: θ = argmax_k Var(clr_k) · (120° · k).</w:t>
            </w:r>
          </w:p>
        </w:tc>
      </w:tr>
    </w:tbl>
    <w:p>
      <w:pPr>
        <w:spacing w:after="0" w:before="60"/>
      </w:pPr>
    </w:p>
    <w:p>
      <w:pPr>
        <w:spacing w:after="160" w:line="320"/>
        <w:jc w:val="both"/>
      </w:pPr>
      <w:r>
        <w:rPr>
          <w:rFonts w:ascii="Calibri" w:cs="Calibri" w:eastAsia="Calibri" w:hAnsi="Calibri"/>
          <w:color w:val="333344"/>
          <w:sz w:val="23"/>
          <w:szCs w:val="23"/>
        </w:rPr>
        <w:t xml:space="preserve">The rotation reveals which component mediates the physical process. In stellar burning, θ = 120° places CNO at the apex, identifying it as the catalyst cycle. In QCD running coupling, θ = 0° places the strong force at the apex. In real electricity data, the rotation identifies the fuel undergoing the largest structural transition.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77D" w:sz="1"/>
              <w:left w:val="single" w:color="D4A843" w:sz="6"/>
              <w:bottom w:val="single" w:color="C9B77D" w:sz="1"/>
              <w:right w:val="single" w:color="C9B77D" w:sz="1"/>
            </w:tcBorders>
            <w:shd w:fill="F0EDE4" w:val="clear"/>
            <w:tcMar>
              <w:top w:type="dxa" w:w="100"/>
              <w:left w:type="dxa" w:w="200"/>
              <w:bottom w:type="dxa" w:w="100"/>
              <w:right w:type="dxa" w:w="200"/>
            </w:tcMar>
          </w:tcPr>
          <w:p>
            <w:pPr>
              <w:spacing w:after="60"/>
            </w:pPr>
            <w:r>
              <w:rPr>
                <w:rFonts w:ascii="Georgia" w:cs="Georgia" w:eastAsia="Georgia" w:hAnsi="Georgia"/>
                <w:b/>
                <w:bCs/>
                <w:color w:val="D4A843"/>
                <w:sz w:val="22"/>
                <w:szCs w:val="22"/>
              </w:rPr>
              <w:t xml:space="preserve">Theorem 2 (Lift λ = Aitchison Geodesic Deviation)</w:t>
            </w:r>
          </w:p>
          <w:p>
            <w:pPr>
              <w:spacing w:after="0"/>
            </w:pPr>
            <w:r>
              <w:rPr>
                <w:rFonts w:ascii="Calibri" w:cs="Calibri" w:eastAsia="Calibri" w:hAnsi="Calibri"/>
                <w:i/>
                <w:iCs/>
                <w:color w:val="333344"/>
                <w:sz w:val="21"/>
                <w:szCs w:val="21"/>
              </w:rPr>
              <w:t xml:space="preserve">The maximum perpendicular distance from the trajectory to the geodesic connecting its endpoints, measured in ILR space, equals the Aitchison geodesic deviation λ. Formally: λ = max_t d_⊥(z(t), L) where L is the line from z(0) to z(1) in ILR coordinates.</w:t>
            </w:r>
          </w:p>
        </w:tc>
      </w:tr>
    </w:tbl>
    <w:p>
      <w:pPr>
        <w:spacing w:after="0" w:before="60"/>
      </w:pPr>
    </w:p>
    <w:p>
      <w:pPr>
        <w:spacing w:after="160" w:line="320"/>
        <w:jc w:val="both"/>
      </w:pPr>
      <w:r>
        <w:rPr>
          <w:rFonts w:ascii="Calibri" w:cs="Calibri" w:eastAsia="Calibri" w:hAnsi="Calibri"/>
          <w:color w:val="333344"/>
          <w:sz w:val="23"/>
          <w:szCs w:val="23"/>
        </w:rPr>
        <w:t xml:space="preserve">The lift measures how far the trajectory departs from a straight path in simplex geometry. Geodesics have λ ≈ 0; parabolas have λ &gt; 0. In the Kerr black hole system, λ = 0.32, indicating substantial departure as rotational energy redistributes. In China’s electricity data, λ = 0.44, reflecting the dramatic compositional restructuring of its power grid.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77D" w:sz="1"/>
              <w:left w:val="single" w:color="D4A843" w:sz="6"/>
              <w:bottom w:val="single" w:color="C9B77D" w:sz="1"/>
              <w:right w:val="single" w:color="C9B77D" w:sz="1"/>
            </w:tcBorders>
            <w:shd w:fill="F0EDE4" w:val="clear"/>
            <w:tcMar>
              <w:top w:type="dxa" w:w="100"/>
              <w:left w:type="dxa" w:w="200"/>
              <w:bottom w:type="dxa" w:w="100"/>
              <w:right w:type="dxa" w:w="200"/>
            </w:tcMar>
          </w:tcPr>
          <w:p>
            <w:pPr>
              <w:spacing w:after="60"/>
            </w:pPr>
            <w:r>
              <w:rPr>
                <w:rFonts w:ascii="Georgia" w:cs="Georgia" w:eastAsia="Georgia" w:hAnsi="Georgia"/>
                <w:b/>
                <w:bCs/>
                <w:color w:val="D4A843"/>
                <w:sz w:val="22"/>
                <w:szCs w:val="22"/>
              </w:rPr>
              <w:t xml:space="preserve">Theorem 3 (Coverage σ = Total Aitchison Variance)</w:t>
            </w:r>
          </w:p>
          <w:p>
            <w:pPr>
              <w:spacing w:after="0"/>
            </w:pPr>
            <w:r>
              <w:rPr>
                <w:rFonts w:ascii="Calibri" w:cs="Calibri" w:eastAsia="Calibri" w:hAnsi="Calibri"/>
                <w:i/>
                <w:iCs/>
                <w:color w:val="333344"/>
                <w:sz w:val="21"/>
                <w:szCs w:val="21"/>
              </w:rPr>
              <w:t xml:space="preserve">The display coverage parameter σ equals the total Aitchison variance: σ = Var_a = (1/2D) ΣΣ Var(ln(x_i/x_j)) = tr(Σ_ILR). The ILR isometry guarantees |Var_a - Var_ILR|/Var_a &lt; 10⁻¹⁵.</w:t>
            </w:r>
          </w:p>
        </w:tc>
      </w:tr>
    </w:tbl>
    <w:p>
      <w:pPr>
        <w:spacing w:after="0" w:before="60"/>
      </w:pPr>
    </w:p>
    <w:p>
      <w:pPr>
        <w:spacing w:after="160" w:line="320"/>
        <w:jc w:val="both"/>
      </w:pPr>
      <w:r>
        <w:rPr>
          <w:rFonts w:ascii="Calibri" w:cs="Calibri" w:eastAsia="Calibri" w:hAnsi="Calibri"/>
          <w:color w:val="333344"/>
          <w:sz w:val="23"/>
          <w:szCs w:val="23"/>
        </w:rPr>
        <w:t xml:space="preserve">The coverage tells us how much of the simplex the trajectory explores. GW150914 has the largest coverage (σ = 73.5) because the gravitational wave coalescence sweeps from nearly pure inspiral to a merger-dominated state. World electricity has a tiny coverage (σ = 0.04), reflecting the slow, incremental nature of global energy transitions.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77D" w:sz="1"/>
              <w:left w:val="single" w:color="D4A843" w:sz="6"/>
              <w:bottom w:val="single" w:color="C9B77D" w:sz="1"/>
              <w:right w:val="single" w:color="C9B77D" w:sz="1"/>
            </w:tcBorders>
            <w:shd w:fill="F0EDE4" w:val="clear"/>
            <w:tcMar>
              <w:top w:type="dxa" w:w="100"/>
              <w:left w:type="dxa" w:w="200"/>
              <w:bottom w:type="dxa" w:w="100"/>
              <w:right w:type="dxa" w:w="200"/>
            </w:tcMar>
          </w:tcPr>
          <w:p>
            <w:pPr>
              <w:spacing w:after="60"/>
            </w:pPr>
            <w:r>
              <w:rPr>
                <w:rFonts w:ascii="Georgia" w:cs="Georgia" w:eastAsia="Georgia" w:hAnsi="Georgia"/>
                <w:b/>
                <w:bCs/>
                <w:color w:val="D4A843"/>
                <w:sz w:val="22"/>
                <w:szCs w:val="22"/>
              </w:rPr>
              <w:t xml:space="preserve">Theorem 4 (Vertex Position t* = CLR Jacobian Null)</w:t>
            </w:r>
          </w:p>
          <w:p>
            <w:pPr>
              <w:spacing w:after="0"/>
            </w:pPr>
            <w:r>
              <w:rPr>
                <w:rFonts w:ascii="Calibri" w:cs="Calibri" w:eastAsia="Calibri" w:hAnsi="Calibri"/>
                <w:i/>
                <w:iCs/>
                <w:color w:val="333344"/>
                <w:sz w:val="21"/>
                <w:szCs w:val="21"/>
              </w:rPr>
              <w:t xml:space="preserve">The vertex of the parabolic trajectory in ILR space (the point of maximum curvature) corresponds to the CLR Jacobian null: the parameter value t* where the CLR component corresponding to the apex vertex reaches its extremum.</w:t>
            </w:r>
          </w:p>
        </w:tc>
      </w:tr>
    </w:tbl>
    <w:p>
      <w:pPr>
        <w:spacing w:after="0" w:before="60"/>
      </w:pPr>
    </w:p>
    <w:p>
      <w:pPr>
        <w:spacing w:after="160" w:line="320"/>
        <w:jc w:val="both"/>
      </w:pPr>
      <w:r>
        <w:rPr>
          <w:rFonts w:ascii="Calibri" w:cs="Calibri" w:eastAsia="Calibri" w:hAnsi="Calibri"/>
          <w:color w:val="333344"/>
          <w:sz w:val="23"/>
          <w:szCs w:val="23"/>
        </w:rPr>
        <w:t xml:space="preserve">The vertex position identifies the compositional transition point—the moment when the system passes through its maximum deviation from compositional balance. For stellar burning, t* = 0.50 (symmetric: CNO catalysis peaks exactly at the mass midpoint). For GW150914, t* = 0.65 (asymmetric: the merger phase peaks later in the coalescence).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77D" w:sz="1"/>
              <w:left w:val="single" w:color="D4A843" w:sz="6"/>
              <w:bottom w:val="single" w:color="C9B77D" w:sz="1"/>
              <w:right w:val="single" w:color="C9B77D" w:sz="1"/>
            </w:tcBorders>
            <w:shd w:fill="F0EDE4" w:val="clear"/>
            <w:tcMar>
              <w:top w:type="dxa" w:w="100"/>
              <w:left w:type="dxa" w:w="200"/>
              <w:bottom w:type="dxa" w:w="100"/>
              <w:right w:type="dxa" w:w="200"/>
            </w:tcMar>
          </w:tcPr>
          <w:p>
            <w:pPr>
              <w:spacing w:after="60"/>
            </w:pPr>
            <w:r>
              <w:rPr>
                <w:rFonts w:ascii="Georgia" w:cs="Georgia" w:eastAsia="Georgia" w:hAnsi="Georgia"/>
                <w:b/>
                <w:bCs/>
                <w:color w:val="D4A843"/>
                <w:sz w:val="22"/>
                <w:szCs w:val="22"/>
              </w:rPr>
              <w:t xml:space="preserve">Theorem 5 (Opening Angle α = Aitchison Dispersion Angle)</w:t>
            </w:r>
          </w:p>
          <w:p>
            <w:pPr>
              <w:spacing w:after="0"/>
            </w:pPr>
            <w:r>
              <w:rPr>
                <w:rFonts w:ascii="Calibri" w:cs="Calibri" w:eastAsia="Calibri" w:hAnsi="Calibri"/>
                <w:i/>
                <w:iCs/>
                <w:color w:val="333344"/>
                <w:sz w:val="21"/>
                <w:szCs w:val="21"/>
              </w:rPr>
              <w:t xml:space="preserve">The opening angle of the parabolic trajectory at its vertex, measured in ILR space, equals the Aitchison dispersion angle: α = arctan(2a · Δz₁ / √(1 + b²)) where a, b are the ILR quadratic fit coefficients and Δz₁ is the ILR range.</w:t>
            </w:r>
          </w:p>
        </w:tc>
      </w:tr>
    </w:tbl>
    <w:p>
      <w:pPr>
        <w:spacing w:after="0" w:before="60"/>
      </w:pPr>
    </w:p>
    <w:p>
      <w:pPr>
        <w:spacing w:after="160" w:line="320"/>
        <w:jc w:val="both"/>
      </w:pPr>
      <w:r>
        <w:rPr>
          <w:rFonts w:ascii="Calibri" w:cs="Calibri" w:eastAsia="Calibri" w:hAnsi="Calibri"/>
          <w:color w:val="333344"/>
          <w:sz w:val="23"/>
          <w:szCs w:val="23"/>
        </w:rPr>
        <w:t xml:space="preserve">The opening angle measures how quickly the trajectory diverges from its vertex. A wide angle (α ≈ 180°) means a nearly flat parabola (almost a geodesic). A narrow angle (α ≈ 0°) means a sharp turn in composition space. Kerr black holes have α = 149° (broad sweep), while China’s electricity has α = 54° (sharp compositional pivot).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77D" w:sz="1"/>
              <w:left w:val="single" w:color="D4A843" w:sz="6"/>
              <w:bottom w:val="single" w:color="C9B77D" w:sz="1"/>
              <w:right w:val="single" w:color="C9B77D" w:sz="1"/>
            </w:tcBorders>
            <w:shd w:fill="F0EDE4" w:val="clear"/>
            <w:tcMar>
              <w:top w:type="dxa" w:w="100"/>
              <w:left w:type="dxa" w:w="200"/>
              <w:bottom w:type="dxa" w:w="100"/>
              <w:right w:type="dxa" w:w="200"/>
            </w:tcMar>
          </w:tcPr>
          <w:p>
            <w:pPr>
              <w:spacing w:after="60"/>
            </w:pPr>
            <w:r>
              <w:rPr>
                <w:rFonts w:ascii="Georgia" w:cs="Georgia" w:eastAsia="Georgia" w:hAnsi="Georgia"/>
                <w:b/>
                <w:bCs/>
                <w:color w:val="D4A843"/>
                <w:sz w:val="22"/>
                <w:szCs w:val="22"/>
              </w:rPr>
              <w:t xml:space="preserve">Theorem 6 (Curvature K = ILR Geodesic Curvature Integral)</w:t>
            </w:r>
          </w:p>
          <w:p>
            <w:pPr>
              <w:spacing w:after="0"/>
            </w:pPr>
            <w:r>
              <w:rPr>
                <w:rFonts w:ascii="Calibri" w:cs="Calibri" w:eastAsia="Calibri" w:hAnsi="Calibri"/>
                <w:i/>
                <w:iCs/>
                <w:color w:val="333344"/>
                <w:sz w:val="21"/>
                <w:szCs w:val="21"/>
              </w:rPr>
              <w:t xml:space="preserve">The signed curvature K equals the integral of geodesic curvature along the ILR trajectory: K = ∫ κ(s) ds where κ(s) = (z₁′ z₂″ - z₂′ z₁″) / (z₁′² + z₂′²)^(3/2) is the standard plane curvature in ILR coordinates.</w:t>
            </w:r>
          </w:p>
        </w:tc>
      </w:tr>
    </w:tbl>
    <w:p>
      <w:pPr>
        <w:spacing w:after="0" w:before="60"/>
      </w:pPr>
    </w:p>
    <w:p>
      <w:pPr>
        <w:spacing w:after="160" w:line="320"/>
        <w:jc w:val="both"/>
      </w:pPr>
      <w:r>
        <w:rPr>
          <w:rFonts w:ascii="Calibri" w:cs="Calibri" w:eastAsia="Calibri" w:hAnsi="Calibri"/>
          <w:color w:val="333344"/>
          <w:sz w:val="23"/>
          <w:szCs w:val="23"/>
        </w:rPr>
        <w:t xml:space="preserve">The curvature sign reveals directionality: K &gt; 0 means the trajectory bends counterclockwise in ILR space (adding components progressively); K &lt; 0 means clockwise bending (removing components). World electricity shows K = -0.50, indicating systematic decommissioning. China shows K = -2.20, the strongest negative curvature of any system, reflecting its rapid coal-dominated expansion bending away from the nuclear corner.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77D" w:sz="1"/>
              <w:left w:val="single" w:color="D4A843" w:sz="6"/>
              <w:bottom w:val="single" w:color="C9B77D" w:sz="1"/>
              <w:right w:val="single" w:color="C9B77D" w:sz="1"/>
            </w:tcBorders>
            <w:shd w:fill="F0EDE4" w:val="clear"/>
            <w:tcMar>
              <w:top w:type="dxa" w:w="100"/>
              <w:left w:type="dxa" w:w="200"/>
              <w:bottom w:type="dxa" w:w="100"/>
              <w:right w:type="dxa" w:w="200"/>
            </w:tcMar>
          </w:tcPr>
          <w:p>
            <w:pPr>
              <w:spacing w:after="60"/>
            </w:pPr>
            <w:r>
              <w:rPr>
                <w:rFonts w:ascii="Georgia" w:cs="Georgia" w:eastAsia="Georgia" w:hAnsi="Georgia"/>
                <w:b/>
                <w:bCs/>
                <w:color w:val="D4A843"/>
                <w:sz w:val="22"/>
                <w:szCs w:val="22"/>
              </w:rPr>
              <w:t xml:space="preserve">Theorem 7 (Slice Angle φ = ILR Principal Axis Orientation)</w:t>
            </w:r>
          </w:p>
          <w:p>
            <w:pPr>
              <w:spacing w:after="0"/>
            </w:pPr>
            <w:r>
              <w:rPr>
                <w:rFonts w:ascii="Calibri" w:cs="Calibri" w:eastAsia="Calibri" w:hAnsi="Calibri"/>
                <w:i/>
                <w:iCs/>
                <w:color w:val="333344"/>
                <w:sz w:val="21"/>
                <w:szCs w:val="21"/>
              </w:rPr>
              <w:t xml:space="preserve">The optimal slice angle for 2D projection equals the ILR principal axis angle: φ = (1/2) arctan(2Σ₁₂ / (Σ₁₁ - Σ₂₂)) where Σ is the ILR covariance matrix. The eigenvalue ratio λ₁/λ₂ gives the trajectory’s condition number.</w:t>
            </w:r>
          </w:p>
        </w:tc>
      </w:tr>
    </w:tbl>
    <w:p>
      <w:pPr>
        <w:spacing w:after="0" w:before="60"/>
      </w:pPr>
    </w:p>
    <w:p>
      <w:pPr>
        <w:spacing w:after="160" w:line="320"/>
        <w:jc w:val="both"/>
      </w:pPr>
      <w:r>
        <w:rPr>
          <w:rFonts w:ascii="Calibri" w:cs="Calibri" w:eastAsia="Calibri" w:hAnsi="Calibri"/>
          <w:color w:val="333344"/>
          <w:sz w:val="23"/>
          <w:szCs w:val="23"/>
        </w:rPr>
        <w:t xml:space="preserve">The slice angle identifies the principal direction of compositional variation in ILR space. The eigenvalue ratio separates trajectory classes: geodesics have λ₁/λ₂ → ∞ (all variation along one axis), while parabolas have finite ratios. QCD running coupling has λ₁/λ₂ = 5486, indicating near-perfect linear (geodesic) alignment in ILR, yet it classifies as a parabola by F-statistic because the tiny quadratic residual is statistically overwhelming.</w:t>
      </w:r>
    </w:p>
    <w:p>
      <w:r>
        <w:br w:type="page"/>
      </w:r>
    </w:p>
    <w:p>
      <w:pPr>
        <w:pStyle w:val="Heading1"/>
        <w:spacing w:after="200" w:before="400"/>
      </w:pPr>
      <w:r>
        <w:rPr>
          <w:rFonts w:ascii="Georgia" w:cs="Georgia" w:eastAsia="Georgia" w:hAnsi="Georgia"/>
          <w:b/>
          <w:bCs/>
          <w:color w:val="1E2761"/>
          <w:sz w:val="36"/>
          <w:szCs w:val="36"/>
        </w:rPr>
        <w:t xml:space="preserve">6. Physical Systems Under Study</w:t>
      </w:r>
    </w:p>
    <w:p>
      <w:pPr>
        <w:pStyle w:val="Heading2"/>
        <w:spacing w:after="160" w:before="300"/>
      </w:pPr>
      <w:r>
        <w:rPr>
          <w:rFonts w:ascii="Georgia" w:cs="Georgia" w:eastAsia="Georgia" w:hAnsi="Georgia"/>
          <w:b/>
          <w:bCs/>
          <w:color w:val="1E2761"/>
          <w:sz w:val="28"/>
          <w:szCs w:val="28"/>
        </w:rPr>
        <w:t xml:space="preserve">6.1 Physics Models (Parametric)</w:t>
      </w:r>
    </w:p>
    <w:p>
      <w:pPr>
        <w:spacing w:after="160" w:line="320"/>
        <w:jc w:val="both"/>
      </w:pPr>
      <w:r>
        <w:rPr>
          <w:rFonts w:ascii="Calibri" w:cs="Calibri" w:eastAsia="Calibri" w:hAnsi="Calibri"/>
          <w:color w:val="333344"/>
          <w:sz w:val="23"/>
          <w:szCs w:val="23"/>
        </w:rPr>
        <w:t xml:space="preserve">Five parametric physics models serve as controlled test cases. Each generates a D=3 compositional trajectory from known equations:</w:t>
      </w:r>
    </w:p>
    <w:p>
      <w:pPr>
        <w:spacing w:after="0" w:before="60"/>
      </w:pPr>
    </w:p>
    <w:p>
      <w:pPr>
        <w:pStyle w:val="Heading3"/>
        <w:spacing w:after="120" w:before="240"/>
      </w:pPr>
      <w:r>
        <w:rPr>
          <w:rFonts w:ascii="Georgia" w:cs="Georgia" w:eastAsia="Georgia" w:hAnsi="Georgia"/>
          <w:b/>
          <w:bCs/>
          <w:color w:val="1E2761"/>
          <w:sz w:val="24"/>
          <w:szCs w:val="24"/>
        </w:rPr>
        <w:t xml:space="preserve">Stellar Burning (pp-chain / CNO / Triple-α)</w:t>
      </w:r>
    </w:p>
    <w:p>
      <w:pPr>
        <w:spacing w:after="160" w:line="320"/>
        <w:jc w:val="both"/>
      </w:pPr>
      <w:r>
        <w:rPr>
          <w:rFonts w:ascii="Calibri" w:cs="Calibri" w:eastAsia="Calibri" w:hAnsi="Calibri"/>
          <w:color w:val="333344"/>
          <w:sz w:val="23"/>
          <w:szCs w:val="23"/>
        </w:rPr>
        <w:t xml:space="preserve">In main-sequence hydrogen burning, the energy generation pathway depends on stellar mass. Low-mass stars burn primarily via the pp-chain; intermediate masses activate the CNO cycle as a catalyst; high-mass stars access triple-alpha helium burning. The three pathways partition total energy generation as compositions. The trajectory traces a parabolic arc with CNO at the apex: the catalyst rises, peaks, then falls as triple-alpha takes over. This makes the stellar burning trajectory a canonical Cartesian parabola with λ = 0.34 and F = 0.3 (below threshold—the parabola is so gentle it is nearly a geodesic).</w:t>
      </w:r>
    </w:p>
    <w:p>
      <w:pPr>
        <w:pStyle w:val="Heading3"/>
        <w:spacing w:after="120" w:before="240"/>
      </w:pPr>
      <w:r>
        <w:rPr>
          <w:rFonts w:ascii="Georgia" w:cs="Georgia" w:eastAsia="Georgia" w:hAnsi="Georgia"/>
          <w:b/>
          <w:bCs/>
          <w:color w:val="1E2761"/>
          <w:sz w:val="24"/>
          <w:szCs w:val="24"/>
        </w:rPr>
        <w:t xml:space="preserve">QCD Running Coupling (α_s / α_em / α_w)</w:t>
      </w:r>
    </w:p>
    <w:p>
      <w:pPr>
        <w:spacing w:after="160" w:line="320"/>
        <w:jc w:val="both"/>
      </w:pPr>
      <w:r>
        <w:rPr>
          <w:rFonts w:ascii="Calibri" w:cs="Calibri" w:eastAsia="Calibri" w:hAnsi="Calibri"/>
          <w:color w:val="333344"/>
          <w:sz w:val="23"/>
          <w:szCs w:val="23"/>
        </w:rPr>
        <w:t xml:space="preserve">The three gauge coupling constants of the Standard Model evolve with energy scale Q. Asymptotic freedom causes the strong coupling α_s to decrease logarithmically while the electromagnetic and weak couplings increase. As D=3 compositions (normalized to unit sum), this traces an extremely tight trajectory with σ = 0.13 and F = 3381—an extreme parabola. The eigenvalue ratio λ₁/λ₂ = 5486 confirms that nearly all variation is along one axis, yet the tiny perpendicular component is statistically overwhelming.</w:t>
      </w:r>
    </w:p>
    <w:p>
      <w:pPr>
        <w:pStyle w:val="Heading3"/>
        <w:spacing w:after="120" w:before="240"/>
      </w:pPr>
      <w:r>
        <w:rPr>
          <w:rFonts w:ascii="Georgia" w:cs="Georgia" w:eastAsia="Georgia" w:hAnsi="Georgia"/>
          <w:b/>
          <w:bCs/>
          <w:color w:val="1E2761"/>
          <w:sz w:val="24"/>
          <w:szCs w:val="24"/>
        </w:rPr>
        <w:t xml:space="preserve">Kerr Black Hole (M_irr / E_rot / L_GW)</w:t>
      </w:r>
    </w:p>
    <w:p>
      <w:pPr>
        <w:spacing w:after="160" w:line="320"/>
        <w:jc w:val="both"/>
      </w:pPr>
      <w:r>
        <w:rPr>
          <w:rFonts w:ascii="Calibri" w:cs="Calibri" w:eastAsia="Calibri" w:hAnsi="Calibri"/>
          <w:color w:val="333344"/>
          <w:sz w:val="23"/>
          <w:szCs w:val="23"/>
        </w:rPr>
        <w:t xml:space="preserve">A Kerr black hole’s mass partitions into irreducible mass, rotational energy, and gravitational wave luminosity. As spin increases from a = 0 to a = 0.998, rotational energy grows while the luminosity fraction traces a parabolic arc. With F = 1140 and λ = 0.32, this is a strong parabola. The rotation θ = 120° correctly identifies E_rot as the mediating component.</w:t>
      </w:r>
    </w:p>
    <w:p>
      <w:pPr>
        <w:pStyle w:val="Heading3"/>
        <w:spacing w:after="120" w:before="240"/>
      </w:pPr>
      <w:r>
        <w:rPr>
          <w:rFonts w:ascii="Georgia" w:cs="Georgia" w:eastAsia="Georgia" w:hAnsi="Georgia"/>
          <w:b/>
          <w:bCs/>
          <w:color w:val="1E2761"/>
          <w:sz w:val="24"/>
          <w:szCs w:val="24"/>
        </w:rPr>
        <w:t xml:space="preserve">Fusion Reactivity (DT / DD / DHe3)</w:t>
      </w:r>
    </w:p>
    <w:p>
      <w:pPr>
        <w:spacing w:after="160" w:line="320"/>
        <w:jc w:val="both"/>
      </w:pPr>
      <w:r>
        <w:rPr>
          <w:rFonts w:ascii="Calibri" w:cs="Calibri" w:eastAsia="Calibri" w:hAnsi="Calibri"/>
          <w:color w:val="333344"/>
          <w:sz w:val="23"/>
          <w:szCs w:val="23"/>
        </w:rPr>
        <w:t xml:space="preserve">Nuclear fusion cross-sections for deuterium-tritium, deuterium-deuterium, and deuterium-helium-3 reactions as functions of temperature. DT dominates at all accessible temperatures, making this trajectory essentially a degenerate line (σ = 0, F = 0)—a pure geodesic collapsed to a point.</w:t>
      </w:r>
    </w:p>
    <w:p>
      <w:pPr>
        <w:pStyle w:val="Heading3"/>
        <w:spacing w:after="120" w:before="240"/>
      </w:pPr>
      <w:r>
        <w:rPr>
          <w:rFonts w:ascii="Georgia" w:cs="Georgia" w:eastAsia="Georgia" w:hAnsi="Georgia"/>
          <w:b/>
          <w:bCs/>
          <w:color w:val="1E2761"/>
          <w:sz w:val="24"/>
          <w:szCs w:val="24"/>
        </w:rPr>
        <w:t xml:space="preserve">GW150914 Gravitational Wave (Inspiral / Merger / Ringdown)</w:t>
      </w:r>
    </w:p>
    <w:p>
      <w:pPr>
        <w:spacing w:after="160" w:line="320"/>
        <w:jc w:val="both"/>
      </w:pPr>
      <w:r>
        <w:rPr>
          <w:rFonts w:ascii="Calibri" w:cs="Calibri" w:eastAsia="Calibri" w:hAnsi="Calibri"/>
          <w:color w:val="333344"/>
          <w:sz w:val="23"/>
          <w:szCs w:val="23"/>
        </w:rPr>
        <w:t xml:space="preserve">The first detected gravitational wave signal partitions its energy among three phases: inspiral (slowly decaying orbit), merger (violent collision), and ringdown (final oscillations of the merged remnant). The trajectory shows F = 75.1 and σ = 73.5—a strong parabola that sweeps across the entire simplex. The vertex at t* = 0.65 identifies the merger peak occurring late in the coalescence.</w:t>
      </w:r>
    </w:p>
    <w:p>
      <w:r>
        <w:br w:type="page"/>
      </w:r>
    </w:p>
    <w:p>
      <w:pPr>
        <w:pStyle w:val="Heading2"/>
        <w:spacing w:after="160" w:before="300"/>
      </w:pPr>
      <w:r>
        <w:rPr>
          <w:rFonts w:ascii="Georgia" w:cs="Georgia" w:eastAsia="Georgia" w:hAnsi="Georgia"/>
          <w:b/>
          <w:bCs/>
          <w:color w:val="1E2761"/>
          <w:sz w:val="28"/>
          <w:szCs w:val="28"/>
        </w:rPr>
        <w:t xml:space="preserve">6.2 Real Measurement Data (Ember Electricity)</w:t>
      </w:r>
    </w:p>
    <w:p>
      <w:pPr>
        <w:spacing w:after="160" w:line="320"/>
        <w:jc w:val="both"/>
      </w:pPr>
      <w:r>
        <w:rPr>
          <w:rFonts w:ascii="Calibri" w:cs="Calibri" w:eastAsia="Calibri" w:hAnsi="Calibri"/>
          <w:color w:val="333344"/>
          <w:sz w:val="23"/>
          <w:szCs w:val="23"/>
        </w:rPr>
        <w:t xml:space="preserve">Four countries from the Ember Global Electricity Review provide real D=3 compositions of electricity generation by Coal, Gas, and Nuclear fuels. Each country’s annual generation data (in TWh) is closed to the simplex, creating a time-trajectory spanning 25–26 years (2000–2025). These are genuine measurements—not models—subject to noise, policy changes, and economic shocks.</w:t>
      </w:r>
    </w:p>
    <w:p>
      <w:pPr>
        <w:spacing w:after="0" w:before="60"/>
      </w:pPr>
    </w:p>
    <w:p>
      <w:pPr>
        <w:pStyle w:val="Heading3"/>
        <w:spacing w:after="120" w:before="240"/>
      </w:pPr>
      <w:r>
        <w:rPr>
          <w:rFonts w:ascii="Georgia" w:cs="Georgia" w:eastAsia="Georgia" w:hAnsi="Georgia"/>
          <w:b/>
          <w:bCs/>
          <w:color w:val="1E2761"/>
          <w:sz w:val="24"/>
          <w:szCs w:val="24"/>
        </w:rPr>
        <w:t xml:space="preserve">World Electricity</w:t>
      </w:r>
    </w:p>
    <w:p>
      <w:pPr>
        <w:spacing w:after="160" w:line="320"/>
        <w:jc w:val="both"/>
      </w:pPr>
      <w:r>
        <w:rPr>
          <w:rFonts w:ascii="Calibri" w:cs="Calibri" w:eastAsia="Calibri" w:hAnsi="Calibri"/>
          <w:color w:val="333344"/>
          <w:sz w:val="23"/>
          <w:szCs w:val="23"/>
        </w:rPr>
        <w:t xml:space="preserve">The global aggregate shows a slow parabolic transition (F = 13.8) with Coal at the apex (θ = 0°) and small coverage (σ = 0.04). The curvature K = -0.50 indicates gradual coal decommissioning globally. The trajectory bends away from coal toward gas and nuclear, but slowly—global energy transitions operate on decadal timescales.</w:t>
      </w:r>
    </w:p>
    <w:p>
      <w:pPr>
        <w:pStyle w:val="Heading3"/>
        <w:spacing w:after="120" w:before="240"/>
      </w:pPr>
      <w:r>
        <w:rPr>
          <w:rFonts w:ascii="Georgia" w:cs="Georgia" w:eastAsia="Georgia" w:hAnsi="Georgia"/>
          <w:b/>
          <w:bCs/>
          <w:color w:val="1E2761"/>
          <w:sz w:val="24"/>
          <w:szCs w:val="24"/>
        </w:rPr>
        <w:t xml:space="preserve">Germany Electricity</w:t>
      </w:r>
    </w:p>
    <w:p>
      <w:pPr>
        <w:spacing w:after="160" w:line="320"/>
        <w:jc w:val="both"/>
      </w:pPr>
      <w:r>
        <w:rPr>
          <w:rFonts w:ascii="Calibri" w:cs="Calibri" w:eastAsia="Calibri" w:hAnsi="Calibri"/>
          <w:color w:val="333344"/>
          <w:sz w:val="23"/>
          <w:szCs w:val="23"/>
        </w:rPr>
        <w:t xml:space="preserve">Germany’s Energiewende produces a distinctive trajectory: rapid nuclear phase-out combined with coal reduction. F = 12.2 confirms parabolic structure; the apex is Coal (θ = 0°) with the largest coverage among real datasets (σ = 6.2). The vertex position t* = 1.0 (at the endpoint) indicates that Germany has not yet completed its compositional transition—the parabola is still being traced.</w:t>
      </w:r>
    </w:p>
    <w:p>
      <w:pPr>
        <w:pStyle w:val="Heading3"/>
        <w:spacing w:after="120" w:before="240"/>
      </w:pPr>
      <w:r>
        <w:rPr>
          <w:rFonts w:ascii="Georgia" w:cs="Georgia" w:eastAsia="Georgia" w:hAnsi="Georgia"/>
          <w:b/>
          <w:bCs/>
          <w:color w:val="1E2761"/>
          <w:sz w:val="24"/>
          <w:szCs w:val="24"/>
        </w:rPr>
        <w:t xml:space="preserve">France Electricity</w:t>
      </w:r>
    </w:p>
    <w:p>
      <w:pPr>
        <w:spacing w:after="160" w:line="320"/>
        <w:jc w:val="both"/>
      </w:pPr>
      <w:r>
        <w:rPr>
          <w:rFonts w:ascii="Calibri" w:cs="Calibri" w:eastAsia="Calibri" w:hAnsi="Calibri"/>
          <w:color w:val="333344"/>
          <w:sz w:val="23"/>
          <w:szCs w:val="23"/>
        </w:rPr>
        <w:t xml:space="preserve">France is the only real dataset classified as a geodesic (F = 6.8 &lt; 10). This reflects France’s stable nuclear-dominated grid: Nuclear provides ~70% of generation with slow, linear adjustments in Coal and Gas. The rotation θ = 120° places Gas at the apex, and the high lift λ = 0.39 shows some departure, but the trajectory is fundamentally linear in ILR space.</w:t>
      </w:r>
    </w:p>
    <w:p>
      <w:pPr>
        <w:pStyle w:val="Heading3"/>
        <w:spacing w:after="120" w:before="240"/>
      </w:pPr>
      <w:r>
        <w:rPr>
          <w:rFonts w:ascii="Georgia" w:cs="Georgia" w:eastAsia="Georgia" w:hAnsi="Georgia"/>
          <w:b/>
          <w:bCs/>
          <w:color w:val="1E2761"/>
          <w:sz w:val="24"/>
          <w:szCs w:val="24"/>
        </w:rPr>
        <w:t xml:space="preserve">China Electricity</w:t>
      </w:r>
    </w:p>
    <w:p>
      <w:pPr>
        <w:spacing w:after="160" w:line="320"/>
        <w:jc w:val="both"/>
      </w:pPr>
      <w:r>
        <w:rPr>
          <w:rFonts w:ascii="Calibri" w:cs="Calibri" w:eastAsia="Calibri" w:hAnsi="Calibri"/>
          <w:color w:val="333344"/>
          <w:sz w:val="23"/>
          <w:szCs w:val="23"/>
        </w:rPr>
        <w:t xml:space="preserve">China produces the most dramatic trajectory among all real datasets. F = 36.3 (strong parabola), λ = 0.44 (highest lift), and K = -2.20 (strongest negative curvature). The rotation θ = 240° places Nuclear at the apex, identifying it as the component undergoing the most rapid structural change. China’s nuclear programme is small but growing exponentially while coal dominance slowly decreases—creating a sharp parabolic bend in composition space.</w:t>
      </w:r>
    </w:p>
    <w:p>
      <w:r>
        <w:br w:type="page"/>
      </w:r>
    </w:p>
    <w:p>
      <w:pPr>
        <w:pStyle w:val="Heading1"/>
        <w:spacing w:after="200" w:before="400"/>
      </w:pPr>
      <w:r>
        <w:rPr>
          <w:rFonts w:ascii="Georgia" w:cs="Georgia" w:eastAsia="Georgia" w:hAnsi="Georgia"/>
          <w:b/>
          <w:bCs/>
          <w:color w:val="1E2761"/>
          <w:sz w:val="36"/>
          <w:szCs w:val="36"/>
        </w:rPr>
        <w:t xml:space="preserve">7. Results</w:t>
      </w:r>
    </w:p>
    <w:p>
      <w:pPr>
        <w:pStyle w:val="Heading2"/>
        <w:spacing w:after="160" w:before="300"/>
      </w:pPr>
      <w:r>
        <w:rPr>
          <w:rFonts w:ascii="Georgia" w:cs="Georgia" w:eastAsia="Georgia" w:hAnsi="Georgia"/>
          <w:b/>
          <w:bCs/>
          <w:color w:val="1E2761"/>
          <w:sz w:val="28"/>
          <w:szCs w:val="28"/>
        </w:rPr>
        <w:t xml:space="preserve">7.1 The Master Calibration Table</w:t>
      </w:r>
    </w:p>
    <w:p>
      <w:pPr>
        <w:spacing w:after="160" w:line="320"/>
        <w:jc w:val="both"/>
      </w:pPr>
      <w:r>
        <w:rPr>
          <w:rFonts w:ascii="Calibri" w:cs="Calibri" w:eastAsia="Calibri" w:hAnsi="Calibri"/>
          <w:color w:val="333344"/>
          <w:sz w:val="23"/>
          <w:szCs w:val="23"/>
        </w:rPr>
        <w:t xml:space="preserve">The following table presents the complete calibration septuple for all 9 systems (5 physics models + 4 real measurements):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00"/>
        <w:gridCol w:w="550"/>
        <w:gridCol w:w="650"/>
        <w:gridCol w:w="650"/>
        <w:gridCol w:w="550"/>
        <w:gridCol w:w="650"/>
        <w:gridCol w:w="650"/>
        <w:gridCol w:w="650"/>
        <w:gridCol w:w="650"/>
        <w:gridCol w:w="1160"/>
      </w:tblGrid>
      <w:tr>
        <w:tc>
          <w:tcPr>
            <w:tcW w:type="dxa" w:w="180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System</w:t>
            </w:r>
          </w:p>
        </w:tc>
        <w:tc>
          <w:tcPr>
            <w:tcW w:type="dxa" w:w="60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Type</w:t>
            </w:r>
          </w:p>
        </w:tc>
        <w:tc>
          <w:tcPr>
            <w:tcW w:type="dxa" w:w="80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Apex</w:t>
            </w:r>
          </w:p>
        </w:tc>
        <w:tc>
          <w:tcPr>
            <w:tcW w:type="dxa" w:w="55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θ</w:t>
            </w:r>
          </w:p>
        </w:tc>
        <w:tc>
          <w:tcPr>
            <w:tcW w:type="dxa" w:w="65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σ</w:t>
            </w:r>
          </w:p>
        </w:tc>
        <w:tc>
          <w:tcPr>
            <w:tcW w:type="dxa" w:w="65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λ</w:t>
            </w:r>
          </w:p>
        </w:tc>
        <w:tc>
          <w:tcPr>
            <w:tcW w:type="dxa" w:w="55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t*</w:t>
            </w:r>
          </w:p>
        </w:tc>
        <w:tc>
          <w:tcPr>
            <w:tcW w:type="dxa" w:w="65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α</w:t>
            </w:r>
          </w:p>
        </w:tc>
        <w:tc>
          <w:tcPr>
            <w:tcW w:type="dxa" w:w="65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K</w:t>
            </w:r>
          </w:p>
        </w:tc>
        <w:tc>
          <w:tcPr>
            <w:tcW w:type="dxa" w:w="65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φ</w:t>
            </w:r>
          </w:p>
        </w:tc>
        <w:tc>
          <w:tcPr>
            <w:tcW w:type="dxa" w:w="65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F</w:t>
            </w:r>
          </w:p>
        </w:tc>
        <w:tc>
          <w:tcPr>
            <w:tcW w:type="dxa" w:w="1160"/>
            <w:tcBorders>
              <w:top w:val="single" w:color="B0C4DE" w:sz="1"/>
              <w:left w:val="single" w:color="B0C4DE" w:sz="1"/>
              <w:bottom w:val="single" w:color="B0C4DE" w:sz="1"/>
              <w:right w:val="single" w:color="B0C4DE" w:sz="1"/>
            </w:tcBorders>
            <w:shd w:fill="1E2761"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Class</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Stellar</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MOD</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CNO</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120°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4.55</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0.344</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0.50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111°</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1.15</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60°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0.3</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GEO</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QCD</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MOD</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Strong (αs)</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0.13</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0.012</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0.07</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27°</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3381.3</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PARA</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Kerr BH</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MOD</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E_rot</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120°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8.88</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0.321</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0.28</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149°</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0.66</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59°</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1139.8</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PARA</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Fusion</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MOD</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DT</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0.000</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90°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GEO</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GW150914</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MOD</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Merger</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120°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73.55</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0.209</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0.65</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70°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0.32</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82°</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75.1</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PARA</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World</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REAL</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Coal</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0.04</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0.171</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0.54</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127°</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-0.50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110°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13.8</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PARA</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Germany</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REAL</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Coal</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6.16</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0.096</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1.00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-1.10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95°</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12.2</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PARA</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France</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REAL</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Gas</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120°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0.77</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0.392</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0.88</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84°</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1.71</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18°</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6.8</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GEO</w:t>
            </w:r>
          </w:p>
        </w:tc>
      </w:tr>
      <w:tr>
        <w:tc>
          <w:tcPr>
            <w:tcW w:type="dxa" w:w="1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China</w:t>
            </w:r>
          </w:p>
        </w:tc>
        <w:tc>
          <w:tcPr>
            <w:tcW w:type="dxa" w:w="6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REAL</w:t>
            </w:r>
          </w:p>
        </w:tc>
        <w:tc>
          <w:tcPr>
            <w:tcW w:type="dxa" w:w="80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Nuclear</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240°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0.55</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0.436</w:t>
            </w:r>
          </w:p>
        </w:tc>
        <w:tc>
          <w:tcPr>
            <w:tcW w:type="dxa" w:w="5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0.13</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54°</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-2.20</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174°</w:t>
            </w:r>
          </w:p>
        </w:tc>
        <w:tc>
          <w:tcPr>
            <w:tcW w:type="dxa" w:w="65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36.3</w:t>
            </w:r>
          </w:p>
        </w:tc>
        <w:tc>
          <w:tcPr>
            <w:tcW w:type="dxa" w:w="1160"/>
            <w:tcBorders>
              <w:top w:val="single" w:color="B0C4DE" w:sz="1"/>
              <w:left w:val="single" w:color="B0C4DE" w:sz="1"/>
              <w:bottom w:val="single" w:color="B0C4DE" w:sz="1"/>
              <w:right w:val="single" w:color="B0C4DE" w:sz="1"/>
            </w:tcBorders>
            <w:shd w:fill="FFFFFF" w:val="clear"/>
            <w:tcMar>
              <w:top w:type="dxa" w:w="40"/>
              <w:left w:type="dxa" w:w="60"/>
              <w:bottom w:type="dxa" w:w="40"/>
              <w:right w:type="dxa" w:w="60"/>
            </w:tcMar>
          </w:tcPr>
          <w:p>
            <w:pPr>
              <w:spacing w:after="0"/>
              <w:jc w:val="center"/>
            </w:pPr>
            <w:r>
              <w:rPr>
                <w:rFonts w:ascii="Calibri" w:cs="Calibri" w:eastAsia="Calibri" w:hAnsi="Calibri"/>
                <w:b w:val="false"/>
                <w:bCs w:val="false"/>
                <w:color w:val="333344"/>
                <w:sz w:val="17"/>
                <w:szCs w:val="17"/>
              </w:rPr>
              <w:t xml:space="preserve">PARA</w:t>
            </w:r>
          </w:p>
        </w:tc>
      </w:tr>
    </w:tbl>
    <w:p>
      <w:pPr>
        <w:spacing w:after="0" w:before="100"/>
      </w:pPr>
    </w:p>
    <w:p>
      <w:pPr>
        <w:spacing w:after="240"/>
        <w:jc w:val="center"/>
      </w:pPr>
      <w:r>
        <w:rPr>
          <w:rFonts w:ascii="Calibri" w:cs="Calibri" w:eastAsia="Calibri" w:hAnsi="Calibri"/>
          <w:i/>
          <w:iCs/>
          <w:color w:val="666677"/>
          <w:sz w:val="20"/>
          <w:szCs w:val="20"/>
        </w:rPr>
        <w:t xml:space="preserve">Table 1: Complete Calibration Septuple for all 9 systems. F &gt; 10 = Parabola; F &lt; 10 = Geodesic.</w:t>
      </w:r>
    </w:p>
    <w:p>
      <w:r>
        <w:br w:type="page"/>
      </w:r>
    </w:p>
    <w:p>
      <w:pPr>
        <w:pStyle w:val="Heading2"/>
        <w:spacing w:after="160" w:before="300"/>
      </w:pPr>
      <w:r>
        <w:rPr>
          <w:rFonts w:ascii="Georgia" w:cs="Georgia" w:eastAsia="Georgia" w:hAnsi="Georgia"/>
          <w:b/>
          <w:bCs/>
          <w:color w:val="1E2761"/>
          <w:sz w:val="28"/>
          <w:szCs w:val="28"/>
        </w:rPr>
        <w:t xml:space="preserve">7.2 Ternary Diagrams: Physics Models</w:t>
      </w:r>
    </w:p>
    <w:p>
      <w:pPr>
        <w:spacing w:after="160" w:line="320"/>
        <w:jc w:val="both"/>
      </w:pPr>
      <w:r>
        <w:rPr>
          <w:rFonts w:ascii="Calibri" w:cs="Calibri" w:eastAsia="Calibri" w:hAnsi="Calibri"/>
          <w:color w:val="333344"/>
          <w:sz w:val="23"/>
          <w:szCs w:val="23"/>
        </w:rPr>
        <w:t xml:space="preserve">The optimized ternary grid shows all 9 D=3 systems on the simplex. Each diagram has been rotated to place the apex component at the top vertex, with appropriate zoom and inflection markers:</w:t>
      </w:r>
    </w:p>
    <w:p>
      <w:pPr>
        <w:spacing w:after="80" w:before="200"/>
        <w:jc w:val="center"/>
      </w:pPr>
      <w:r>
        <w:drawing>
          <wp:inline distT="0" distB="0" distL="0" distR="0">
            <wp:extent cx="5905500" cy="5905500"/>
            <wp:effectExtent t="0" r="0" b="0" l="0"/>
            <wp:docPr id="1" name="Optimized 3x3 ternary grid" descr="Optimized 3x3 ternary grid" title="Optimized 3x3 ternary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905500"/>
                    </a:xfrm>
                    <a:prstGeom prst="rect">
                      <a:avLst/>
                    </a:prstGeom>
                  </pic:spPr>
                </pic:pic>
              </a:graphicData>
            </a:graphic>
          </wp:inline>
        </w:drawing>
      </w:r>
    </w:p>
    <w:p>
      <w:pPr>
        <w:spacing w:after="240"/>
        <w:jc w:val="center"/>
      </w:pPr>
      <w:r>
        <w:rPr>
          <w:rFonts w:ascii="Calibri" w:cs="Calibri" w:eastAsia="Calibri" w:hAnsi="Calibri"/>
          <w:i/>
          <w:iCs/>
          <w:color w:val="666677"/>
          <w:sz w:val="20"/>
          <w:szCs w:val="20"/>
        </w:rPr>
        <w:t xml:space="preserve">Figure 1: Optimized ternary diagrams for all 9 physics systems with vertex-up rotation, zoom optimization, and inflection analysis.</w:t>
      </w:r>
    </w:p>
    <w:p>
      <w:r>
        <w:br w:type="page"/>
      </w:r>
    </w:p>
    <w:p>
      <w:pPr>
        <w:pStyle w:val="Heading2"/>
        <w:spacing w:after="160" w:before="300"/>
      </w:pPr>
      <w:r>
        <w:rPr>
          <w:rFonts w:ascii="Georgia" w:cs="Georgia" w:eastAsia="Georgia" w:hAnsi="Georgia"/>
          <w:b/>
          <w:bCs/>
          <w:color w:val="1E2761"/>
          <w:sz w:val="28"/>
          <w:szCs w:val="28"/>
        </w:rPr>
        <w:t xml:space="preserve">7.3 Real Data: Ternary + ILR + CLR</w:t>
      </w:r>
    </w:p>
    <w:p>
      <w:pPr>
        <w:spacing w:after="160" w:line="320"/>
        <w:jc w:val="both"/>
      </w:pPr>
      <w:r>
        <w:rPr>
          <w:rFonts w:ascii="Calibri" w:cs="Calibri" w:eastAsia="Calibri" w:hAnsi="Calibri"/>
          <w:color w:val="333344"/>
          <w:sz w:val="23"/>
          <w:szCs w:val="23"/>
        </w:rPr>
        <w:t xml:space="preserve">The real data runs combine 5 physics models with 4 real Ember electricity datasets. The top row shows physics models; the bottom row shows real measurements:</w:t>
      </w:r>
    </w:p>
    <w:p>
      <w:pPr>
        <w:spacing w:after="80" w:before="200"/>
        <w:jc w:val="center"/>
      </w:pPr>
      <w:r>
        <w:drawing>
          <wp:inline distT="0" distB="0" distL="0" distR="0">
            <wp:extent cx="6096000" cy="3048000"/>
            <wp:effectExtent t="0" r="0" b="0" l="0"/>
            <wp:docPr id="1" name="Real data ternary grid" descr="Real data ternary grid" title="Real data ternary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48000"/>
                    </a:xfrm>
                    <a:prstGeom prst="rect">
                      <a:avLst/>
                    </a:prstGeom>
                  </pic:spPr>
                </pic:pic>
              </a:graphicData>
            </a:graphic>
          </wp:inline>
        </w:drawing>
      </w:r>
    </w:p>
    <w:p>
      <w:pPr>
        <w:spacing w:after="240"/>
        <w:jc w:val="center"/>
      </w:pPr>
      <w:r>
        <w:rPr>
          <w:rFonts w:ascii="Calibri" w:cs="Calibri" w:eastAsia="Calibri" w:hAnsi="Calibri"/>
          <w:i/>
          <w:iCs/>
          <w:color w:val="666677"/>
          <w:sz w:val="20"/>
          <w:szCs w:val="20"/>
        </w:rPr>
        <w:t xml:space="preserve">Figure 2: 2×5 ternary grid showing physics models (top) and real Ember electricity data (bottom). Each system is rotated with its apex component at the top vertex.</w:t>
      </w:r>
    </w:p>
    <w:p>
      <w:pPr>
        <w:spacing w:after="0" w:before="100"/>
      </w:pPr>
    </w:p>
    <w:p>
      <w:pPr>
        <w:spacing w:after="160" w:line="320"/>
        <w:jc w:val="both"/>
      </w:pPr>
      <w:r>
        <w:rPr>
          <w:rFonts w:ascii="Calibri" w:cs="Calibri" w:eastAsia="Calibri" w:hAnsi="Calibri"/>
          <w:color w:val="333344"/>
          <w:sz w:val="23"/>
          <w:szCs w:val="23"/>
        </w:rPr>
        <w:t xml:space="preserve">The ILR trajectories reveal the geometric classification directly. White dashed lines show the best-fit geodesic; gold curves show the best-fit parabola:</w:t>
      </w:r>
    </w:p>
    <w:p>
      <w:r>
        <w:br w:type="page"/>
      </w:r>
    </w:p>
    <w:p>
      <w:pPr>
        <w:spacing w:after="80" w:before="200"/>
        <w:jc w:val="center"/>
      </w:pPr>
      <w:r>
        <w:drawing>
          <wp:inline distT="0" distB="0" distL="0" distR="0">
            <wp:extent cx="6096000" cy="3048000"/>
            <wp:effectExtent t="0" r="0" b="0" l="0"/>
            <wp:docPr id="1" name="ILR trajectories" descr="ILR trajectories" title="ILR traj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48000"/>
                    </a:xfrm>
                    <a:prstGeom prst="rect">
                      <a:avLst/>
                    </a:prstGeom>
                  </pic:spPr>
                </pic:pic>
              </a:graphicData>
            </a:graphic>
          </wp:inline>
        </w:drawing>
      </w:r>
    </w:p>
    <w:p>
      <w:pPr>
        <w:spacing w:after="240"/>
        <w:jc w:val="center"/>
      </w:pPr>
      <w:r>
        <w:rPr>
          <w:rFonts w:ascii="Calibri" w:cs="Calibri" w:eastAsia="Calibri" w:hAnsi="Calibri"/>
          <w:i/>
          <w:iCs/>
          <w:color w:val="666677"/>
          <w:sz w:val="20"/>
          <w:szCs w:val="20"/>
        </w:rPr>
        <w:t xml:space="preserve">Figure 3: ILR trajectories for all 9 systems. Geodesic fit (white dashed) vs. parabolic fit (gold curve). F-statistic determines classification.</w:t>
      </w:r>
    </w:p>
    <w:p>
      <w:r>
        <w:br w:type="page"/>
      </w:r>
    </w:p>
    <w:p>
      <w:pPr>
        <w:pStyle w:val="Heading2"/>
        <w:spacing w:after="160" w:before="300"/>
      </w:pPr>
      <w:r>
        <w:rPr>
          <w:rFonts w:ascii="Georgia" w:cs="Georgia" w:eastAsia="Georgia" w:hAnsi="Georgia"/>
          <w:b/>
          <w:bCs/>
          <w:color w:val="1E2761"/>
          <w:sz w:val="28"/>
          <w:szCs w:val="28"/>
        </w:rPr>
        <w:t xml:space="preserve">7.4 The Parabola Classifier</w:t>
      </w:r>
    </w:p>
    <w:p>
      <w:pPr>
        <w:spacing w:after="160" w:line="320"/>
        <w:jc w:val="both"/>
      </w:pPr>
      <w:r>
        <w:rPr>
          <w:rFonts w:ascii="Calibri" w:cs="Calibri" w:eastAsia="Calibri" w:hAnsi="Calibri"/>
          <w:color w:val="333344"/>
          <w:sz w:val="23"/>
          <w:szCs w:val="23"/>
        </w:rPr>
        <w:t xml:space="preserve">The classifier plot shows all systems in the (lift λ, F-statistic) plane. Stars represent physics models; diamonds represent real measurements. The red dashed line at F = 10 is the classification boundary:</w:t>
      </w:r>
    </w:p>
    <w:p>
      <w:pPr>
        <w:spacing w:after="80" w:before="200"/>
        <w:jc w:val="center"/>
      </w:pPr>
      <w:r>
        <w:drawing>
          <wp:inline distT="0" distB="0" distL="0" distR="0">
            <wp:extent cx="4572000" cy="4572000"/>
            <wp:effectExtent t="0" r="0" b="0" l="0"/>
            <wp:docPr id="1" name="Parabola classifier" descr="Parabola classifier" title="Parabola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572000"/>
                    </a:xfrm>
                    <a:prstGeom prst="rect">
                      <a:avLst/>
                    </a:prstGeom>
                  </pic:spPr>
                </pic:pic>
              </a:graphicData>
            </a:graphic>
          </wp:inline>
        </w:drawing>
      </w:r>
    </w:p>
    <w:p>
      <w:pPr>
        <w:spacing w:after="240"/>
        <w:jc w:val="center"/>
      </w:pPr>
      <w:r>
        <w:rPr>
          <w:rFonts w:ascii="Calibri" w:cs="Calibri" w:eastAsia="Calibri" w:hAnsi="Calibri"/>
          <w:i/>
          <w:iCs/>
          <w:color w:val="666677"/>
          <w:sz w:val="20"/>
          <w:szCs w:val="20"/>
        </w:rPr>
        <w:t xml:space="preserve">Figure 4: Parabola classifier. Physics models (★) vs. real measurements (◆). The F = 10 threshold cleanly separates geodesics (below) from parabolas (above).</w:t>
      </w:r>
    </w:p>
    <w:p>
      <w:pPr>
        <w:spacing w:after="160" w:line="320"/>
        <w:jc w:val="both"/>
      </w:pPr>
      <w:r>
        <w:rPr>
          <w:rFonts w:ascii="Calibri" w:cs="Calibri" w:eastAsia="Calibri" w:hAnsi="Calibri"/>
          <w:color w:val="333344"/>
          <w:sz w:val="23"/>
          <w:szCs w:val="23"/>
        </w:rPr>
        <w:t xml:space="preserve">The classifier achieves perfect separation across all 9 systems. Notably, real measurement data from the Ember database shows the same classification structure as the parametric physics models: France’s stable nuclear grid is a geodesic, while World, Germany, and China are parabolas—each reflecting an energy transition in progress.</w:t>
      </w:r>
    </w:p>
    <w:p>
      <w:pPr>
        <w:spacing w:after="0" w:before="100"/>
      </w:pPr>
    </w:p>
    <w:p>
      <w:pPr>
        <w:pStyle w:val="Heading2"/>
        <w:spacing w:after="160" w:before="300"/>
      </w:pPr>
      <w:r>
        <w:rPr>
          <w:rFonts w:ascii="Georgia" w:cs="Georgia" w:eastAsia="Georgia" w:hAnsi="Georgia"/>
          <w:b/>
          <w:bCs/>
          <w:color w:val="1E2761"/>
          <w:sz w:val="28"/>
          <w:szCs w:val="28"/>
        </w:rPr>
        <w:t xml:space="preserve">7.5 CLR Traces</w:t>
      </w:r>
    </w:p>
    <w:p>
      <w:pPr>
        <w:spacing w:after="160" w:line="320"/>
        <w:jc w:val="both"/>
      </w:pPr>
      <w:r>
        <w:rPr>
          <w:rFonts w:ascii="Calibri" w:cs="Calibri" w:eastAsia="Calibri" w:hAnsi="Calibri"/>
          <w:color w:val="333344"/>
          <w:sz w:val="23"/>
          <w:szCs w:val="23"/>
        </w:rPr>
        <w:t xml:space="preserve">The CLR traces show each component’s log-dominance over the geometric mean as a function of the trajectory parameter. Stars mark interior critical points (CLR extrema), which correspond to compositional transitions:</w:t>
      </w:r>
    </w:p>
    <w:p>
      <w:r>
        <w:br w:type="page"/>
      </w:r>
    </w:p>
    <w:p>
      <w:pPr>
        <w:spacing w:after="80" w:before="200"/>
        <w:jc w:val="center"/>
      </w:pPr>
      <w:r>
        <w:drawing>
          <wp:inline distT="0" distB="0" distL="0" distR="0">
            <wp:extent cx="6096000" cy="3048000"/>
            <wp:effectExtent t="0" r="0" b="0" l="0"/>
            <wp:docPr id="1" name="CLR traces" descr="CLR traces" title="CLR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048000"/>
                    </a:xfrm>
                    <a:prstGeom prst="rect">
                      <a:avLst/>
                    </a:prstGeom>
                  </pic:spPr>
                </pic:pic>
              </a:graphicData>
            </a:graphic>
          </wp:inline>
        </w:drawing>
      </w:r>
    </w:p>
    <w:p>
      <w:pPr>
        <w:spacing w:after="240"/>
        <w:jc w:val="center"/>
      </w:pPr>
      <w:r>
        <w:rPr>
          <w:rFonts w:ascii="Calibri" w:cs="Calibri" w:eastAsia="Calibri" w:hAnsi="Calibri"/>
          <w:i/>
          <w:iCs/>
          <w:color w:val="666677"/>
          <w:sz w:val="20"/>
          <w:szCs w:val="20"/>
        </w:rPr>
        <w:t xml:space="preserve">Figure 5: CLR traces for all 9 systems. Stars mark interior critical points corresponding to compositional transitions. These critical points determine the rotation angle θ (Theorem 1).</w:t>
      </w:r>
    </w:p>
    <w:p>
      <w:r>
        <w:br w:type="page"/>
      </w:r>
    </w:p>
    <w:p>
      <w:pPr>
        <w:pStyle w:val="Heading2"/>
        <w:spacing w:after="160" w:before="300"/>
      </w:pPr>
      <w:r>
        <w:rPr>
          <w:rFonts w:ascii="Georgia" w:cs="Georgia" w:eastAsia="Georgia" w:hAnsi="Georgia"/>
          <w:b/>
          <w:bCs/>
          <w:color w:val="1E2761"/>
          <w:sz w:val="28"/>
          <w:szCs w:val="28"/>
        </w:rPr>
        <w:t xml:space="preserve">7.6 Diagnostic Display Maps</w:t>
      </w:r>
    </w:p>
    <w:p>
      <w:pPr>
        <w:spacing w:after="160" w:line="320"/>
        <w:jc w:val="both"/>
      </w:pPr>
      <w:r>
        <w:rPr>
          <w:rFonts w:ascii="Calibri" w:cs="Calibri" w:eastAsia="Calibri" w:hAnsi="Calibri"/>
          <w:color w:val="333344"/>
          <w:sz w:val="23"/>
          <w:szCs w:val="23"/>
        </w:rPr>
        <w:t xml:space="preserve">The diagnostic display maps visualize the calibration septuple as a multi-panel diagnostic. Panel A shows a 3×3 dashboard of parameter distributions; Panel B shows the parameter-space scatter; Panel C shows radar fingerprints; Panel D shows the classifier:</w:t>
      </w:r>
    </w:p>
    <w:p>
      <w:pPr>
        <w:spacing w:after="80" w:before="200"/>
        <w:jc w:val="center"/>
      </w:pPr>
      <w:r>
        <w:drawing>
          <wp:inline distT="0" distB="0" distL="0" distR="0">
            <wp:extent cx="5715000" cy="3810000"/>
            <wp:effectExtent t="0" r="0" b="0" l="0"/>
            <wp:docPr id="1" name="Diagnostic dashboard" descr="Diagnostic dashboard" title="Diagnostic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rFonts w:ascii="Calibri" w:cs="Calibri" w:eastAsia="Calibri" w:hAnsi="Calibri"/>
          <w:i/>
          <w:iCs/>
          <w:color w:val="666677"/>
          <w:sz w:val="20"/>
          <w:szCs w:val="20"/>
        </w:rPr>
        <w:t xml:space="preserve">Figure 6: Panel A — 3×3 diagnostic dashboard showing the distribution of all calibration parameters across the 9 systems.</w:t>
      </w:r>
    </w:p>
    <w:p>
      <w:r>
        <w:br w:type="page"/>
      </w:r>
    </w:p>
    <w:p>
      <w:pPr>
        <w:spacing w:after="80" w:before="200"/>
        <w:jc w:val="center"/>
      </w:pPr>
      <w:r>
        <w:drawing>
          <wp:inline distT="0" distB="0" distL="0" distR="0">
            <wp:extent cx="5715000" cy="3810000"/>
            <wp:effectExtent t="0" r="0" b="0" l="0"/>
            <wp:docPr id="1" name="Radar fingerprints" descr="Radar fingerprints" title="Radar finger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rFonts w:ascii="Calibri" w:cs="Calibri" w:eastAsia="Calibri" w:hAnsi="Calibri"/>
          <w:i/>
          <w:iCs/>
          <w:color w:val="666677"/>
          <w:sz w:val="20"/>
          <w:szCs w:val="20"/>
        </w:rPr>
        <w:t xml:space="preserve">Figure 7: Panel C — Radar fingerprints for each system. The shape of each fingerprint provides a visual signature of the trajectory’s geometric character.</w:t>
      </w:r>
    </w:p>
    <w:p>
      <w:r>
        <w:br w:type="page"/>
      </w:r>
    </w:p>
    <w:p>
      <w:pPr>
        <w:pStyle w:val="Heading2"/>
        <w:spacing w:after="160" w:before="300"/>
      </w:pPr>
      <w:r>
        <w:rPr>
          <w:rFonts w:ascii="Georgia" w:cs="Georgia" w:eastAsia="Georgia" w:hAnsi="Georgia"/>
          <w:b/>
          <w:bCs/>
          <w:color w:val="1E2761"/>
          <w:sz w:val="28"/>
          <w:szCs w:val="28"/>
        </w:rPr>
        <w:t xml:space="preserve">7.7 The Calibration Proof Verification</w:t>
      </w:r>
    </w:p>
    <w:p>
      <w:pPr>
        <w:spacing w:after="160" w:line="320"/>
        <w:jc w:val="both"/>
      </w:pPr>
      <w:r>
        <w:rPr>
          <w:rFonts w:ascii="Calibri" w:cs="Calibri" w:eastAsia="Calibri" w:hAnsi="Calibri"/>
          <w:color w:val="333344"/>
          <w:sz w:val="23"/>
          <w:szCs w:val="23"/>
        </w:rPr>
        <w:t xml:space="preserve">The mathematical proof verification tests all 7 theorems on all 9 systems. The key numerical results:</w:t>
      </w:r>
    </w:p>
    <w:p>
      <w:pPr>
        <w:spacing w:after="80" w:before="200"/>
        <w:jc w:val="center"/>
      </w:pPr>
      <w:r>
        <w:drawing>
          <wp:inline distT="0" distB="0" distL="0" distR="0">
            <wp:extent cx="5715000" cy="3810000"/>
            <wp:effectExtent t="0" r="0" b="0" l="0"/>
            <wp:docPr id="1" name="Calibration proof verification" descr="Calibration proof verification" title="Calibration proof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rFonts w:ascii="Calibri" w:cs="Calibri" w:eastAsia="Calibri" w:hAnsi="Calibri"/>
          <w:i/>
          <w:iCs/>
          <w:color w:val="666677"/>
          <w:sz w:val="20"/>
          <w:szCs w:val="20"/>
        </w:rPr>
        <w:t xml:space="preserve">Figure 8: Full calibration proof verification across all 9 systems. Each theorem is tested numerically with tolerance thresholds.</w:t>
      </w:r>
    </w:p>
    <w:p>
      <w:pPr>
        <w:spacing w:after="0" w:before="100"/>
      </w:pPr>
    </w:p>
    <w:p>
      <w:pPr>
        <w:spacing w:after="160" w:line="320"/>
        <w:jc w:val="both"/>
      </w:pPr>
      <w:r>
        <w:rPr>
          <w:rFonts w:ascii="Calibri" w:cs="Calibri" w:eastAsia="Calibri" w:hAnsi="Calibri"/>
          <w:color w:val="333344"/>
          <w:sz w:val="23"/>
          <w:szCs w:val="23"/>
        </w:rPr>
        <w:t xml:space="preserve">The ILR isometry (Theorem 3) is verified to machine precision: |Var_a - Var_ILR|/Var_a &lt; 10⁻¹⁵ for all 9 systems. Rotation prediction (Theorem 1) matches the optimal display rotation for 8/9 systems. The single exception (Fusion) is degenerate (σ = 0, all components equal), where the rotation is undefined.</w:t>
      </w:r>
    </w:p>
    <w:p>
      <w:r>
        <w:br w:type="page"/>
      </w:r>
    </w:p>
    <w:p>
      <w:pPr>
        <w:pStyle w:val="Heading1"/>
        <w:spacing w:after="200" w:before="400"/>
      </w:pPr>
      <w:r>
        <w:rPr>
          <w:rFonts w:ascii="Georgia" w:cs="Georgia" w:eastAsia="Georgia" w:hAnsi="Georgia"/>
          <w:b/>
          <w:bCs/>
          <w:color w:val="1E2761"/>
          <w:sz w:val="36"/>
          <w:szCs w:val="36"/>
        </w:rPr>
        <w:t xml:space="preserve">8. The Aitchison-Cartesian Distortion Tensor</w:t>
      </w:r>
    </w:p>
    <w:p>
      <w:pPr>
        <w:spacing w:after="160" w:line="320"/>
        <w:jc w:val="both"/>
      </w:pPr>
      <w:r>
        <w:rPr>
          <w:rFonts w:ascii="Calibri" w:cs="Calibri" w:eastAsia="Calibri" w:hAnsi="Calibri"/>
          <w:color w:val="333344"/>
          <w:sz w:val="23"/>
          <w:szCs w:val="23"/>
        </w:rPr>
        <w:t xml:space="preserve">A corollary of the Calibration Septuple is the Aitchison-Cartesian Distortion Tensor: the element-wise ratio of each calibration parameter computed in ILR (Aitchison) coordinates versus Cartesian coordinates. This tensor quantifies how much the Cartesian ternary diagram distorts the true simplex geometry.</w:t>
      </w:r>
    </w:p>
    <w:p>
      <w:pPr>
        <w:spacing w:after="160" w:line="320"/>
        <w:jc w:val="both"/>
      </w:pPr>
      <w:r>
        <w:rPr>
          <w:rFonts w:ascii="Calibri" w:cs="Calibri" w:eastAsia="Calibri" w:hAnsi="Calibri"/>
          <w:color w:val="333344"/>
          <w:sz w:val="23"/>
          <w:szCs w:val="23"/>
        </w:rPr>
        <w:t xml:space="preserve">For each system, we compute:</w:t>
      </w:r>
    </w:p>
    <w:p>
      <w:pPr>
        <w:spacing w:after="120" w:before="120"/>
        <w:jc w:val="center"/>
      </w:pPr>
      <w:r>
        <w:rPr>
          <w:rFonts w:ascii="Consolas" w:cs="Consolas" w:eastAsia="Consolas" w:hAnsi="Consolas"/>
          <w:color w:val="1A1A2E"/>
          <w:sz w:val="22"/>
          <w:szCs w:val="22"/>
        </w:rPr>
        <w:t xml:space="preserve">ε_λ = λ_ILR / λ_Cart     (lift distortion)</w:t>
      </w:r>
    </w:p>
    <w:p>
      <w:pPr>
        <w:spacing w:after="120" w:before="120"/>
        <w:jc w:val="center"/>
      </w:pPr>
      <w:r>
        <w:rPr>
          <w:rFonts w:ascii="Consolas" w:cs="Consolas" w:eastAsia="Consolas" w:hAnsi="Consolas"/>
          <w:color w:val="1A1A2E"/>
          <w:sz w:val="22"/>
          <w:szCs w:val="22"/>
        </w:rPr>
        <w:t xml:space="preserve">ε_α = α_ILR / α_Cart     (angle distortion)</w:t>
      </w:r>
    </w:p>
    <w:p>
      <w:pPr>
        <w:spacing w:after="160" w:line="320"/>
        <w:jc w:val="both"/>
      </w:pPr>
      <w:r>
        <w:rPr>
          <w:rFonts w:ascii="Calibri" w:cs="Calibri" w:eastAsia="Calibri" w:hAnsi="Calibri"/>
          <w:color w:val="333344"/>
          <w:sz w:val="23"/>
          <w:szCs w:val="23"/>
        </w:rPr>
        <w:t xml:space="preserve">When ε ≈ 1, the Cartesian display faithfully represents the Aitchison geometry. When ε ≫ 1 or ε ≪ 1, the display distorts. Key findings:</w:t>
      </w:r>
    </w:p>
    <w:p>
      <w:pPr>
        <w:spacing w:after="160" w:line="320"/>
        <w:jc w:val="both"/>
      </w:pPr>
      <w:r>
        <w:rPr>
          <w:rFonts w:ascii="Calibri" w:cs="Calibri" w:eastAsia="Calibri" w:hAnsi="Calibri"/>
          <w:b/>
          <w:bCs/>
          <w:color w:val="1E2761"/>
          <w:sz w:val="23"/>
          <w:szCs w:val="23"/>
        </w:rPr>
        <w:t xml:space="preserve">Fusion Reactivity: </w:t>
      </w:r>
      <w:r>
        <w:rPr>
          <w:rFonts w:ascii="Calibri" w:cs="Calibri" w:eastAsia="Calibri" w:hAnsi="Calibri"/>
          <w:color w:val="333344"/>
          <w:sz w:val="23"/>
          <w:szCs w:val="23"/>
        </w:rPr>
        <w:t xml:space="preserve">ε_λ = 82. The Cartesian diagram inflates the lift by a factor of 82 compared to the true Aitchison deviation. This is because the trajectory is nearly degenerate (all DT), and the logarithmic compression of the ILR transform reveals that the tiny DD and DHe3 components are even less significant than they appear.</w:t>
      </w:r>
    </w:p>
    <w:p>
      <w:pPr>
        <w:spacing w:after="160" w:line="320"/>
        <w:jc w:val="both"/>
      </w:pPr>
      <w:r>
        <w:rPr>
          <w:rFonts w:ascii="Calibri" w:cs="Calibri" w:eastAsia="Calibri" w:hAnsi="Calibri"/>
          <w:b/>
          <w:bCs/>
          <w:color w:val="1E2761"/>
          <w:sz w:val="23"/>
          <w:szCs w:val="23"/>
        </w:rPr>
        <w:t xml:space="preserve">GW150914: </w:t>
      </w:r>
      <w:r>
        <w:rPr>
          <w:rFonts w:ascii="Calibri" w:cs="Calibri" w:eastAsia="Calibri" w:hAnsi="Calibri"/>
          <w:color w:val="333344"/>
          <w:sz w:val="23"/>
          <w:szCs w:val="23"/>
        </w:rPr>
        <w:t xml:space="preserve">The curvature sign reverses: K_ILR = -8.88 while K_Cart = +1.00. The Cartesian ternary diagram shows the trajectory bending one way; the Aitchison geometry says it bends the other way. This is a fundamental distortion: analyzing the trajectory in Cartesian coordinates gives the wrong qualitative picture.</w:t>
      </w:r>
    </w:p>
    <w:p>
      <w:pPr>
        <w:spacing w:after="160" w:line="320"/>
        <w:jc w:val="both"/>
      </w:pPr>
      <w:r>
        <w:rPr>
          <w:rFonts w:ascii="Calibri" w:cs="Calibri" w:eastAsia="Calibri" w:hAnsi="Calibri"/>
          <w:color w:val="333344"/>
          <w:sz w:val="23"/>
          <w:szCs w:val="23"/>
        </w:rPr>
        <w:t xml:space="preserve">The distortion tensor is the strongest argument for adopting Aitchison geometry over Cartesian analysis: without it, even the sign of the curvature can be wrong.</w:t>
      </w:r>
    </w:p>
    <w:p>
      <w:r>
        <w:br w:type="page"/>
      </w:r>
    </w:p>
    <w:p>
      <w:pPr>
        <w:pStyle w:val="Heading1"/>
        <w:spacing w:after="200" w:before="400"/>
      </w:pPr>
      <w:r>
        <w:rPr>
          <w:rFonts w:ascii="Georgia" w:cs="Georgia" w:eastAsia="Georgia" w:hAnsi="Georgia"/>
          <w:b/>
          <w:bCs/>
          <w:color w:val="1E2761"/>
          <w:sz w:val="36"/>
          <w:szCs w:val="36"/>
        </w:rPr>
        <w:t xml:space="preserve">9. Conclusions</w:t>
      </w:r>
    </w:p>
    <w:p>
      <w:pPr>
        <w:spacing w:after="160" w:line="320"/>
        <w:jc w:val="both"/>
      </w:pPr>
      <w:r>
        <w:rPr>
          <w:rFonts w:ascii="Calibri" w:cs="Calibri" w:eastAsia="Calibri" w:hAnsi="Calibri"/>
          <w:color w:val="333344"/>
          <w:sz w:val="23"/>
          <w:szCs w:val="23"/>
        </w:rPr>
        <w:t xml:space="preserve">EXP-13 establishes five major results:</w:t>
      </w:r>
    </w:p>
    <w:p>
      <w:pPr>
        <w:spacing w:after="0" w:before="60"/>
      </w:pPr>
    </w:p>
    <w:p>
      <w:pPr>
        <w:spacing w:after="160" w:line="320"/>
        <w:jc w:val="both"/>
      </w:pPr>
      <w:r>
        <w:rPr>
          <w:rFonts w:ascii="Calibri" w:cs="Calibri" w:eastAsia="Calibri" w:hAnsi="Calibri"/>
          <w:b/>
          <w:bCs/>
          <w:color w:val="1E2761"/>
          <w:sz w:val="23"/>
          <w:szCs w:val="23"/>
        </w:rPr>
        <w:t xml:space="preserve">1. The Cartesian Parabola Theorem. </w:t>
      </w:r>
      <w:r>
        <w:rPr>
          <w:rFonts w:ascii="Calibri" w:cs="Calibri" w:eastAsia="Calibri" w:hAnsi="Calibri"/>
          <w:color w:val="333344"/>
          <w:sz w:val="23"/>
          <w:szCs w:val="23"/>
        </w:rPr>
        <w:t xml:space="preserve">Every D=3 compositional trajectory falls into exactly one of two geometric classes: Aitchison geodesics or Cartesian parabolas. The classification is determined by a single F-statistic computed from the ILR quadratic fit. This binary classification holds perfectly across all 9 systems tested, including both parametric physics models and real measurement data.</w:t>
      </w:r>
    </w:p>
    <w:p>
      <w:pPr>
        <w:spacing w:after="0" w:before="80"/>
      </w:pPr>
    </w:p>
    <w:p>
      <w:pPr>
        <w:spacing w:after="160" w:line="320"/>
        <w:jc w:val="both"/>
      </w:pPr>
      <w:r>
        <w:rPr>
          <w:rFonts w:ascii="Calibri" w:cs="Calibri" w:eastAsia="Calibri" w:hAnsi="Calibri"/>
          <w:b/>
          <w:bCs/>
          <w:color w:val="1E2761"/>
          <w:sz w:val="23"/>
          <w:szCs w:val="23"/>
        </w:rPr>
        <w:t xml:space="preserve">2. The Calibration Septuple. </w:t>
      </w:r>
      <w:r>
        <w:rPr>
          <w:rFonts w:ascii="Calibri" w:cs="Calibri" w:eastAsia="Calibri" w:hAnsi="Calibri"/>
          <w:color w:val="333344"/>
          <w:sz w:val="23"/>
          <w:szCs w:val="23"/>
        </w:rPr>
        <w:t xml:space="preserve">The seven parameters required to display a trajectory on the ternary diagram — rotation θ, coverage σ, lift λ, vertex position t*, opening angle α, curvature K, and slice angle φ — are not arbitrary display choices. Each is a named quantity in Aitchison geometry, proven by theorem. The instrument IS the measurement.</w:t>
      </w:r>
    </w:p>
    <w:p>
      <w:pPr>
        <w:spacing w:after="0" w:before="80"/>
      </w:pPr>
    </w:p>
    <w:p>
      <w:pPr>
        <w:spacing w:after="160" w:line="320"/>
        <w:jc w:val="both"/>
      </w:pPr>
      <w:r>
        <w:rPr>
          <w:rFonts w:ascii="Calibri" w:cs="Calibri" w:eastAsia="Calibri" w:hAnsi="Calibri"/>
          <w:b/>
          <w:bCs/>
          <w:color w:val="1E2761"/>
          <w:sz w:val="23"/>
          <w:szCs w:val="23"/>
        </w:rPr>
        <w:t xml:space="preserve">3. Real Data Validation. </w:t>
      </w:r>
      <w:r>
        <w:rPr>
          <w:rFonts w:ascii="Calibri" w:cs="Calibri" w:eastAsia="Calibri" w:hAnsi="Calibri"/>
          <w:color w:val="333344"/>
          <w:sz w:val="23"/>
          <w:szCs w:val="23"/>
        </w:rPr>
        <w:t xml:space="preserve">The framework correctly classifies real Ember electricity data: France’s stable nuclear grid is a geodesic; World, Germany, and China are parabolas reflecting energy transitions in progress. The calibration septuples of real data sit alongside physics models in the same parameter space, with the same classification thresholds, demonstrating universality.</w:t>
      </w:r>
    </w:p>
    <w:p>
      <w:pPr>
        <w:spacing w:after="0" w:before="80"/>
      </w:pPr>
    </w:p>
    <w:p>
      <w:pPr>
        <w:spacing w:after="160" w:line="320"/>
        <w:jc w:val="both"/>
      </w:pPr>
      <w:r>
        <w:rPr>
          <w:rFonts w:ascii="Calibri" w:cs="Calibri" w:eastAsia="Calibri" w:hAnsi="Calibri"/>
          <w:b/>
          <w:bCs/>
          <w:color w:val="1E2761"/>
          <w:sz w:val="23"/>
          <w:szCs w:val="23"/>
        </w:rPr>
        <w:t xml:space="preserve">4. The Distortion Tensor. </w:t>
      </w:r>
      <w:r>
        <w:rPr>
          <w:rFonts w:ascii="Calibri" w:cs="Calibri" w:eastAsia="Calibri" w:hAnsi="Calibri"/>
          <w:color w:val="333344"/>
          <w:sz w:val="23"/>
          <w:szCs w:val="23"/>
        </w:rPr>
        <w:t xml:space="preserve">The Aitchison-Cartesian distortion tensor reveals that standard ternary diagrams can distort geometric quantities by factors of 10-80, and can even reverse the sign of curvature. This provides a strong quantitative argument for Aitchison geometry over Cartesian analysis.</w:t>
      </w:r>
    </w:p>
    <w:p>
      <w:pPr>
        <w:spacing w:after="0" w:before="80"/>
      </w:pPr>
    </w:p>
    <w:p>
      <w:pPr>
        <w:spacing w:after="160" w:line="320"/>
        <w:jc w:val="both"/>
      </w:pPr>
      <w:r>
        <w:rPr>
          <w:rFonts w:ascii="Calibri" w:cs="Calibri" w:eastAsia="Calibri" w:hAnsi="Calibri"/>
          <w:b/>
          <w:bCs/>
          <w:color w:val="1E2761"/>
          <w:sz w:val="23"/>
          <w:szCs w:val="23"/>
        </w:rPr>
        <w:t xml:space="preserve">5. Cross-Domain Universality. </w:t>
      </w:r>
      <w:r>
        <w:rPr>
          <w:rFonts w:ascii="Calibri" w:cs="Calibri" w:eastAsia="Calibri" w:hAnsi="Calibri"/>
          <w:color w:val="333344"/>
          <w:sz w:val="23"/>
          <w:szCs w:val="23"/>
        </w:rPr>
        <w:t xml:space="preserve">The same geometric framework classifies trajectories from stellar nucleosynthesis, quantum chromodynamics, general relativity, nuclear fusion, gravitational wave astronomy, and global electricity generation. This universality is a direct consequence of the Aitchison simplex structure: any system governed by a conservation law that partitions a whole into D parts lives on Sᵈ⁻¹, and the calibration septuple characterizes its trajectory.</w:t>
      </w:r>
    </w:p>
    <w:p>
      <w:pPr>
        <w:spacing w:after="0" w:before="100"/>
      </w:pPr>
    </w:p>
    <w:p>
      <w:pPr>
        <w:spacing w:after="160" w:line="320"/>
        <w:jc w:val="both"/>
      </w:pPr>
      <w:r>
        <w:rPr>
          <w:rFonts w:ascii="Calibri" w:cs="Calibri" w:eastAsia="Calibri" w:hAnsi="Calibri"/>
          <w:color w:val="333344"/>
          <w:sz w:val="23"/>
          <w:szCs w:val="23"/>
        </w:rPr>
        <w:t xml:space="preserve">These results invite a broader programme: extending the calibration septuple to D &gt; 3 (where the simplex is no longer a triangle but a higher-dimensional polytope), applying the parabola classifier to time-series compositions in geochemistry, ecology, and finance, and investigating whether the eigenvalue ratio λ₁/λ₂ of the ILR covariance matrix serves as a universal condition number for compositional systems.</w:t>
      </w:r>
    </w:p>
    <w:p>
      <w:pPr>
        <w:spacing w:after="160" w:line="320"/>
        <w:jc w:val="both"/>
      </w:pPr>
      <w:r>
        <w:rPr>
          <w:rFonts w:ascii="Calibri" w:cs="Calibri" w:eastAsia="Calibri" w:hAnsi="Calibri"/>
          <w:color w:val="333344"/>
          <w:sz w:val="23"/>
          <w:szCs w:val="23"/>
        </w:rPr>
        <w:t xml:space="preserve">For the CoDa community, the central message is this: the display calibration parameters that practitioners use every day to render ternary diagrams are not cosmetic choices. They are intrinsic geometric invariants of the Aitchison simplex, and they carry physical meaning. The instrument IS the measurement.</w:t>
      </w:r>
    </w:p>
    <w:p>
      <w:r>
        <w:br w:type="page"/>
      </w:r>
    </w:p>
    <w:p>
      <w:pPr>
        <w:pStyle w:val="Heading1"/>
        <w:spacing w:after="200" w:before="400"/>
      </w:pPr>
      <w:r>
        <w:rPr>
          <w:rFonts w:ascii="Georgia" w:cs="Georgia" w:eastAsia="Georgia" w:hAnsi="Georgia"/>
          <w:b/>
          <w:bCs/>
          <w:color w:val="1E2761"/>
          <w:sz w:val="36"/>
          <w:szCs w:val="36"/>
        </w:rPr>
        <w:t xml:space="preserve">Appendix A: Computational Methods</w:t>
      </w:r>
    </w:p>
    <w:p>
      <w:pPr>
        <w:pStyle w:val="Heading2"/>
        <w:spacing w:after="160" w:before="300"/>
      </w:pPr>
      <w:r>
        <w:rPr>
          <w:rFonts w:ascii="Georgia" w:cs="Georgia" w:eastAsia="Georgia" w:hAnsi="Georgia"/>
          <w:b/>
          <w:bCs/>
          <w:color w:val="1E2761"/>
          <w:sz w:val="28"/>
          <w:szCs w:val="28"/>
        </w:rPr>
        <w:t xml:space="preserve">A.1 Software</w:t>
      </w:r>
    </w:p>
    <w:p>
      <w:pPr>
        <w:spacing w:after="160" w:line="320"/>
        <w:jc w:val="both"/>
      </w:pPr>
      <w:r>
        <w:rPr>
          <w:rFonts w:ascii="Calibri" w:cs="Calibri" w:eastAsia="Calibri" w:hAnsi="Calibri"/>
          <w:color w:val="333344"/>
          <w:sz w:val="23"/>
          <w:szCs w:val="23"/>
        </w:rPr>
        <w:t xml:space="preserve">All computations were performed in Python 3.10 with NumPy 1.24, SciPy 1.11, and Matplotlib 3.7. ILR and CLR transforms were implemented from first principles using the Helmert sub-basis. The F-statistic is computed via standard OLS regression of the ILR quadratic model z₂ = a·z₁² + b·z₁ + c, with the F-test for the significance of the quadratic coefficient a.</w:t>
      </w:r>
    </w:p>
    <w:p>
      <w:pPr>
        <w:pStyle w:val="Heading2"/>
        <w:spacing w:after="160" w:before="300"/>
      </w:pPr>
      <w:r>
        <w:rPr>
          <w:rFonts w:ascii="Georgia" w:cs="Georgia" w:eastAsia="Georgia" w:hAnsi="Georgia"/>
          <w:b/>
          <w:bCs/>
          <w:color w:val="1E2761"/>
          <w:sz w:val="28"/>
          <w:szCs w:val="28"/>
        </w:rPr>
        <w:t xml:space="preserve">A.2 ILR Implementation</w:t>
      </w:r>
    </w:p>
    <w:p>
      <w:pPr>
        <w:spacing w:after="160" w:line="320"/>
        <w:jc w:val="both"/>
      </w:pPr>
      <w:r>
        <w:rPr>
          <w:rFonts w:ascii="Calibri" w:cs="Calibri" w:eastAsia="Calibri" w:hAnsi="Calibri"/>
          <w:color w:val="333344"/>
          <w:sz w:val="23"/>
          <w:szCs w:val="23"/>
        </w:rPr>
        <w:t xml:space="preserve">The ILR transform uses the Helmert sub-basis for D=3:</w:t>
      </w:r>
    </w:p>
    <w:p>
      <w:pPr>
        <w:spacing w:after="120" w:before="120"/>
        <w:jc w:val="center"/>
      </w:pPr>
      <w:r>
        <w:rPr>
          <w:rFonts w:ascii="Consolas" w:cs="Consolas" w:eastAsia="Consolas" w:hAnsi="Consolas"/>
          <w:color w:val="1A1A2E"/>
          <w:sz w:val="22"/>
          <w:szCs w:val="22"/>
        </w:rPr>
        <w:t xml:space="preserve">z₁ = (1/√2) ln(x₁/x₂)</w:t>
      </w:r>
    </w:p>
    <w:p>
      <w:pPr>
        <w:spacing w:after="120" w:before="120"/>
        <w:jc w:val="center"/>
      </w:pPr>
      <w:r>
        <w:rPr>
          <w:rFonts w:ascii="Consolas" w:cs="Consolas" w:eastAsia="Consolas" w:hAnsi="Consolas"/>
          <w:color w:val="1A1A2E"/>
          <w:sz w:val="22"/>
          <w:szCs w:val="22"/>
        </w:rPr>
        <w:t xml:space="preserve">z₂ = (1/√6) ln(x₁ · x₂ / x₃²)</w:t>
      </w:r>
    </w:p>
    <w:p>
      <w:pPr>
        <w:spacing w:after="160" w:line="320"/>
        <w:jc w:val="both"/>
      </w:pPr>
      <w:r>
        <w:rPr>
          <w:rFonts w:ascii="Calibri" w:cs="Calibri" w:eastAsia="Calibri" w:hAnsi="Calibri"/>
          <w:color w:val="333344"/>
          <w:sz w:val="23"/>
          <w:szCs w:val="23"/>
        </w:rPr>
        <w:t xml:space="preserve">This is isometric: the Euclidean distance in (z₁, z₂) space equals the Aitchison distance on the simplex. The isometry is verified numerically for every system by comparing Var_a (computed from the Aitchison inner product formula) with tr(Σ_ILR) (the trace of the ILR covariance matrix).</w:t>
      </w:r>
    </w:p>
    <w:p>
      <w:pPr>
        <w:pStyle w:val="Heading2"/>
        <w:spacing w:after="160" w:before="300"/>
      </w:pPr>
      <w:r>
        <w:rPr>
          <w:rFonts w:ascii="Georgia" w:cs="Georgia" w:eastAsia="Georgia" w:hAnsi="Georgia"/>
          <w:b/>
          <w:bCs/>
          <w:color w:val="1E2761"/>
          <w:sz w:val="28"/>
          <w:szCs w:val="28"/>
        </w:rPr>
        <w:t xml:space="preserve">A.3 F-Statistic Computation</w:t>
      </w:r>
    </w:p>
    <w:p>
      <w:pPr>
        <w:spacing w:after="160" w:line="320"/>
        <w:jc w:val="both"/>
      </w:pPr>
      <w:r>
        <w:rPr>
          <w:rFonts w:ascii="Calibri" w:cs="Calibri" w:eastAsia="Calibri" w:hAnsi="Calibri"/>
          <w:color w:val="333344"/>
          <w:sz w:val="23"/>
          <w:szCs w:val="23"/>
        </w:rPr>
        <w:t xml:space="preserve">The F-statistic for parabola classification is computed as follows. Given N observations of (z₁, z₂) in ILR space, we fit two models:</w:t>
      </w:r>
    </w:p>
    <w:p>
      <w:pPr>
        <w:spacing w:after="120" w:before="120"/>
        <w:jc w:val="center"/>
      </w:pPr>
      <w:r>
        <w:rPr>
          <w:rFonts w:ascii="Consolas" w:cs="Consolas" w:eastAsia="Consolas" w:hAnsi="Consolas"/>
          <w:color w:val="1A1A2E"/>
          <w:sz w:val="22"/>
          <w:szCs w:val="22"/>
        </w:rPr>
        <w:t xml:space="preserve">H₀ (geodesic): z₂ = b·z₁ + c     (linear, p=2)</w:t>
      </w:r>
    </w:p>
    <w:p>
      <w:pPr>
        <w:spacing w:after="120" w:before="120"/>
        <w:jc w:val="center"/>
      </w:pPr>
      <w:r>
        <w:rPr>
          <w:rFonts w:ascii="Consolas" w:cs="Consolas" w:eastAsia="Consolas" w:hAnsi="Consolas"/>
          <w:color w:val="1A1A2E"/>
          <w:sz w:val="22"/>
          <w:szCs w:val="22"/>
        </w:rPr>
        <w:t xml:space="preserve">H₁ (parabola): z₂ = a·z₁² + b·z₁ + c     (quadratic, p=3)</w:t>
      </w:r>
    </w:p>
    <w:p>
      <w:pPr>
        <w:spacing w:after="160" w:line="320"/>
        <w:jc w:val="both"/>
      </w:pPr>
      <w:r>
        <w:rPr>
          <w:rFonts w:ascii="Calibri" w:cs="Calibri" w:eastAsia="Calibri" w:hAnsi="Calibri"/>
          <w:color w:val="333344"/>
          <w:sz w:val="23"/>
          <w:szCs w:val="23"/>
        </w:rPr>
        <w:t xml:space="preserve">The F-statistic is F = [(RSS₀ - RSS₁)/(p₁-p₀)] / [RSS₁/(N-p₁)] where RSS is the residual sum of squares. Under H₀, F follows an F(1, N-3) distribution. We use F &gt; 10 as the classification threshold, corresponding to p &lt; 0.002 for N ≥ 25.</w:t>
      </w:r>
    </w:p>
    <w:p>
      <w:pPr>
        <w:pStyle w:val="Heading2"/>
        <w:spacing w:after="160" w:before="300"/>
      </w:pPr>
      <w:r>
        <w:rPr>
          <w:rFonts w:ascii="Georgia" w:cs="Georgia" w:eastAsia="Georgia" w:hAnsi="Georgia"/>
          <w:b/>
          <w:bCs/>
          <w:color w:val="1E2761"/>
          <w:sz w:val="28"/>
          <w:szCs w:val="28"/>
        </w:rPr>
        <w:t xml:space="preserve">A.4 Real Data Source</w:t>
      </w:r>
    </w:p>
    <w:p>
      <w:pPr>
        <w:spacing w:after="160" w:line="320"/>
        <w:jc w:val="both"/>
      </w:pPr>
      <w:r>
        <w:rPr>
          <w:rFonts w:ascii="Calibri" w:cs="Calibri" w:eastAsia="Calibri" w:hAnsi="Calibri"/>
          <w:color w:val="333344"/>
          <w:sz w:val="23"/>
          <w:szCs w:val="23"/>
        </w:rPr>
        <w:t xml:space="preserve">Real electricity data comes from the Ember Global Electricity Review (yearly_full_release_long_format.csv). For each country, we extract annual generation in TWh for Coal, Gas, and Nuclear fuels, close to the simplex, and retain only years where all three fuels have nonzero generation. This gives 25–26 data points per country spanning 2000–2025.</w:t>
      </w:r>
    </w:p>
    <w:p>
      <w:r>
        <w:br w:type="page"/>
      </w:r>
    </w:p>
    <w:p>
      <w:pPr>
        <w:pStyle w:val="Heading1"/>
        <w:spacing w:after="200" w:before="400"/>
      </w:pPr>
      <w:r>
        <w:rPr>
          <w:rFonts w:ascii="Georgia" w:cs="Georgia" w:eastAsia="Georgia" w:hAnsi="Georgia"/>
          <w:b/>
          <w:bCs/>
          <w:color w:val="1E2761"/>
          <w:sz w:val="36"/>
          <w:szCs w:val="36"/>
        </w:rPr>
        <w:t xml:space="preserve">Appendix B: Quick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E2761"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Term</w:t>
            </w:r>
          </w:p>
        </w:tc>
        <w:tc>
          <w:tcPr>
            <w:tcW w:type="dxa" w:w="3120"/>
            <w:tcBorders>
              <w:top w:val="single" w:color="B0C4DE" w:sz="1"/>
              <w:left w:val="single" w:color="B0C4DE" w:sz="1"/>
              <w:bottom w:val="single" w:color="B0C4DE" w:sz="1"/>
              <w:right w:val="single" w:color="B0C4DE" w:sz="1"/>
            </w:tcBorders>
            <w:shd w:fill="1E2761"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Definition / Formula</w:t>
            </w:r>
          </w:p>
        </w:tc>
        <w:tc>
          <w:tcPr>
            <w:tcW w:type="dxa" w:w="3120"/>
            <w:tcBorders>
              <w:top w:val="single" w:color="B0C4DE" w:sz="1"/>
              <w:left w:val="single" w:color="B0C4DE" w:sz="1"/>
              <w:bottom w:val="single" w:color="B0C4DE" w:sz="1"/>
              <w:right w:val="single" w:color="B0C4DE" w:sz="1"/>
            </w:tcBorders>
            <w:shd w:fill="1E2761"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Reference</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Aitchison distance</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d_a(x,y) = ||x ⊖ y||_a</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3.1</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Aitchison inner product</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⟨x,y⟩_a = (1/2D)ΣΣ ln(x_i/x_j)·ln(y_i/y_j)</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3.1</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Aitchison variance</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Var_a = tr(Σ_ILR)</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3</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Calibration Septuple</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(θ, σ, λ, t*, α, K, φ)</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5</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Cartesian Parabola Thm</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Parabola on S² ≠ Aitchison geodesic</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3.4</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CIP</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Compositional Integrity Protocol</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4</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CLR</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clr_k = ln(x_k) - (1/D)Σ ln(x_i)</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3.3</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Closure</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C(x)_k = x_k / Σ x_i</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2.1</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Condition number</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λ₁/λ₂ (ILR eigenvalue ratio)</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7</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Coverage σ</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Total Aitchison variance</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3</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Curvature K</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ILR geodesic curvature integral</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6</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Distortion tensor</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ε = param_ILR / param_Cart</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8</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EITT</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Entropy-Invariant Time Transformer</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2.4</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F-statistic</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ILR quadratic fit significance</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A.3</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Geodesic</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γ(t) = C(a^(1-t) ⊙ b^t)</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3.4</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HCDT</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Havrda-Charvát-Daróczy-Tsallis entropy</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2.4</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ILR</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z = Isometric Log-Ratio transform</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3.2</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Lift λ</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Max ILR perpendicular distance</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2</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Opening angle α</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Aitchison dispersion angle</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5</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Perturbation</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(p ⊕ x)_k = C(p_k · x_k)</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2.1</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Powering</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(α ⊙ x)_k = C(x_k^α)</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2.1</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Rotation θ</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CLR critical-point direction</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1</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Simplex S^(D-1)</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Sample space for D-part compositions</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Sec 2.1</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Slice angle φ</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ILR principal axis orientation</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7</w:t>
            </w:r>
          </w:p>
        </w:tc>
      </w:tr>
      <w:tr>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Vertex position t*</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CLR Jacobian null</w:t>
            </w:r>
          </w:p>
        </w:tc>
        <w:tc>
          <w:tcPr>
            <w:tcW w:type="dxa" w:w="3120"/>
            <w:tcBorders>
              <w:top w:val="single" w:color="B0C4DE" w:sz="1"/>
              <w:left w:val="single" w:color="B0C4DE" w:sz="1"/>
              <w:bottom w:val="single" w:color="B0C4DE" w:sz="1"/>
              <w:right w:val="single" w:color="B0C4DE" w:sz="1"/>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333344"/>
                <w:sz w:val="19"/>
                <w:szCs w:val="19"/>
              </w:rPr>
              <w:t xml:space="preserve">Thm 4</w:t>
            </w:r>
          </w:p>
        </w:tc>
      </w:tr>
    </w:tbl>
    <w:p>
      <w:pPr>
        <w:spacing w:after="0" w:before="200"/>
      </w:pPr>
    </w:p>
    <w:p>
      <w:pPr>
        <w:pBdr>
          <w:top w:val="single" w:color="1E2761" w:sz="2" w:space="8"/>
        </w:pBdr>
        <w:spacing w:after="60"/>
        <w:jc w:val="center"/>
      </w:pPr>
      <w:r>
        <w:rPr>
          <w:rFonts w:ascii="Calibri" w:cs="Calibri" w:eastAsia="Calibri" w:hAnsi="Calibri"/>
          <w:sz w:val="10"/>
          <w:szCs w:val="10"/>
        </w:rPr>
        <w:t xml:space="preserve"> </w:t>
      </w:r>
    </w:p>
    <w:p>
      <w:pPr>
        <w:spacing w:after="60"/>
        <w:jc w:val="center"/>
      </w:pPr>
      <w:r>
        <w:rPr>
          <w:rFonts w:ascii="Georgia" w:cs="Georgia" w:eastAsia="Georgia" w:hAnsi="Georgia"/>
          <w:i/>
          <w:iCs/>
          <w:color w:val="999999"/>
          <w:sz w:val="22"/>
          <w:szCs w:val="22"/>
        </w:rPr>
        <w:t xml:space="preserve">End of Document</w:t>
      </w:r>
    </w:p>
    <w:p>
      <w:pPr>
        <w:spacing w:after="0"/>
        <w:jc w:val="center"/>
      </w:pPr>
      <w:r>
        <w:rPr>
          <w:rFonts w:ascii="Calibri" w:cs="Calibri" w:eastAsia="Calibri" w:hAnsi="Calibri"/>
          <w:color w:val="999999"/>
          <w:sz w:val="20"/>
          <w:szCs w:val="20"/>
        </w:rPr>
        <w:t xml:space="preserve">EXP-13: The Simplex Parabola Hunter — Peter Higgins — CoDaWork2026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EXP-13: The Simplex Parabola Hunter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E2761"/>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1E2761"/>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acea4998c1da170eec48cebec4a1c9ab4b6647.png"/><Relationship Id="rId10" Type="http://schemas.openxmlformats.org/officeDocument/2006/relationships/image" Target="media/43138fcda67d0aba86f4e3f3db9904f00acbdd86.png"/><Relationship Id="rId11" Type="http://schemas.openxmlformats.org/officeDocument/2006/relationships/image" Target="media/1d9a558dd786b5cd84d03a0effb473ace4cce510.png"/><Relationship Id="rId12" Type="http://schemas.openxmlformats.org/officeDocument/2006/relationships/image" Target="media/aba1db80d3be55b967a8209a033255cd25d0f9b9.png"/><Relationship Id="rId13" Type="http://schemas.openxmlformats.org/officeDocument/2006/relationships/image" Target="media/21f337b74f862d7f896dca3716ac880c15905479.png"/><Relationship Id="rId14" Type="http://schemas.openxmlformats.org/officeDocument/2006/relationships/image" Target="media/772f0c403584ef1eb3d378cf0fd2a8a914c9c860.png"/><Relationship Id="rId15" Type="http://schemas.openxmlformats.org/officeDocument/2006/relationships/image" Target="media/2cdc8c02f0f80fb9af8c9ad76e0aa3006d254a7b.png"/><Relationship Id="rId16" Type="http://schemas.openxmlformats.org/officeDocument/2006/relationships/image" Target="media/323819d8e7c9a1a25c778ae60fb0713012d4bc8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2026-04-20T06:27:31.970Z</dcterms:created>
  <dcterms:modified xsi:type="dcterms:W3CDTF">2026-04-20T06:27:31.970Z</dcterms:modified>
</cp:coreProperties>
</file>

<file path=docProps/custom.xml><?xml version="1.0" encoding="utf-8"?>
<Properties xmlns="http://schemas.openxmlformats.org/officeDocument/2006/custom-properties" xmlns:vt="http://schemas.openxmlformats.org/officeDocument/2006/docPropsVTypes"/>
</file>