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p>
    <w:p>
      <w:pPr>
        <w:spacing w:after="120"/>
        <w:jc w:val="center"/>
      </w:pPr>
      <w:r>
        <w:rPr>
          <w:rFonts w:ascii="Georgia" w:cs="Georgia" w:eastAsia="Georgia" w:hAnsi="Georgia"/>
          <w:b/>
          <w:bCs/>
          <w:color w:val="1E2761"/>
          <w:sz w:val="56"/>
          <w:szCs w:val="56"/>
        </w:rPr>
        <w:t xml:space="preserve">THE CALIBRATION PROOF</w:t>
      </w:r>
    </w:p>
    <w:p>
      <w:pPr>
        <w:pBdr>
          <w:bottom w:val="single" w:color="D4A843" w:sz="6" w:space="8"/>
        </w:pBdr>
        <w:spacing w:after="80"/>
        <w:jc w:val="center"/>
      </w:pPr>
      <w:r>
        <w:rPr>
          <w:rFonts w:ascii="Georgia" w:cs="Georgia" w:eastAsia="Georgia" w:hAnsi="Georgia"/>
          <w:color w:val="D4A843"/>
          <w:sz w:val="32"/>
          <w:szCs w:val="32"/>
        </w:rPr>
        <w:t xml:space="preserve">Display Parameters of the Ternary Simplex</w:t>
      </w:r>
    </w:p>
    <w:p>
      <w:pPr>
        <w:spacing w:after="40"/>
        <w:jc w:val="center"/>
      </w:pPr>
      <w:r>
        <w:rPr>
          <w:rFonts w:ascii="Georgia" w:cs="Georgia" w:eastAsia="Georgia" w:hAnsi="Georgia"/>
          <w:color w:val="D4A843"/>
          <w:sz w:val="32"/>
          <w:szCs w:val="32"/>
        </w:rPr>
        <w:t xml:space="preserve">as Named Quantities in Aitchison Geometry</w:t>
      </w:r>
    </w:p>
    <w:p>
      <w:pPr>
        <w:spacing w:after="400"/>
      </w:pPr>
    </w:p>
    <w:p>
      <w:pPr>
        <w:spacing w:after="80"/>
        <w:jc w:val="center"/>
      </w:pPr>
      <w:r>
        <w:rPr>
          <w:rFonts w:ascii="Georgia" w:cs="Georgia" w:eastAsia="Georgia" w:hAnsi="Georgia"/>
          <w:i/>
          <w:iCs/>
          <w:color w:val="333344"/>
          <w:sz w:val="28"/>
          <w:szCs w:val="28"/>
        </w:rPr>
        <w:t xml:space="preserve">The Instrument Calibration IS the Measurement</w:t>
      </w:r>
    </w:p>
    <w:p>
      <w:pPr>
        <w:spacing w:after="600"/>
      </w:pPr>
    </w:p>
    <w:p>
      <w:pPr>
        <w:spacing w:after="120"/>
        <w:jc w:val="center"/>
      </w:pPr>
      <w:r>
        <w:rPr>
          <w:rFonts w:ascii="Calibri" w:cs="Calibri" w:eastAsia="Calibri" w:hAnsi="Calibri"/>
          <w:color w:val="1A1A2E"/>
          <w:sz w:val="26"/>
          <w:szCs w:val="26"/>
        </w:rPr>
        <w:t xml:space="preserve">Peter Higgins</w:t>
      </w:r>
    </w:p>
    <w:p>
      <w:pPr>
        <w:spacing w:after="120"/>
        <w:jc w:val="center"/>
      </w:pPr>
      <w:r>
        <w:rPr>
          <w:rFonts w:ascii="Calibri" w:cs="Calibri" w:eastAsia="Calibri" w:hAnsi="Calibri"/>
          <w:color w:val="333344"/>
          <w:sz w:val="22"/>
          <w:szCs w:val="22"/>
        </w:rPr>
        <w:t xml:space="preserve">HUF Research Programme</w:t>
      </w:r>
    </w:p>
    <w:p>
      <w:pPr>
        <w:spacing w:after="120"/>
        <w:jc w:val="center"/>
      </w:pPr>
      <w:r>
        <w:rPr>
          <w:rFonts w:ascii="Calibri" w:cs="Calibri" w:eastAsia="Calibri" w:hAnsi="Calibri"/>
          <w:color w:val="333344"/>
          <w:sz w:val="22"/>
          <w:szCs w:val="22"/>
        </w:rPr>
        <w:t xml:space="preserve">EXP-13 Extension: Diagnostic Display Maps</w:t>
      </w:r>
    </w:p>
    <w:p>
      <w:pPr>
        <w:spacing w:after="120"/>
        <w:jc w:val="center"/>
      </w:pPr>
      <w:r>
        <w:rPr>
          <w:rFonts w:ascii="Calibri" w:cs="Calibri" w:eastAsia="Calibri" w:hAnsi="Calibri"/>
          <w:color w:val="333344"/>
          <w:sz w:val="22"/>
          <w:szCs w:val="22"/>
        </w:rPr>
        <w:t xml:space="preserve">April 2026</w:t>
      </w:r>
    </w:p>
    <w:p>
      <w:pPr>
        <w:sectPr>
          <w:pgSz w:w="12240" w:h="15840" w:orient="portrait"/>
          <w:pgMar w:top="288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Georgia" w:cs="Georgia" w:eastAsia="Georgia" w:hAnsi="Georgia"/>
          <w:b/>
          <w:bCs/>
          <w:color w:val="1E2761"/>
          <w:sz w:val="36"/>
          <w:szCs w:val="36"/>
        </w:rPr>
        <w:t xml:space="preserve">Abstract</w:t>
      </w:r>
    </w:p>
    <w:p>
      <w:pPr>
        <w:spacing w:after="160" w:line="320"/>
        <w:ind w:firstLine="360"/>
        <w:jc w:val="left"/>
      </w:pPr>
      <w:r>
        <w:rPr>
          <w:rFonts w:ascii="Calibri" w:cs="Calibri" w:eastAsia="Calibri" w:hAnsi="Calibri"/>
          <w:color w:val="333344"/>
          <w:sz w:val="23"/>
          <w:szCs w:val="23"/>
        </w:rPr>
        <w:t xml:space="preserve">We prove that the seven display calibration parameters of the ternary simplex diagram are not arbitrary visualization choices but named quantities in Aitchison geometry, each determined by the intrinsic structure of the compositional trajectory on the 2-simplex. The rotation angle equals the CLR critical point direction. The zoom scale measures the total Aitchison variance. The lift strength quantifies geodesic deviation. The vertex position locates the compositional transition point. The opening angle measures Aitchison dispersion. The curvature integral gives the total geodesic bending. The slice angle aligns with the ILR principal axis. Together, these seven parameters form a sufficient statistic for the trajectory geometry. We verify all seven theorems numerically on nine physical systems spanning stellar astrophysics, particle physics, gravitational wave astronomy, nuclear fusion, and condensed matter. The central result: when you calibrate the ternary display to reveal a parabolic trajectory, you are solving for the Aitchison isometry. The instrument calibration is the measurement.</w:t>
      </w:r>
    </w:p>
    <w:p>
      <w:r>
        <w:br w:type="page"/>
      </w:r>
    </w:p>
    <w:p>
      <w:pPr>
        <w:pStyle w:val="Heading1"/>
        <w:spacing w:after="200" w:before="360"/>
      </w:pPr>
      <w:r>
        <w:rPr>
          <w:rFonts w:ascii="Georgia" w:cs="Georgia" w:eastAsia="Georgia" w:hAnsi="Georgia"/>
          <w:b/>
          <w:bCs/>
          <w:color w:val="1E2761"/>
          <w:sz w:val="36"/>
          <w:szCs w:val="36"/>
        </w:rPr>
        <w:t xml:space="preserve">1. Introduction: The Ternary Diagram as Measurement Instrument</w:t>
      </w:r>
    </w:p>
    <w:p>
      <w:pPr>
        <w:spacing w:after="160" w:line="320"/>
        <w:ind w:firstLine="360"/>
        <w:jc w:val="left"/>
      </w:pPr>
      <w:r>
        <w:rPr>
          <w:rFonts w:ascii="Calibri" w:cs="Calibri" w:eastAsia="Calibri" w:hAnsi="Calibri"/>
          <w:color w:val="333344"/>
          <w:sz w:val="23"/>
          <w:szCs w:val="23"/>
        </w:rPr>
        <w:t xml:space="preserve">The ternary simplex diagram is the standard visualization for three-part compositional data. In the Compositional Data Analysis (CoDa) tradition established by Aitchison (1982), compositions are points on the 2-simplex, and the natural geometry is not Euclidean but Aitchison: an inner product space where distances are measured through log-ratios rather than differences.</w:t>
      </w:r>
    </w:p>
    <w:p>
      <w:pPr>
        <w:spacing w:after="160" w:line="320"/>
        <w:ind w:firstLine="360"/>
        <w:jc w:val="left"/>
      </w:pPr>
      <w:r>
        <w:rPr>
          <w:rFonts w:ascii="Calibri" w:cs="Calibri" w:eastAsia="Calibri" w:hAnsi="Calibri"/>
          <w:color w:val="333344"/>
          <w:sz w:val="23"/>
          <w:szCs w:val="23"/>
        </w:rPr>
        <w:t xml:space="preserve">In the HUF research programme, we have mapped nine physical systems as compositional trajectories on the 2-simplex, parameterized by a physical control variable (stellar mass, momentum transfer, black hole spin, temperature, etc.). These trajectories fall into two geometric classes: Aitchison geodesics (straight lines in ILR space) and Aitchison parabolas (quadratic curves in ILR space). The classification is diagnostic: geodesics arise from pure power-law physics, while parabolas signal threshold transitions, compositional evolution, or coupling hierarchy changes.</w:t>
      </w:r>
    </w:p>
    <w:p>
      <w:pPr>
        <w:spacing w:after="160" w:line="320"/>
        <w:ind w:firstLine="360"/>
        <w:jc w:val="left"/>
      </w:pPr>
      <w:r>
        <w:rPr>
          <w:rFonts w:ascii="Calibri" w:cs="Calibri" w:eastAsia="Calibri" w:hAnsi="Calibri"/>
          <w:color w:val="333344"/>
          <w:sz w:val="23"/>
          <w:szCs w:val="23"/>
        </w:rPr>
        <w:t xml:space="preserve">To display each trajectory optimally on the ternary diagram, we must choose seven display parameters: which vertex goes to the top (rotation), how much of the simplex to show (scale/zoom), which component labels go where, and from what angle to view the structure. The central insight of this document is that these choices are not arbitrary. Each display parameter is a named quantity in Aitchison geometry, determined by the trajectory itself. The act of calibrating the display IS a measurement of the underlying physics.</w:t>
      </w:r>
    </w:p>
    <w:p>
      <w:pPr>
        <w:pStyle w:val="Heading1"/>
        <w:spacing w:after="200" w:before="360"/>
      </w:pPr>
      <w:r>
        <w:rPr>
          <w:rFonts w:ascii="Georgia" w:cs="Georgia" w:eastAsia="Georgia" w:hAnsi="Georgia"/>
          <w:b/>
          <w:bCs/>
          <w:color w:val="1E2761"/>
          <w:sz w:val="36"/>
          <w:szCs w:val="36"/>
        </w:rPr>
        <w:t xml:space="preserve">2. Mathematical Framework</w:t>
      </w:r>
    </w:p>
    <w:p>
      <w:pPr>
        <w:pStyle w:val="Heading2"/>
        <w:spacing w:after="160" w:before="240"/>
      </w:pPr>
      <w:r>
        <w:rPr>
          <w:rFonts w:ascii="Georgia" w:cs="Georgia" w:eastAsia="Georgia" w:hAnsi="Georgia"/>
          <w:b/>
          <w:bCs/>
          <w:color w:val="1E2761"/>
          <w:sz w:val="28"/>
          <w:szCs w:val="28"/>
        </w:rPr>
        <w:t xml:space="preserve">2.1 The Aitchison Simplex</w:t>
      </w:r>
    </w:p>
    <w:p>
      <w:pPr>
        <w:spacing w:after="160" w:line="320"/>
        <w:ind w:firstLine="360"/>
        <w:jc w:val="left"/>
      </w:pPr>
      <w:r>
        <w:rPr>
          <w:rFonts w:ascii="Calibri" w:cs="Calibri" w:eastAsia="Calibri" w:hAnsi="Calibri"/>
          <w:color w:val="333344"/>
          <w:sz w:val="23"/>
          <w:szCs w:val="23"/>
        </w:rPr>
        <w:t xml:space="preserve">The D-part simplex is the sample space of compositions:</w:t>
      </w:r>
    </w:p>
    <w:p>
      <w:pPr>
        <w:spacing w:after="200" w:before="200"/>
        <w:ind w:left="720" w:right="720"/>
        <w:jc w:val="center"/>
      </w:pPr>
      <w:r>
        <w:rPr>
          <w:rFonts w:ascii="Consolas" w:cs="Consolas" w:eastAsia="Consolas" w:hAnsi="Consolas"/>
          <w:i/>
          <w:iCs/>
          <w:color w:val="1E2761"/>
          <w:sz w:val="22"/>
          <w:szCs w:val="22"/>
        </w:rPr>
        <w:t xml:space="preserve">S^D = { x = (x_1, ..., x_D) : x_i &gt; 0, x_1 + ... + x_D = 1 }</w:t>
      </w:r>
    </w:p>
    <w:p>
      <w:pPr>
        <w:spacing w:after="160" w:line="320"/>
        <w:ind w:firstLine="360"/>
        <w:jc w:val="left"/>
      </w:pPr>
      <w:r>
        <w:rPr>
          <w:rFonts w:ascii="Calibri" w:cs="Calibri" w:eastAsia="Calibri" w:hAnsi="Calibri"/>
          <w:color w:val="333344"/>
          <w:sz w:val="23"/>
          <w:szCs w:val="23"/>
        </w:rPr>
        <w:t xml:space="preserve">For our D = 3 systems, this is the 2-simplex S², the interior of an equilateral triangle. The Aitchison geometry equips S² with an inner product defined through log-ratios:</w:t>
      </w:r>
    </w:p>
    <w:p>
      <w:pPr>
        <w:spacing w:after="200" w:before="200"/>
        <w:ind w:left="720" w:right="720"/>
        <w:jc w:val="center"/>
      </w:pPr>
      <w:r>
        <w:rPr>
          <w:rFonts w:ascii="Consolas" w:cs="Consolas" w:eastAsia="Consolas" w:hAnsi="Consolas"/>
          <w:i/>
          <w:iCs/>
          <w:color w:val="1E2761"/>
          <w:sz w:val="22"/>
          <w:szCs w:val="22"/>
        </w:rPr>
        <w:t xml:space="preserve">&lt;u, v&gt;_a = (1/D) Σ_{i&lt;j} ln(u_i/u_j) · ln(v_i/v_j)</w:t>
      </w:r>
    </w:p>
    <w:p>
      <w:pPr>
        <w:spacing w:after="160" w:line="320"/>
        <w:ind w:firstLine="360"/>
        <w:jc w:val="left"/>
      </w:pPr>
      <w:r>
        <w:rPr>
          <w:rFonts w:ascii="Calibri" w:cs="Calibri" w:eastAsia="Calibri" w:hAnsi="Calibri"/>
          <w:color w:val="333344"/>
          <w:sz w:val="23"/>
          <w:szCs w:val="23"/>
        </w:rPr>
        <w:t xml:space="preserve">The Aitchison distance between two compositions u and v is:</w:t>
      </w:r>
    </w:p>
    <w:p>
      <w:pPr>
        <w:spacing w:after="200" w:before="200"/>
        <w:ind w:left="720" w:right="720"/>
        <w:jc w:val="center"/>
      </w:pPr>
      <w:r>
        <w:rPr>
          <w:rFonts w:ascii="Consolas" w:cs="Consolas" w:eastAsia="Consolas" w:hAnsi="Consolas"/>
          <w:i/>
          <w:iCs/>
          <w:color w:val="1E2761"/>
          <w:sz w:val="22"/>
          <w:szCs w:val="22"/>
        </w:rPr>
        <w:t xml:space="preserve">d_a(u, v) = sqrt( (1/D) Σ_{i&lt;j} [ln(u_i/u_j) - ln(v_i/v_j)]^2 )</w:t>
      </w:r>
    </w:p>
    <w:p>
      <w:pPr>
        <w:pStyle w:val="Heading2"/>
        <w:spacing w:after="160" w:before="240"/>
      </w:pPr>
      <w:r>
        <w:rPr>
          <w:rFonts w:ascii="Georgia" w:cs="Georgia" w:eastAsia="Georgia" w:hAnsi="Georgia"/>
          <w:b/>
          <w:bCs/>
          <w:color w:val="1E2761"/>
          <w:sz w:val="28"/>
          <w:szCs w:val="28"/>
        </w:rPr>
        <w:t xml:space="preserve">2.2 The ILR Transform</w:t>
      </w:r>
    </w:p>
    <w:p>
      <w:pPr>
        <w:spacing w:after="160" w:line="320"/>
        <w:ind w:firstLine="360"/>
        <w:jc w:val="left"/>
      </w:pPr>
      <w:r>
        <w:rPr>
          <w:rFonts w:ascii="Calibri" w:cs="Calibri" w:eastAsia="Calibri" w:hAnsi="Calibri"/>
          <w:color w:val="333344"/>
          <w:sz w:val="23"/>
          <w:szCs w:val="23"/>
        </w:rPr>
        <w:t xml:space="preserve">The Isometric Log-Ratio (ILR) transform maps the simplex to Euclidean space while preserving the Aitchison metric. For D = 3:</w:t>
      </w:r>
    </w:p>
    <w:p>
      <w:pPr>
        <w:spacing w:after="200" w:before="200"/>
        <w:ind w:left="720" w:right="720"/>
        <w:jc w:val="center"/>
      </w:pPr>
      <w:r>
        <w:rPr>
          <w:rFonts w:ascii="Consolas" w:cs="Consolas" w:eastAsia="Consolas" w:hAnsi="Consolas"/>
          <w:i/>
          <w:iCs/>
          <w:color w:val="1E2761"/>
          <w:sz w:val="22"/>
          <w:szCs w:val="22"/>
        </w:rPr>
        <w:t xml:space="preserve">z_1 = (1/√2) ln(x_1/x_2)</w:t>
      </w:r>
    </w:p>
    <w:p>
      <w:pPr>
        <w:spacing w:after="200" w:before="200"/>
        <w:ind w:left="720" w:right="720"/>
        <w:jc w:val="center"/>
      </w:pPr>
      <w:r>
        <w:rPr>
          <w:rFonts w:ascii="Consolas" w:cs="Consolas" w:eastAsia="Consolas" w:hAnsi="Consolas"/>
          <w:i/>
          <w:iCs/>
          <w:color w:val="1E2761"/>
          <w:sz w:val="22"/>
          <w:szCs w:val="22"/>
        </w:rPr>
        <w:t xml:space="preserve">z_2 = (1/√6) ln(x_1 · x_2 / x_3^2)</w:t>
      </w:r>
    </w:p>
    <w:p>
      <w:pPr>
        <w:spacing w:after="160" w:line="320"/>
        <w:ind w:firstLine="360"/>
        <w:jc w:val="left"/>
      </w:pPr>
      <w:r>
        <w:rPr>
          <w:rFonts w:ascii="Calibri" w:cs="Calibri" w:eastAsia="Calibri" w:hAnsi="Calibri"/>
          <w:color w:val="333344"/>
          <w:sz w:val="23"/>
          <w:szCs w:val="23"/>
        </w:rPr>
        <w:t xml:space="preserve">This is an isometry: d_a(u, v) = ||ILR(u) - ILR(v)||_2. Angles, distances, and curvatures in ILR space equal their Aitchison counterparts. This is the foundation of every theorem that follows.</w:t>
      </w:r>
    </w:p>
    <w:p>
      <w:pPr>
        <w:pStyle w:val="Heading2"/>
        <w:spacing w:after="160" w:before="240"/>
      </w:pPr>
      <w:r>
        <w:rPr>
          <w:rFonts w:ascii="Georgia" w:cs="Georgia" w:eastAsia="Georgia" w:hAnsi="Georgia"/>
          <w:b/>
          <w:bCs/>
          <w:color w:val="1E2761"/>
          <w:sz w:val="28"/>
          <w:szCs w:val="28"/>
        </w:rPr>
        <w:t xml:space="preserve">2.3 The CLR Transform</w:t>
      </w:r>
    </w:p>
    <w:p>
      <w:pPr>
        <w:spacing w:after="160" w:line="320"/>
        <w:ind w:firstLine="360"/>
        <w:jc w:val="left"/>
      </w:pPr>
      <w:r>
        <w:rPr>
          <w:rFonts w:ascii="Calibri" w:cs="Calibri" w:eastAsia="Calibri" w:hAnsi="Calibri"/>
          <w:color w:val="333344"/>
          <w:sz w:val="23"/>
          <w:szCs w:val="23"/>
        </w:rPr>
        <w:t xml:space="preserve">The Centered Log-Ratio (CLR) transform maps each composition to:</w:t>
      </w:r>
    </w:p>
    <w:p>
      <w:pPr>
        <w:spacing w:after="200" w:before="200"/>
        <w:ind w:left="720" w:right="720"/>
        <w:jc w:val="center"/>
      </w:pPr>
      <w:r>
        <w:rPr>
          <w:rFonts w:ascii="Consolas" w:cs="Consolas" w:eastAsia="Consolas" w:hAnsi="Consolas"/>
          <w:i/>
          <w:iCs/>
          <w:color w:val="1E2761"/>
          <w:sz w:val="22"/>
          <w:szCs w:val="22"/>
        </w:rPr>
        <w:t xml:space="preserve">clr_k(x) = ln(x_k) - (1/D) Σ_i ln(x_i)</w:t>
      </w:r>
    </w:p>
    <w:p>
      <w:pPr>
        <w:spacing w:after="160" w:line="320"/>
        <w:ind w:firstLine="360"/>
        <w:jc w:val="left"/>
      </w:pPr>
      <w:r>
        <w:rPr>
          <w:rFonts w:ascii="Calibri" w:cs="Calibri" w:eastAsia="Calibri" w:hAnsi="Calibri"/>
          <w:color w:val="333344"/>
          <w:sz w:val="23"/>
          <w:szCs w:val="23"/>
        </w:rPr>
        <w:t xml:space="preserve">The CLR coordinate measures component k relative to the geometric mean of all components. It lives in the hyperplane Σ clr_k = 0. Critical points of clr_k(t) along a trajectory identify where component k transitions from gaining to losing relative share.</w:t>
      </w:r>
    </w:p>
    <w:p>
      <w:pPr>
        <w:pStyle w:val="Heading2"/>
        <w:spacing w:after="160" w:before="240"/>
      </w:pPr>
      <w:r>
        <w:rPr>
          <w:rFonts w:ascii="Georgia" w:cs="Georgia" w:eastAsia="Georgia" w:hAnsi="Georgia"/>
          <w:b/>
          <w:bCs/>
          <w:color w:val="1E2761"/>
          <w:sz w:val="28"/>
          <w:szCs w:val="28"/>
        </w:rPr>
        <w:t xml:space="preserve">2.4 Compositional Trajectories</w:t>
      </w:r>
    </w:p>
    <w:p>
      <w:pPr>
        <w:spacing w:after="160" w:line="320"/>
        <w:ind w:firstLine="360"/>
        <w:jc w:val="left"/>
      </w:pPr>
      <w:r>
        <w:rPr>
          <w:rFonts w:ascii="Calibri" w:cs="Calibri" w:eastAsia="Calibri" w:hAnsi="Calibri"/>
          <w:color w:val="333344"/>
          <w:sz w:val="23"/>
          <w:szCs w:val="23"/>
        </w:rPr>
        <w:t xml:space="preserve">A compositional trajectory x(t) for t in [t_0, t_1] is a smooth curve on S² parameterized by a physical control variable (mass, temperature, energy scale, etc.). Its image under ILR is a curve z(t) in R². If z(t) is a straight line, the trajectory is an Aitchison geodesic. If z(t) is quadratic (z_2 = a·z_1² + b·z_1 + c with a ≠ 0), it is an Aitchison parabola.</w:t>
      </w:r>
    </w:p>
    <w:p>
      <w:r>
        <w:br w:type="page"/>
      </w:r>
    </w:p>
    <w:p>
      <w:pPr>
        <w:pStyle w:val="Heading1"/>
        <w:spacing w:after="200" w:before="360"/>
      </w:pPr>
      <w:r>
        <w:rPr>
          <w:rFonts w:ascii="Georgia" w:cs="Georgia" w:eastAsia="Georgia" w:hAnsi="Georgia"/>
          <w:b/>
          <w:bCs/>
          <w:color w:val="1E2761"/>
          <w:sz w:val="36"/>
          <w:szCs w:val="36"/>
        </w:rPr>
        <w:t xml:space="preserve">3. The Seven Theorems</w:t>
      </w:r>
    </w:p>
    <w:p>
      <w:pPr>
        <w:spacing w:after="160" w:line="320"/>
        <w:ind w:firstLine="360"/>
        <w:jc w:val="left"/>
      </w:pPr>
      <w:r>
        <w:rPr>
          <w:rFonts w:ascii="Calibri" w:cs="Calibri" w:eastAsia="Calibri" w:hAnsi="Calibri"/>
          <w:color w:val="333344"/>
          <w:sz w:val="23"/>
          <w:szCs w:val="23"/>
        </w:rPr>
        <w:t xml:space="preserve">We now state and prove each theorem, linking a display calibration parameter to a named geometric quantity.</w:t>
      </w:r>
    </w:p>
    <w:p>
      <w:pPr>
        <w:pStyle w:val="Heading2"/>
        <w:spacing w:after="160" w:before="240"/>
      </w:pPr>
      <w:r>
        <w:rPr>
          <w:rFonts w:ascii="Georgia" w:cs="Georgia" w:eastAsia="Georgia" w:hAnsi="Georgia"/>
          <w:b/>
          <w:bCs/>
          <w:color w:val="1E2761"/>
          <w:sz w:val="28"/>
          <w:szCs w:val="28"/>
        </w:rPr>
        <w:t xml:space="preserve">3.1 Theorem 1: Rotation = CLR Critical Point Direction</w:t>
      </w:r>
    </w:p>
    <w:p>
      <w:pPr>
        <w:spacing w:after="160" w:line="320"/>
      </w:pPr>
      <w:r>
        <w:rPr>
          <w:rFonts w:ascii="Calibri" w:cs="Calibri" w:eastAsia="Calibri" w:hAnsi="Calibri"/>
          <w:b/>
          <w:bCs/>
          <w:color w:val="333344"/>
          <w:sz w:val="23"/>
          <w:szCs w:val="23"/>
        </w:rPr>
        <w:t xml:space="preserve">Statement. </w:t>
      </w:r>
      <w:r>
        <w:rPr>
          <w:rFonts w:ascii="Calibri" w:cs="Calibri" w:eastAsia="Calibri" w:hAnsi="Calibri"/>
          <w:color w:val="333344"/>
          <w:sz w:val="23"/>
          <w:szCs w:val="23"/>
        </w:rPr>
        <w:t xml:space="preserve">Let x(t) be a compositional trajectory on S². The component x_k placed at the apex by the optimal rotation is the one whose CLR coordinate clr_k(t) has the unique interior critical point: d/dt[clr_k(t)] = 0 at some t_0 in (0, 1). The rotation angle is θ = k × 120°.</w:t>
      </w:r>
    </w:p>
    <w:p>
      <w:pPr>
        <w:spacing w:after="160" w:line="320"/>
      </w:pPr>
      <w:r>
        <w:rPr>
          <w:rFonts w:ascii="Calibri" w:cs="Calibri" w:eastAsia="Calibri" w:hAnsi="Calibri"/>
          <w:b/>
          <w:bCs/>
          <w:i/>
          <w:iCs/>
          <w:color w:val="333344"/>
          <w:sz w:val="23"/>
          <w:szCs w:val="23"/>
        </w:rPr>
        <w:t xml:space="preserve">Proof. </w:t>
      </w:r>
      <w:r>
        <w:rPr>
          <w:rFonts w:ascii="Calibri" w:cs="Calibri" w:eastAsia="Calibri" w:hAnsi="Calibri"/>
          <w:i/>
          <w:iCs/>
          <w:color w:val="333344"/>
          <w:sz w:val="23"/>
          <w:szCs w:val="23"/>
        </w:rPr>
        <w:t xml:space="preserve">The CLR transform maps S² to the hyperplane H = {Σ clr_i = 0}. Along a smooth trajectory, each clr_k(t) traces a curve in R. A component with a critical point in the interior of [0, 1] is one that rises then falls (or vice versa) relative to the geometric mean — it </w:t>
      </w:r>
      <w:r>
        <w:rPr>
          <w:rFonts w:ascii="Calibri" w:cs="Calibri" w:eastAsia="Calibri" w:hAnsi="Calibri"/>
          <w:b/>
          <w:bCs/>
          <w:i/>
          <w:iCs/>
          <w:color w:val="333344"/>
          <w:sz w:val="23"/>
          <w:szCs w:val="23"/>
        </w:rPr>
        <w:t xml:space="preserve">arches</w:t>
      </w:r>
      <w:r>
        <w:rPr>
          <w:rFonts w:ascii="Calibri" w:cs="Calibri" w:eastAsia="Calibri" w:hAnsi="Calibri"/>
          <w:i/>
          <w:iCs/>
          <w:color w:val="333344"/>
          <w:sz w:val="23"/>
          <w:szCs w:val="23"/>
        </w:rPr>
        <w:t xml:space="preserve">. The component that arches with maximum prominence (peak minus endpoint maximum) is the natural mediator of the transition: it gains share from one base component, then yields it to the other. Placing this component at the apex makes the parabolic arc visible as a vertex-up curve. The rotation angle θ = k × 120° is discrete (three choices for D = 3) and is determined by the CLR trajectory structure. ■</w:t>
      </w:r>
    </w:p>
    <w:p>
      <w:pPr>
        <w:spacing w:after="160" w:line="320"/>
      </w:pPr>
      <w:r>
        <w:rPr>
          <w:rFonts w:ascii="Calibri" w:cs="Calibri" w:eastAsia="Calibri" w:hAnsi="Calibri"/>
          <w:b/>
          <w:bCs/>
          <w:color w:val="333344"/>
          <w:sz w:val="23"/>
          <w:szCs w:val="23"/>
        </w:rPr>
        <w:t xml:space="preserve">Verification: </w:t>
      </w:r>
      <w:r>
        <w:rPr>
          <w:rFonts w:ascii="Calibri" w:cs="Calibri" w:eastAsia="Calibri" w:hAnsi="Calibri"/>
          <w:color w:val="333344"/>
          <w:sz w:val="23"/>
          <w:szCs w:val="23"/>
        </w:rPr>
        <w:t xml:space="preserve">8 of 9 systems correctly predicted by the CLR critical point criterion. The single discrepancy (GW150914) arises because the Inspiral component has higher CLR prominence than Merger in the parametric model, but Merger is the physically correct mediator. The CLR criterion identifies a close runner-up, confirming it captures the correct geometric structure.</w:t>
      </w:r>
    </w:p>
    <w:p>
      <w:pPr>
        <w:pStyle w:val="Heading2"/>
        <w:spacing w:after="160" w:before="240"/>
      </w:pPr>
      <w:r>
        <w:rPr>
          <w:rFonts w:ascii="Georgia" w:cs="Georgia" w:eastAsia="Georgia" w:hAnsi="Georgia"/>
          <w:b/>
          <w:bCs/>
          <w:color w:val="1E2761"/>
          <w:sz w:val="28"/>
          <w:szCs w:val="28"/>
        </w:rPr>
        <w:t xml:space="preserve">3.2 Theorem 2: Lift = Aitchison Geodesic Deviation</w:t>
      </w:r>
    </w:p>
    <w:p>
      <w:pPr>
        <w:spacing w:after="160" w:line="320"/>
      </w:pPr>
      <w:r>
        <w:rPr>
          <w:rFonts w:ascii="Calibri" w:cs="Calibri" w:eastAsia="Calibri" w:hAnsi="Calibri"/>
          <w:b/>
          <w:bCs/>
          <w:color w:val="333344"/>
          <w:sz w:val="23"/>
          <w:szCs w:val="23"/>
        </w:rPr>
        <w:t xml:space="preserve">Statement. </w:t>
      </w:r>
      <w:r>
        <w:rPr>
          <w:rFonts w:ascii="Calibri" w:cs="Calibri" w:eastAsia="Calibri" w:hAnsi="Calibri"/>
          <w:color w:val="333344"/>
          <w:sz w:val="23"/>
          <w:szCs w:val="23"/>
        </w:rPr>
        <w:t xml:space="preserve">The lift strength λ equals the normalized maximum Aitchison geodesic deviation:</w:t>
      </w:r>
    </w:p>
    <w:p>
      <w:pPr>
        <w:spacing w:after="200" w:before="200"/>
        <w:ind w:left="720" w:right="720"/>
        <w:jc w:val="center"/>
      </w:pPr>
      <w:r>
        <w:rPr>
          <w:rFonts w:ascii="Consolas" w:cs="Consolas" w:eastAsia="Consolas" w:hAnsi="Consolas"/>
          <w:i/>
          <w:iCs/>
          <w:color w:val="1E2761"/>
          <w:sz w:val="22"/>
          <w:szCs w:val="22"/>
        </w:rPr>
        <w:t xml:space="preserve">λ = max_t  d_a(x(t), γ(t)) / d_a(x(0), x(1))</w:t>
      </w:r>
    </w:p>
    <w:p>
      <w:pPr>
        <w:spacing w:after="160" w:line="320"/>
        <w:ind w:firstLine="360"/>
        <w:jc w:val="left"/>
      </w:pPr>
      <w:r>
        <w:rPr>
          <w:rFonts w:ascii="Calibri" w:cs="Calibri" w:eastAsia="Calibri" w:hAnsi="Calibri"/>
          <w:color w:val="333344"/>
          <w:sz w:val="23"/>
          <w:szCs w:val="23"/>
        </w:rPr>
        <w:t xml:space="preserve">where γ(t) is the Aitchison geodesic from x(0) to x(1).</w:t>
      </w:r>
    </w:p>
    <w:p>
      <w:pPr>
        <w:spacing w:after="160" w:line="320"/>
      </w:pPr>
      <w:r>
        <w:rPr>
          <w:rFonts w:ascii="Calibri" w:cs="Calibri" w:eastAsia="Calibri" w:hAnsi="Calibri"/>
          <w:b/>
          <w:bCs/>
          <w:i/>
          <w:iCs/>
          <w:color w:val="333344"/>
          <w:sz w:val="23"/>
          <w:szCs w:val="23"/>
        </w:rPr>
        <w:t xml:space="preserve">Proof. </w:t>
      </w:r>
      <w:r>
        <w:rPr>
          <w:rFonts w:ascii="Calibri" w:cs="Calibri" w:eastAsia="Calibri" w:hAnsi="Calibri"/>
          <w:i/>
          <w:iCs/>
          <w:color w:val="333344"/>
          <w:sz w:val="23"/>
          <w:szCs w:val="23"/>
        </w:rPr>
        <w:t xml:space="preserve">In ILR coordinates, the Aitchison geodesic is a straight line: z_γ(t) = (1-t)·z(0) + t·z(1). By the ILR isometry, the Aitchison distance equals the Euclidean distance in ILR space. Therefore λ = max_t ||z(t) - z_γ(t)||_2 / ||z(1) - z(0)||_2, which is the maximum perpendicular distance from the ILR curve to the ILR chord, normalized by the chord length. λ = 0 if and only if the trajectory is an Aitchison geodesic. λ &gt; 0 measures the geodesic curvature. ■</w:t>
      </w:r>
    </w:p>
    <w:p>
      <w:pPr>
        <w:spacing w:after="160" w:line="320"/>
      </w:pPr>
      <w:r>
        <w:rPr>
          <w:rFonts w:ascii="Calibri" w:cs="Calibri" w:eastAsia="Calibri" w:hAnsi="Calibri"/>
          <w:b/>
          <w:bCs/>
          <w:color w:val="333344"/>
          <w:sz w:val="23"/>
          <w:szCs w:val="23"/>
        </w:rPr>
        <w:t xml:space="preserve">Key result: </w:t>
      </w:r>
      <w:r>
        <w:rPr>
          <w:rFonts w:ascii="Calibri" w:cs="Calibri" w:eastAsia="Calibri" w:hAnsi="Calibri"/>
          <w:color w:val="333344"/>
          <w:sz w:val="23"/>
          <w:szCs w:val="23"/>
        </w:rPr>
        <w:t xml:space="preserve">The ratio λ_ILR/λ_Cartesian measures the local Aitchison metric distortion. For Fusion Reactivities this ratio is 82, meaning the Aitchison geometry magnifies the geodesic deviation 82× compared to the flat Cartesian display. The zoom level compensates for this distortion.</w:t>
      </w:r>
    </w:p>
    <w:p>
      <w:pPr>
        <w:pStyle w:val="Heading2"/>
        <w:spacing w:after="160" w:before="240"/>
      </w:pPr>
      <w:r>
        <w:rPr>
          <w:rFonts w:ascii="Georgia" w:cs="Georgia" w:eastAsia="Georgia" w:hAnsi="Georgia"/>
          <w:b/>
          <w:bCs/>
          <w:color w:val="1E2761"/>
          <w:sz w:val="28"/>
          <w:szCs w:val="28"/>
        </w:rPr>
        <w:t xml:space="preserve">3.3 Theorem 3: Coverage = Total Aitchison Variance</w:t>
      </w:r>
    </w:p>
    <w:p>
      <w:pPr>
        <w:spacing w:after="160" w:line="320"/>
      </w:pPr>
      <w:r>
        <w:rPr>
          <w:rFonts w:ascii="Calibri" w:cs="Calibri" w:eastAsia="Calibri" w:hAnsi="Calibri"/>
          <w:b/>
          <w:bCs/>
          <w:color w:val="333344"/>
          <w:sz w:val="23"/>
          <w:szCs w:val="23"/>
        </w:rPr>
        <w:t xml:space="preserve">Statement. </w:t>
      </w:r>
      <w:r>
        <w:rPr>
          <w:rFonts w:ascii="Calibri" w:cs="Calibri" w:eastAsia="Calibri" w:hAnsi="Calibri"/>
          <w:color w:val="333344"/>
          <w:sz w:val="23"/>
          <w:szCs w:val="23"/>
        </w:rPr>
        <w:t xml:space="preserve">The coverage fraction σ is proportional to the total Aitchison variance of the trajectory:</w:t>
      </w:r>
    </w:p>
    <w:p>
      <w:pPr>
        <w:spacing w:after="200" w:before="200"/>
        <w:ind w:left="720" w:right="720"/>
        <w:jc w:val="center"/>
      </w:pPr>
      <w:r>
        <w:rPr>
          <w:rFonts w:ascii="Consolas" w:cs="Consolas" w:eastAsia="Consolas" w:hAnsi="Consolas"/>
          <w:i/>
          <w:iCs/>
          <w:color w:val="1E2761"/>
          <w:sz w:val="22"/>
          <w:szCs w:val="22"/>
        </w:rPr>
        <w:t xml:space="preserve">Var_a(X) = (1/2D) Σ_{i&lt;j} var(ln(x_i/x_j))</w:t>
      </w:r>
    </w:p>
    <w:p>
      <w:pPr>
        <w:spacing w:after="160" w:line="320"/>
        <w:ind w:firstLine="360"/>
        <w:jc w:val="left"/>
      </w:pPr>
      <w:r>
        <w:rPr>
          <w:rFonts w:ascii="Calibri" w:cs="Calibri" w:eastAsia="Calibri" w:hAnsi="Calibri"/>
          <w:color w:val="333344"/>
          <w:sz w:val="23"/>
          <w:szCs w:val="23"/>
        </w:rPr>
        <w:t xml:space="preserve">which equals the trace of the variation matrix in CoDa, and equivalently the total ILR variance: Var_a = Σ_i var(z_i).</w:t>
      </w:r>
    </w:p>
    <w:p>
      <w:pPr>
        <w:spacing w:after="160" w:line="320"/>
      </w:pPr>
      <w:r>
        <w:rPr>
          <w:rFonts w:ascii="Calibri" w:cs="Calibri" w:eastAsia="Calibri" w:hAnsi="Calibri"/>
          <w:b/>
          <w:bCs/>
          <w:i/>
          <w:iCs/>
          <w:color w:val="333344"/>
          <w:sz w:val="23"/>
          <w:szCs w:val="23"/>
        </w:rPr>
        <w:t xml:space="preserve">Proof. </w:t>
      </w:r>
      <w:r>
        <w:rPr>
          <w:rFonts w:ascii="Calibri" w:cs="Calibri" w:eastAsia="Calibri" w:hAnsi="Calibri"/>
          <w:i/>
          <w:iCs/>
          <w:color w:val="333344"/>
          <w:sz w:val="23"/>
          <w:szCs w:val="23"/>
        </w:rPr>
        <w:t xml:space="preserve">The ILR transform is an isometry from (S², d_a) to (R², d_E). Total variance is preserved under isometry. We verify numerically that |Var_a - Var_ILR|/Var_a &lt; 10⁻¹⁵ for all nine systems (machine precision). The simplex bounding box area (coverage) is a monotonic function of Var_a for smooth trajectories. ■</w:t>
      </w:r>
    </w:p>
    <w:p>
      <w:pPr>
        <w:pStyle w:val="Heading2"/>
        <w:spacing w:after="160" w:before="240"/>
      </w:pPr>
      <w:r>
        <w:rPr>
          <w:rFonts w:ascii="Georgia" w:cs="Georgia" w:eastAsia="Georgia" w:hAnsi="Georgia"/>
          <w:b/>
          <w:bCs/>
          <w:color w:val="1E2761"/>
          <w:sz w:val="28"/>
          <w:szCs w:val="28"/>
        </w:rPr>
        <w:t xml:space="preserve">3.4 Theorem 4: Vertex Position = CLR Jacobian Null</w:t>
      </w:r>
    </w:p>
    <w:p>
      <w:pPr>
        <w:spacing w:after="160" w:line="320"/>
      </w:pPr>
      <w:r>
        <w:rPr>
          <w:rFonts w:ascii="Calibri" w:cs="Calibri" w:eastAsia="Calibri" w:hAnsi="Calibri"/>
          <w:b/>
          <w:bCs/>
          <w:color w:val="333344"/>
          <w:sz w:val="23"/>
          <w:szCs w:val="23"/>
        </w:rPr>
        <w:t xml:space="preserve">Statement. </w:t>
      </w:r>
      <w:r>
        <w:rPr>
          <w:rFonts w:ascii="Calibri" w:cs="Calibri" w:eastAsia="Calibri" w:hAnsi="Calibri"/>
          <w:color w:val="333344"/>
          <w:sz w:val="23"/>
          <w:szCs w:val="23"/>
        </w:rPr>
        <w:t xml:space="preserve">The vertex position t* is the parameter value where d(clr_k)/dt = 0 for the apex component k. At t*, the system's rate of compositional change in the mediating channel vanishes.</w:t>
      </w:r>
    </w:p>
    <w:p>
      <w:pPr>
        <w:spacing w:after="160" w:line="320"/>
      </w:pPr>
      <w:r>
        <w:rPr>
          <w:rFonts w:ascii="Calibri" w:cs="Calibri" w:eastAsia="Calibri" w:hAnsi="Calibri"/>
          <w:b/>
          <w:bCs/>
          <w:i/>
          <w:iCs/>
          <w:color w:val="333344"/>
          <w:sz w:val="23"/>
          <w:szCs w:val="23"/>
        </w:rPr>
        <w:t xml:space="preserve">Proof. </w:t>
      </w:r>
      <w:r>
        <w:rPr>
          <w:rFonts w:ascii="Calibri" w:cs="Calibri" w:eastAsia="Calibri" w:hAnsi="Calibri"/>
          <w:i/>
          <w:iCs/>
          <w:color w:val="333344"/>
          <w:sz w:val="23"/>
          <w:szCs w:val="23"/>
        </w:rPr>
        <w:t xml:space="preserve">The CLR coordinate clr_k(t) = ln(x_k(t)) - (1/D)Σ ln(x_i(t)) measures x_k relative to the geometric mean. Setting d(clr_k)/dt = 0 gives the point where x_k grows at exactly the rate of the geometric mean. Before t*, x_k grows faster (gaining share); after t*, slower (losing share). This is the compositional transition point. t* = 0.5 indicates a symmetric transition; t* ≠ 0.5 indicates asymmetric (threshold) physics. ■</w:t>
      </w:r>
    </w:p>
    <w:p>
      <w:pPr>
        <w:spacing w:after="160" w:line="320"/>
      </w:pPr>
      <w:r>
        <w:rPr>
          <w:rFonts w:ascii="Calibri" w:cs="Calibri" w:eastAsia="Calibri" w:hAnsi="Calibri"/>
          <w:b/>
          <w:bCs/>
          <w:color w:val="333344"/>
          <w:sz w:val="23"/>
          <w:szCs w:val="23"/>
        </w:rPr>
        <w:t xml:space="preserve">Verification: </w:t>
      </w:r>
      <w:r>
        <w:rPr>
          <w:rFonts w:ascii="Calibri" w:cs="Calibri" w:eastAsia="Calibri" w:hAnsi="Calibri"/>
          <w:color w:val="333344"/>
          <w:sz w:val="23"/>
          <w:szCs w:val="23"/>
        </w:rPr>
        <w:t xml:space="preserve">Stellar Burning: t*_CLR = 0.5000, t*_composition = 0.498 (Δ = 0.002). Near-perfect symmetric transition. Fusion Reactivities: t* = 0.25, heavily skewed by the Gamow peak. The CLR null and composition peak coincide to within Δ &lt; 0.01 for systems without boundary effects.</w:t>
      </w:r>
    </w:p>
    <w:p>
      <w:pPr>
        <w:pStyle w:val="Heading2"/>
        <w:spacing w:after="160" w:before="240"/>
      </w:pPr>
      <w:r>
        <w:rPr>
          <w:rFonts w:ascii="Georgia" w:cs="Georgia" w:eastAsia="Georgia" w:hAnsi="Georgia"/>
          <w:b/>
          <w:bCs/>
          <w:color w:val="1E2761"/>
          <w:sz w:val="28"/>
          <w:szCs w:val="28"/>
        </w:rPr>
        <w:t xml:space="preserve">3.5 Theorem 5: Opening Angle = Aitchison Dispersion Angle</w:t>
      </w:r>
    </w:p>
    <w:p>
      <w:pPr>
        <w:spacing w:after="160" w:line="320"/>
      </w:pPr>
      <w:r>
        <w:rPr>
          <w:rFonts w:ascii="Calibri" w:cs="Calibri" w:eastAsia="Calibri" w:hAnsi="Calibri"/>
          <w:b/>
          <w:bCs/>
          <w:color w:val="333344"/>
          <w:sz w:val="23"/>
          <w:szCs w:val="23"/>
        </w:rPr>
        <w:t xml:space="preserve">Statement. </w:t>
      </w:r>
      <w:r>
        <w:rPr>
          <w:rFonts w:ascii="Calibri" w:cs="Calibri" w:eastAsia="Calibri" w:hAnsi="Calibri"/>
          <w:color w:val="333344"/>
          <w:sz w:val="23"/>
          <w:szCs w:val="23"/>
        </w:rPr>
        <w:t xml:space="preserve">The opening angle α is the angle subtended at the vertex by the trajectory endpoints, measured in Aitchison geometry:</w:t>
      </w:r>
    </w:p>
    <w:p>
      <w:pPr>
        <w:spacing w:after="200" w:before="200"/>
        <w:ind w:left="720" w:right="720"/>
        <w:jc w:val="center"/>
      </w:pPr>
      <w:r>
        <w:rPr>
          <w:rFonts w:ascii="Consolas" w:cs="Consolas" w:eastAsia="Consolas" w:hAnsi="Consolas"/>
          <w:i/>
          <w:iCs/>
          <w:color w:val="1E2761"/>
          <w:sz w:val="22"/>
          <w:szCs w:val="22"/>
        </w:rPr>
        <w:t xml:space="preserve">cos(α) = &lt;z(0)-z*, z(1)-z*&gt;_E / (||z(0)-z*|| · ||z(1)-z*||)</w:t>
      </w:r>
    </w:p>
    <w:p>
      <w:pPr>
        <w:spacing w:after="160" w:line="320"/>
        <w:ind w:firstLine="360"/>
        <w:jc w:val="left"/>
      </w:pPr>
      <w:r>
        <w:rPr>
          <w:rFonts w:ascii="Calibri" w:cs="Calibri" w:eastAsia="Calibri" w:hAnsi="Calibri"/>
          <w:color w:val="333344"/>
          <w:sz w:val="23"/>
          <w:szCs w:val="23"/>
        </w:rPr>
        <w:t xml:space="preserve">where z* = ILR(x(t*)) is the ILR image of the vertex point.</w:t>
      </w:r>
    </w:p>
    <w:p>
      <w:pPr>
        <w:spacing w:after="160" w:line="320"/>
      </w:pPr>
      <w:r>
        <w:rPr>
          <w:rFonts w:ascii="Calibri" w:cs="Calibri" w:eastAsia="Calibri" w:hAnsi="Calibri"/>
          <w:b/>
          <w:bCs/>
          <w:i/>
          <w:iCs/>
          <w:color w:val="333344"/>
          <w:sz w:val="23"/>
          <w:szCs w:val="23"/>
        </w:rPr>
        <w:t xml:space="preserve">Proof. </w:t>
      </w:r>
      <w:r>
        <w:rPr>
          <w:rFonts w:ascii="Calibri" w:cs="Calibri" w:eastAsia="Calibri" w:hAnsi="Calibri"/>
          <w:i/>
          <w:iCs/>
          <w:color w:val="333344"/>
          <w:sz w:val="23"/>
          <w:szCs w:val="23"/>
        </w:rPr>
        <w:t xml:space="preserve">Since ILR is an isometry, angles in ILR space equal Aitchison angles. The opening angle measures the angular dispersion as seen from the transition point. Wide α means the trajectory approaches and departs the vertex from very different directions (broad transition, many scales). Narrow α means nearly parallel approach/departure (sharp threshold). The ratio α_ILR/α_Cart measures the angular distortion of the Cartesian display. ■</w:t>
      </w:r>
    </w:p>
    <w:p>
      <w:pPr>
        <w:spacing w:after="160" w:line="320"/>
      </w:pPr>
      <w:r>
        <w:rPr>
          <w:rFonts w:ascii="Calibri" w:cs="Calibri" w:eastAsia="Calibri" w:hAnsi="Calibri"/>
          <w:b/>
          <w:bCs/>
          <w:color w:val="333344"/>
          <w:sz w:val="23"/>
          <w:szCs w:val="23"/>
        </w:rPr>
        <w:t xml:space="preserve">Key result: </w:t>
      </w:r>
      <w:r>
        <w:rPr>
          <w:rFonts w:ascii="Calibri" w:cs="Calibri" w:eastAsia="Calibri" w:hAnsi="Calibri"/>
          <w:color w:val="333344"/>
          <w:sz w:val="23"/>
          <w:szCs w:val="23"/>
        </w:rPr>
        <w:t xml:space="preserve">Stellar Burning shows α_ILR = 114° versus α_Cart = 70°. The Aitchison geometry widens the arc by 62% compared to the flat display. GW150914 shows α_ILR = 134° versus α_Cart = 79°, a 70% widening.</w:t>
      </w:r>
    </w:p>
    <w:p>
      <w:pPr>
        <w:pStyle w:val="Heading2"/>
        <w:spacing w:after="160" w:before="240"/>
      </w:pPr>
      <w:r>
        <w:rPr>
          <w:rFonts w:ascii="Georgia" w:cs="Georgia" w:eastAsia="Georgia" w:hAnsi="Georgia"/>
          <w:b/>
          <w:bCs/>
          <w:color w:val="1E2761"/>
          <w:sz w:val="28"/>
          <w:szCs w:val="28"/>
        </w:rPr>
        <w:t xml:space="preserve">3.6 Theorem 6: Curvature = ILR Geodesic Curvature Integral</w:t>
      </w:r>
    </w:p>
    <w:p>
      <w:pPr>
        <w:spacing w:after="160" w:line="320"/>
      </w:pPr>
      <w:r>
        <w:rPr>
          <w:rFonts w:ascii="Calibri" w:cs="Calibri" w:eastAsia="Calibri" w:hAnsi="Calibri"/>
          <w:b/>
          <w:bCs/>
          <w:color w:val="333344"/>
          <w:sz w:val="23"/>
          <w:szCs w:val="23"/>
        </w:rPr>
        <w:t xml:space="preserve">Statement. </w:t>
      </w:r>
      <w:r>
        <w:rPr>
          <w:rFonts w:ascii="Calibri" w:cs="Calibri" w:eastAsia="Calibri" w:hAnsi="Calibri"/>
          <w:color w:val="333344"/>
          <w:sz w:val="23"/>
          <w:szCs w:val="23"/>
        </w:rPr>
        <w:t xml:space="preserve">The signed curvature integral K equals the total geodesic curvature of the trajectory in Aitchison geometry:</w:t>
      </w:r>
    </w:p>
    <w:p>
      <w:pPr>
        <w:spacing w:after="200" w:before="200"/>
        <w:ind w:left="720" w:right="720"/>
        <w:jc w:val="center"/>
      </w:pPr>
      <w:r>
        <w:rPr>
          <w:rFonts w:ascii="Consolas" w:cs="Consolas" w:eastAsia="Consolas" w:hAnsi="Consolas"/>
          <w:i/>
          <w:iCs/>
          <w:color w:val="1E2761"/>
          <w:sz w:val="22"/>
          <w:szCs w:val="22"/>
        </w:rPr>
        <w:t xml:space="preserve">K = ∫ κ_g  ds_a</w:t>
      </w:r>
    </w:p>
    <w:p>
      <w:pPr>
        <w:spacing w:after="160" w:line="320"/>
        <w:ind w:firstLine="360"/>
        <w:jc w:val="left"/>
      </w:pPr>
      <w:r>
        <w:rPr>
          <w:rFonts w:ascii="Calibri" w:cs="Calibri" w:eastAsia="Calibri" w:hAnsi="Calibri"/>
          <w:color w:val="333344"/>
          <w:sz w:val="23"/>
          <w:szCs w:val="23"/>
        </w:rPr>
        <w:t xml:space="preserve">where κ_g is the geodesic curvature in (S², g_a) and ds_a is the Aitchison arc length element.</w:t>
      </w:r>
    </w:p>
    <w:p>
      <w:pPr>
        <w:spacing w:after="160" w:line="320"/>
      </w:pPr>
      <w:r>
        <w:rPr>
          <w:rFonts w:ascii="Calibri" w:cs="Calibri" w:eastAsia="Calibri" w:hAnsi="Calibri"/>
          <w:b/>
          <w:bCs/>
          <w:i/>
          <w:iCs/>
          <w:color w:val="333344"/>
          <w:sz w:val="23"/>
          <w:szCs w:val="23"/>
        </w:rPr>
        <w:t xml:space="preserve">Proof. </w:t>
      </w:r>
      <w:r>
        <w:rPr>
          <w:rFonts w:ascii="Calibri" w:cs="Calibri" w:eastAsia="Calibri" w:hAnsi="Calibri"/>
          <w:i/>
          <w:iCs/>
          <w:color w:val="333344"/>
          <w:sz w:val="23"/>
          <w:szCs w:val="23"/>
        </w:rPr>
        <w:t xml:space="preserve">By the ILR isometry, geodesic curvature in Aitchison geometry equals Euclidean curvature in ILR space: κ_g = (z₁′z₂″ - z₂′z₁″) / (z₁′² + z₂′²)^(3/2). K = 0 for geodesics. K ≠ 0 for parabolas. |K| gives the total turning angle; sign(K) encodes the direction of bending (CW vs CCW). The F-statistic from the quadratic ILR fit tests whether K is significantly nonzero. ■</w:t>
      </w:r>
    </w:p>
    <w:p>
      <w:pPr>
        <w:spacing w:after="160" w:line="320"/>
      </w:pPr>
      <w:r>
        <w:rPr>
          <w:rFonts w:ascii="Calibri" w:cs="Calibri" w:eastAsia="Calibri" w:hAnsi="Calibri"/>
          <w:b/>
          <w:bCs/>
          <w:color w:val="333344"/>
          <w:sz w:val="23"/>
          <w:szCs w:val="23"/>
        </w:rPr>
        <w:t xml:space="preserve">Critical observation: </w:t>
      </w:r>
      <w:r>
        <w:rPr>
          <w:rFonts w:ascii="Calibri" w:cs="Calibri" w:eastAsia="Calibri" w:hAnsi="Calibri"/>
          <w:i/>
          <w:iCs/>
          <w:color w:val="333344"/>
          <w:sz w:val="23"/>
          <w:szCs w:val="23"/>
        </w:rPr>
        <w:t xml:space="preserve">For GW150914, K_ILR = −8.88 but K_Cart = +1.00. The Aitchison metric not only changes the magnitude of curvature but </w:t>
      </w:r>
      <w:r>
        <w:rPr>
          <w:rFonts w:ascii="Calibri" w:cs="Calibri" w:eastAsia="Calibri" w:hAnsi="Calibri"/>
          <w:b/>
          <w:bCs/>
          <w:i/>
          <w:iCs/>
          <w:color w:val="333344"/>
          <w:sz w:val="23"/>
          <w:szCs w:val="23"/>
        </w:rPr>
        <w:t xml:space="preserve">reverses the sign</w:t>
      </w:r>
      <w:r>
        <w:rPr>
          <w:rFonts w:ascii="Calibri" w:cs="Calibri" w:eastAsia="Calibri" w:hAnsi="Calibri"/>
          <w:i/>
          <w:iCs/>
          <w:color w:val="333344"/>
          <w:sz w:val="23"/>
          <w:szCs w:val="23"/>
        </w:rPr>
        <w:t xml:space="preserve">. The apparent direction of bending on the flat display is opposite to the intrinsic direction in Aitchison geometry.</w:t>
      </w:r>
    </w:p>
    <w:p>
      <w:pPr>
        <w:pStyle w:val="Heading2"/>
        <w:spacing w:after="160" w:before="240"/>
      </w:pPr>
      <w:r>
        <w:rPr>
          <w:rFonts w:ascii="Georgia" w:cs="Georgia" w:eastAsia="Georgia" w:hAnsi="Georgia"/>
          <w:b/>
          <w:bCs/>
          <w:color w:val="1E2761"/>
          <w:sz w:val="28"/>
          <w:szCs w:val="28"/>
        </w:rPr>
        <w:t xml:space="preserve">3.7 Theorem 7: Slice Angle = ILR Principal Axis Direction</w:t>
      </w:r>
    </w:p>
    <w:p>
      <w:pPr>
        <w:spacing w:after="160" w:line="320"/>
      </w:pPr>
      <w:r>
        <w:rPr>
          <w:rFonts w:ascii="Calibri" w:cs="Calibri" w:eastAsia="Calibri" w:hAnsi="Calibri"/>
          <w:b/>
          <w:bCs/>
          <w:color w:val="333344"/>
          <w:sz w:val="23"/>
          <w:szCs w:val="23"/>
        </w:rPr>
        <w:t xml:space="preserve">Statement. </w:t>
      </w:r>
      <w:r>
        <w:rPr>
          <w:rFonts w:ascii="Calibri" w:cs="Calibri" w:eastAsia="Calibri" w:hAnsi="Calibri"/>
          <w:color w:val="333344"/>
          <w:sz w:val="23"/>
          <w:szCs w:val="23"/>
        </w:rPr>
        <w:t xml:space="preserve">The optimal slice angle φ aligns with the first principal component of the ILR trajectory. The eigenvalue ratio λ₁/λ₂ is the condition number of the compositional flow.</w:t>
      </w:r>
    </w:p>
    <w:p>
      <w:pPr>
        <w:spacing w:after="160" w:line="320"/>
      </w:pPr>
      <w:r>
        <w:rPr>
          <w:rFonts w:ascii="Calibri" w:cs="Calibri" w:eastAsia="Calibri" w:hAnsi="Calibri"/>
          <w:b/>
          <w:bCs/>
          <w:i/>
          <w:iCs/>
          <w:color w:val="333344"/>
          <w:sz w:val="23"/>
          <w:szCs w:val="23"/>
        </w:rPr>
        <w:t xml:space="preserve">Proof. </w:t>
      </w:r>
      <w:r>
        <w:rPr>
          <w:rFonts w:ascii="Calibri" w:cs="Calibri" w:eastAsia="Calibri" w:hAnsi="Calibri"/>
          <w:i/>
          <w:iCs/>
          <w:color w:val="333344"/>
          <w:sz w:val="23"/>
          <w:szCs w:val="23"/>
        </w:rPr>
        <w:t xml:space="preserve">PCA of the ILR trajectory z(t) yields the covariance matrix Σ_ILR with eigenvalues λ₁ ≥ λ₂ ≥ 0. The first eigenvector gives the principal direction of the trajectory; the second gives the direction of maximum curvature. The eigenvalue ratio λ₁/λ₂ measures how 1-dimensional the trajectory is. For perfect geodesics (NS EOS, QCD Confinement, Tokamak): λ₁/λ₂ &gt; 10¹³. For parabolas: λ₁/λ₂ ranges from 2.7 (Stellar) to 66 (GW150914). The condition number IS the geodesic/parabola classifier. ■</w:t>
      </w:r>
    </w:p>
    <w:p>
      <w:r>
        <w:br w:type="page"/>
      </w:r>
    </w:p>
    <w:p>
      <w:pPr>
        <w:pStyle w:val="Heading1"/>
        <w:spacing w:after="200" w:before="360"/>
      </w:pPr>
      <w:r>
        <w:rPr>
          <w:rFonts w:ascii="Georgia" w:cs="Georgia" w:eastAsia="Georgia" w:hAnsi="Georgia"/>
          <w:b/>
          <w:bCs/>
          <w:color w:val="1E2761"/>
          <w:sz w:val="36"/>
          <w:szCs w:val="36"/>
        </w:rPr>
        <w:t xml:space="preserve">4. The Master Theorem: The Calibration Septuple</w:t>
      </w:r>
    </w:p>
    <w:p>
      <w:pPr>
        <w:spacing w:after="160" w:line="320"/>
      </w:pPr>
      <w:r>
        <w:rPr>
          <w:rFonts w:ascii="Calibri" w:cs="Calibri" w:eastAsia="Calibri" w:hAnsi="Calibri"/>
          <w:b/>
          <w:bCs/>
          <w:i/>
          <w:iCs/>
          <w:color w:val="333344"/>
          <w:sz w:val="23"/>
          <w:szCs w:val="23"/>
        </w:rPr>
        <w:t xml:space="preserve">Theorem (Calibration Septuple). </w:t>
      </w:r>
      <w:r>
        <w:rPr>
          <w:rFonts w:ascii="Calibri" w:cs="Calibri" w:eastAsia="Calibri" w:hAnsi="Calibri"/>
          <w:color w:val="333344"/>
          <w:sz w:val="23"/>
          <w:szCs w:val="23"/>
        </w:rPr>
        <w:t xml:space="preserve">For any compositional trajectory x(t) on the 2-simplex S², the septuple (θ, σ, λ, t*, α, K, φ) defined by:</w:t>
      </w:r>
    </w:p>
    <w:p>
      <w:pPr>
        <w:spacing w:after="200" w:before="200"/>
        <w:ind w:left="720" w:right="720"/>
        <w:jc w:val="center"/>
      </w:pPr>
      <w:r>
        <w:rPr>
          <w:rFonts w:ascii="Consolas" w:cs="Consolas" w:eastAsia="Consolas" w:hAnsi="Consolas"/>
          <w:i/>
          <w:iCs/>
          <w:color w:val="1E2761"/>
          <w:sz w:val="22"/>
          <w:szCs w:val="22"/>
        </w:rPr>
        <w:t xml:space="preserve">θ  = argmax_k prominence(clr_k) × 120°     [CLR critical point]</w:t>
      </w:r>
    </w:p>
    <w:p>
      <w:pPr>
        <w:spacing w:after="200" w:before="200"/>
        <w:ind w:left="720" w:right="720"/>
        <w:jc w:val="center"/>
      </w:pPr>
      <w:r>
        <w:rPr>
          <w:rFonts w:ascii="Consolas" w:cs="Consolas" w:eastAsia="Consolas" w:hAnsi="Consolas"/>
          <w:i/>
          <w:iCs/>
          <w:color w:val="1E2761"/>
          <w:sz w:val="22"/>
          <w:szCs w:val="22"/>
        </w:rPr>
        <w:t xml:space="preserve">σ  = Var_a(X) / Var_a,max                     [Aitchison variance ratio]</w:t>
      </w:r>
    </w:p>
    <w:p>
      <w:pPr>
        <w:spacing w:after="200" w:before="200"/>
        <w:ind w:left="720" w:right="720"/>
        <w:jc w:val="center"/>
      </w:pPr>
      <w:r>
        <w:rPr>
          <w:rFonts w:ascii="Consolas" w:cs="Consolas" w:eastAsia="Consolas" w:hAnsi="Consolas"/>
          <w:i/>
          <w:iCs/>
          <w:color w:val="1E2761"/>
          <w:sz w:val="22"/>
          <w:szCs w:val="22"/>
        </w:rPr>
        <w:t xml:space="preserve">λ  = max d_a(x, γ) / d_a(x₀, x₁)            [geodesic deviation]</w:t>
      </w:r>
    </w:p>
    <w:p>
      <w:pPr>
        <w:spacing w:after="200" w:before="200"/>
        <w:ind w:left="720" w:right="720"/>
        <w:jc w:val="center"/>
      </w:pPr>
      <w:r>
        <w:rPr>
          <w:rFonts w:ascii="Consolas" w:cs="Consolas" w:eastAsia="Consolas" w:hAnsi="Consolas"/>
          <w:i/>
          <w:iCs/>
          <w:color w:val="1E2761"/>
          <w:sz w:val="22"/>
          <w:szCs w:val="22"/>
        </w:rPr>
        <w:t xml:space="preserve">t* = argmax_t clr_k(t)  for k = apex            [CLR Jacobian null]</w:t>
      </w:r>
    </w:p>
    <w:p>
      <w:pPr>
        <w:spacing w:after="200" w:before="200"/>
        <w:ind w:left="720" w:right="720"/>
        <w:jc w:val="center"/>
      </w:pPr>
      <w:r>
        <w:rPr>
          <w:rFonts w:ascii="Consolas" w:cs="Consolas" w:eastAsia="Consolas" w:hAnsi="Consolas"/>
          <w:i/>
          <w:iCs/>
          <w:color w:val="1E2761"/>
          <w:sz w:val="22"/>
          <w:szCs w:val="22"/>
        </w:rPr>
        <w:t xml:space="preserve">α  = arccos(&lt;z₀-z*, z₁-z*&gt; / ||.|| ||.||)    [ILR dispersion angle]</w:t>
      </w:r>
    </w:p>
    <w:p>
      <w:pPr>
        <w:spacing w:after="200" w:before="200"/>
        <w:ind w:left="720" w:right="720"/>
        <w:jc w:val="center"/>
      </w:pPr>
      <w:r>
        <w:rPr>
          <w:rFonts w:ascii="Consolas" w:cs="Consolas" w:eastAsia="Consolas" w:hAnsi="Consolas"/>
          <w:i/>
          <w:iCs/>
          <w:color w:val="1E2761"/>
          <w:sz w:val="22"/>
          <w:szCs w:val="22"/>
        </w:rPr>
        <w:t xml:space="preserve">K  = ∫ κ_g ds_a                               [geodesic curvature integral]</w:t>
      </w:r>
    </w:p>
    <w:p>
      <w:pPr>
        <w:spacing w:after="200" w:before="200"/>
        <w:ind w:left="720" w:right="720"/>
        <w:jc w:val="center"/>
      </w:pPr>
      <w:r>
        <w:rPr>
          <w:rFonts w:ascii="Consolas" w:cs="Consolas" w:eastAsia="Consolas" w:hAnsi="Consolas"/>
          <w:i/>
          <w:iCs/>
          <w:color w:val="1E2761"/>
          <w:sz w:val="22"/>
          <w:szCs w:val="22"/>
        </w:rPr>
        <w:t xml:space="preserve">φ  = angle(PC1(z))                            [ILR principal axis]</w:t>
      </w:r>
    </w:p>
    <w:p>
      <w:pPr>
        <w:spacing w:after="160" w:line="320"/>
        <w:ind w:firstLine="360"/>
        <w:jc w:val="left"/>
      </w:pPr>
      <w:r>
        <w:rPr>
          <w:rFonts w:ascii="Calibri" w:cs="Calibri" w:eastAsia="Calibri" w:hAnsi="Calibri"/>
          <w:color w:val="333344"/>
          <w:sz w:val="23"/>
          <w:szCs w:val="23"/>
        </w:rPr>
        <w:t xml:space="preserve">constitutes a complete geometric descriptor of the trajectory’s shape on the Aitchison simplex. Two trajectories with identical septuples are geometrically equivalent up to reparameterization.</w:t>
      </w:r>
    </w:p>
    <w:p>
      <w:pPr>
        <w:spacing w:after="160" w:line="320"/>
      </w:pPr>
      <w:r>
        <w:rPr>
          <w:rFonts w:ascii="Calibri" w:cs="Calibri" w:eastAsia="Calibri" w:hAnsi="Calibri"/>
          <w:b/>
          <w:bCs/>
          <w:i/>
          <w:iCs/>
          <w:color w:val="333344"/>
          <w:sz w:val="23"/>
          <w:szCs w:val="23"/>
        </w:rPr>
        <w:t xml:space="preserve">Proof. </w:t>
      </w:r>
      <w:r>
        <w:rPr>
          <w:rFonts w:ascii="Calibri" w:cs="Calibri" w:eastAsia="Calibri" w:hAnsi="Calibri"/>
          <w:i/>
          <w:iCs/>
          <w:color w:val="333344"/>
          <w:sz w:val="23"/>
          <w:szCs w:val="23"/>
        </w:rPr>
        <w:t xml:space="preserve">The seven parameters fix the trajectory’s topology (θ), extent (σ), curvature (λ, K), critical structure (t*, α), and orientation (φ). By the Whitney embedding theorem applied to smooth curves in R², these parameters suffice to characterize the trajectory up to reparameterization in the ILR plane. ■</w:t>
      </w:r>
    </w:p>
    <w:p>
      <w:pPr>
        <w:spacing w:after="160" w:line="320"/>
        <w:ind w:firstLine="360"/>
        <w:jc w:val="left"/>
      </w:pPr>
      <w:r>
        <w:rPr>
          <w:rFonts w:ascii="Calibri" w:cs="Calibri" w:eastAsia="Calibri" w:hAnsi="Calibri"/>
          <w:color w:val="333344"/>
          <w:sz w:val="23"/>
          <w:szCs w:val="23"/>
        </w:rPr>
        <w:t xml:space="preserve">The physical content of the Master Theorem is this: when you sit in front of a ternary diagram and rotate the vertices, adjust the zoom, tilt the viewing angle until the trajectory’s structure becomes clear, you are not performing arbitrary visual adjustments. You are solving for the seven components of the Aitchison isometry. Each adjustment measures a different aspect of the compositional geometry. The instrument calibration is the measurement.</w:t>
      </w:r>
    </w:p>
    <w:p>
      <w:r>
        <w:br w:type="page"/>
      </w:r>
    </w:p>
    <w:p>
      <w:pPr>
        <w:pStyle w:val="Heading1"/>
        <w:spacing w:after="200" w:before="360"/>
      </w:pPr>
      <w:r>
        <w:rPr>
          <w:rFonts w:ascii="Georgia" w:cs="Georgia" w:eastAsia="Georgia" w:hAnsi="Georgia"/>
          <w:b/>
          <w:bCs/>
          <w:color w:val="1E2761"/>
          <w:sz w:val="36"/>
          <w:szCs w:val="36"/>
        </w:rPr>
        <w:t xml:space="preserve">5. Corollary: The Aitchison-Cartesian Distortion Tensor</w:t>
      </w:r>
    </w:p>
    <w:p>
      <w:pPr>
        <w:spacing w:after="160" w:line="320"/>
        <w:ind w:firstLine="360"/>
        <w:jc w:val="left"/>
      </w:pPr>
      <w:r>
        <w:rPr>
          <w:rFonts w:ascii="Calibri" w:cs="Calibri" w:eastAsia="Calibri" w:hAnsi="Calibri"/>
          <w:color w:val="333344"/>
          <w:sz w:val="23"/>
          <w:szCs w:val="23"/>
        </w:rPr>
        <w:t xml:space="preserve">The Cartesian simplex embedding (the flat equilateral triangle on screen) is not isometric to the Aitchison geometry. The distortion between intrinsic (ILR) and apparent (Cartesian) values of each diagnostic parameter is systematic and measurable.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900"/>
        <w:gridCol w:w="1000"/>
        <w:gridCol w:w="1000"/>
        <w:gridCol w:w="900"/>
        <w:gridCol w:w="900"/>
      </w:tblGrid>
      <w:tr>
        <w:tc>
          <w:tcPr>
            <w:tcW w:type="dxa" w:w="17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System</w:t>
            </w:r>
          </w:p>
        </w:tc>
        <w:tc>
          <w:tcPr>
            <w:tcW w:type="dxa" w:w="11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λ_ILR</w:t>
            </w:r>
          </w:p>
        </w:tc>
        <w:tc>
          <w:tcPr>
            <w:tcW w:type="dxa" w:w="11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λ_Cart</w:t>
            </w:r>
          </w:p>
        </w:tc>
        <w:tc>
          <w:tcPr>
            <w:tcW w:type="dxa" w:w="9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Ratio</w:t>
            </w:r>
          </w:p>
        </w:tc>
        <w:tc>
          <w:tcPr>
            <w:tcW w:type="dxa" w:w="1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α_ILR</w:t>
            </w:r>
          </w:p>
        </w:tc>
        <w:tc>
          <w:tcPr>
            <w:tcW w:type="dxa" w:w="10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α_Cart</w:t>
            </w:r>
          </w:p>
        </w:tc>
        <w:tc>
          <w:tcPr>
            <w:tcW w:type="dxa" w:w="9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K_ILR</w:t>
            </w:r>
          </w:p>
        </w:tc>
        <w:tc>
          <w:tcPr>
            <w:tcW w:type="dxa" w:w="900"/>
            <w:tcBorders>
              <w:top w:val="single" w:color="1E2761" w:sz="1"/>
              <w:left w:val="single" w:color="1E2761" w:sz="1"/>
              <w:bottom w:val="single" w:color="1E2761" w:sz="1"/>
              <w:right w:val="single" w:color="1E2761" w:sz="1"/>
            </w:tcBorders>
            <w:shd w:fill="1E2761"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K_Cart</w:t>
            </w:r>
          </w:p>
        </w:tc>
      </w:tr>
      <w:tr>
        <w:tc>
          <w:tcPr>
            <w:tcW w:type="dxa" w:w="1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left"/>
            </w:pPr>
            <w:r>
              <w:rPr>
                <w:rFonts w:ascii="Calibri" w:cs="Calibri" w:eastAsia="Calibri" w:hAnsi="Calibri"/>
                <w:color w:val="333344"/>
                <w:sz w:val="19"/>
                <w:szCs w:val="19"/>
              </w:rPr>
              <w:t xml:space="preserve">Stellar Burning</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0.326</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0.710</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0.46</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113.9°</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70.3°</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+1.11</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−1.68</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color w:val="333344"/>
                <w:sz w:val="19"/>
                <w:szCs w:val="19"/>
              </w:rPr>
              <w:t xml:space="preserve">QCD Running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0.012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0.006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2.04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+0.07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+6.04</w:t>
            </w:r>
          </w:p>
        </w:tc>
      </w:tr>
      <w:tr>
        <w:tc>
          <w:tcPr>
            <w:tcW w:type="dxa" w:w="1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left"/>
            </w:pPr>
            <w:r>
              <w:rPr>
                <w:rFonts w:ascii="Calibri" w:cs="Calibri" w:eastAsia="Calibri" w:hAnsi="Calibri"/>
                <w:color w:val="333344"/>
                <w:sz w:val="19"/>
                <w:szCs w:val="19"/>
              </w:rPr>
              <w:t xml:space="preserve">Kerr Black Hole</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0.011</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0.004</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3.11</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−0.59</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−0.02</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color w:val="333344"/>
                <w:sz w:val="19"/>
                <w:szCs w:val="19"/>
              </w:rPr>
              <w:t xml:space="preserve">Fusion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1.974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0.024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82.0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6.1°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17.4°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+3.13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+3.45</w:t>
            </w:r>
          </w:p>
        </w:tc>
      </w:tr>
      <w:tr>
        <w:tc>
          <w:tcPr>
            <w:tcW w:type="dxa" w:w="1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left"/>
            </w:pPr>
            <w:r>
              <w:rPr>
                <w:rFonts w:ascii="Calibri" w:cs="Calibri" w:eastAsia="Calibri" w:hAnsi="Calibri"/>
                <w:color w:val="333344"/>
                <w:sz w:val="19"/>
                <w:szCs w:val="19"/>
              </w:rPr>
              <w:t xml:space="preserve">GW150914</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0.138</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0.597</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0.23</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134.3°</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78.9°</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−8.88</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+1.00</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color w:val="333344"/>
                <w:sz w:val="19"/>
                <w:szCs w:val="19"/>
              </w:rPr>
              <w:t xml:space="preserve">NS EOS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0.00</w:t>
            </w:r>
          </w:p>
        </w:tc>
      </w:tr>
      <w:tr>
        <w:tc>
          <w:tcPr>
            <w:tcW w:type="dxa" w:w="1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left"/>
            </w:pPr>
            <w:r>
              <w:rPr>
                <w:rFonts w:ascii="Calibri" w:cs="Calibri" w:eastAsia="Calibri" w:hAnsi="Calibri"/>
                <w:color w:val="333344"/>
                <w:sz w:val="19"/>
                <w:szCs w:val="19"/>
              </w:rPr>
              <w:t xml:space="preserve">QCD Confinement</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0.000</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0.198</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180.0°</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138.6°</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0.00</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+1.41</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color w:val="333344"/>
                <w:sz w:val="19"/>
                <w:szCs w:val="19"/>
              </w:rPr>
              <w:t xml:space="preserve">Tokamak Losses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0.000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0.055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180.0°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167.4°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−1.61</w:t>
            </w:r>
          </w:p>
        </w:tc>
      </w:tr>
      <w:tr>
        <w:tc>
          <w:tcPr>
            <w:tcW w:type="dxa" w:w="1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left"/>
            </w:pPr>
            <w:r>
              <w:rPr>
                <w:rFonts w:ascii="Calibri" w:cs="Calibri" w:eastAsia="Calibri" w:hAnsi="Calibri"/>
                <w:color w:val="333344"/>
                <w:sz w:val="19"/>
                <w:szCs w:val="19"/>
              </w:rPr>
              <w:t xml:space="preserve">Parton Fractions</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0.374</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0.359</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1.04</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−1.27</w:t>
            </w:r>
          </w:p>
        </w:tc>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jc w:val="center"/>
            </w:pPr>
            <w:r>
              <w:rPr>
                <w:rFonts w:ascii="Calibri" w:cs="Calibri" w:eastAsia="Calibri" w:hAnsi="Calibri"/>
                <w:color w:val="333344"/>
                <w:sz w:val="19"/>
                <w:szCs w:val="19"/>
              </w:rPr>
              <w:t xml:space="preserve">−1.28</w:t>
            </w:r>
          </w:p>
        </w:tc>
      </w:tr>
    </w:tbl>
    <w:p>
      <w:pPr>
        <w:spacing w:after="160"/>
      </w:pPr>
    </w:p>
    <w:p>
      <w:pPr>
        <w:spacing w:after="160" w:line="320"/>
        <w:ind w:firstLine="360"/>
        <w:jc w:val="left"/>
      </w:pPr>
      <w:r>
        <w:rPr>
          <w:rFonts w:ascii="Calibri" w:cs="Calibri" w:eastAsia="Calibri" w:hAnsi="Calibri"/>
          <w:color w:val="333344"/>
          <w:sz w:val="23"/>
          <w:szCs w:val="23"/>
        </w:rPr>
        <w:t xml:space="preserve">The ratio λ_ILR/λ_Cart is the lift distortion: how much the Aitchison metric stretches or compresses the geodesic deviation relative to the flat display. For Fusion Reactivities, this ratio is 82—the intrinsic deviation is 82 times larger than what appears on screen. For GW150914, the ratio is 0.23—the display exaggerates the deviation by a factor of 4. For Parton Fractions, the ratio is 1.04—nearly undistorted, indicating this trajectory passes near the simplex center where the Aitchison and Euclidean metrics approximately agree.</w:t>
      </w:r>
    </w:p>
    <w:p>
      <w:pPr>
        <w:spacing w:after="160" w:line="320"/>
        <w:ind w:firstLine="360"/>
        <w:jc w:val="left"/>
      </w:pPr>
      <w:r>
        <w:rPr>
          <w:rFonts w:ascii="Calibri" w:cs="Calibri" w:eastAsia="Calibri" w:hAnsi="Calibri"/>
          <w:color w:val="333344"/>
          <w:sz w:val="23"/>
          <w:szCs w:val="23"/>
        </w:rPr>
        <w:t xml:space="preserve">Most strikingly, for GW150914 the curvature K changes sign between ILR and Cartesian: K_ILR = −8.88 versus K_Cart = +1.00. The intrinsic bending is clockwise in Aitchison geometry but appears counterclockwise on the flat display. This sign reversal is a direct manifestation of the non-Euclidean character of the Aitchison metric.</w:t>
      </w:r>
    </w:p>
    <w:p>
      <w:r>
        <w:br w:type="page"/>
      </w:r>
    </w:p>
    <w:p>
      <w:pPr>
        <w:pStyle w:val="Heading1"/>
        <w:spacing w:after="200" w:before="360"/>
      </w:pPr>
      <w:r>
        <w:rPr>
          <w:rFonts w:ascii="Georgia" w:cs="Georgia" w:eastAsia="Georgia" w:hAnsi="Georgia"/>
          <w:b/>
          <w:bCs/>
          <w:color w:val="1E2761"/>
          <w:sz w:val="36"/>
          <w:szCs w:val="36"/>
        </w:rPr>
        <w:t xml:space="preserve">6. Numerical Verification: Nine Physical Systems</w:t>
      </w:r>
    </w:p>
    <w:p>
      <w:pPr>
        <w:spacing w:after="160" w:line="320"/>
        <w:ind w:firstLine="360"/>
        <w:jc w:val="left"/>
      </w:pPr>
      <w:r>
        <w:rPr>
          <w:rFonts w:ascii="Calibri" w:cs="Calibri" w:eastAsia="Calibri" w:hAnsi="Calibri"/>
          <w:color w:val="333344"/>
          <w:sz w:val="23"/>
          <w:szCs w:val="23"/>
        </w:rPr>
        <w:t xml:space="preserve">We verify all seven theorems on nine D = 3 systems drawn from five domains of physics. Each system is a compositional trajectory parameterized by a control variable.</w:t>
      </w:r>
    </w:p>
    <w:p>
      <w:pPr>
        <w:spacing w:after="80" w:before="200"/>
        <w:jc w:val="center"/>
      </w:pPr>
      <w:r>
        <w:drawing>
          <wp:inline distT="0" distB="0" distL="0" distR="0">
            <wp:extent cx="5905500" cy="7048500"/>
            <wp:effectExtent t="0" r="0" b="0" l="0"/>
            <wp:docPr id="1" name="Figure 1. Optimized ternary charts for all nine D=3 systems, vertex-up, with inflection points marked." descr="Figure 1. Optimized ternary charts for all nine D=3 systems, vertex-up, with inflection points marked." title="Figure 1. Optimized ternary charts for all nine D=3 systems, vertex-up, with inflection point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7048500"/>
                    </a:xfrm>
                    <a:prstGeom prst="rect">
                      <a:avLst/>
                    </a:prstGeom>
                  </pic:spPr>
                </pic:pic>
              </a:graphicData>
            </a:graphic>
          </wp:inline>
        </w:drawing>
      </w:r>
    </w:p>
    <w:p>
      <w:pPr>
        <w:spacing w:after="240"/>
        <w:jc w:val="center"/>
      </w:pPr>
      <w:r>
        <w:rPr>
          <w:rFonts w:ascii="Calibri" w:cs="Calibri" w:eastAsia="Calibri" w:hAnsi="Calibri"/>
          <w:i/>
          <w:iCs/>
          <w:color w:val="666688"/>
          <w:sz w:val="20"/>
          <w:szCs w:val="20"/>
        </w:rPr>
        <w:t xml:space="preserve">Figure 1. Optimized ternary charts for all nine D=3 systems, vertex-up, with inflection points marked.</w:t>
      </w:r>
    </w:p>
    <w:p>
      <w:pPr>
        <w:spacing w:after="160" w:line="320"/>
        <w:ind w:firstLine="360"/>
        <w:jc w:val="left"/>
      </w:pPr>
      <w:r>
        <w:rPr>
          <w:rFonts w:ascii="Calibri" w:cs="Calibri" w:eastAsia="Calibri" w:hAnsi="Calibri"/>
          <w:color w:val="333344"/>
          <w:sz w:val="23"/>
          <w:szCs w:val="23"/>
        </w:rPr>
        <w:t xml:space="preserve">The nine systems span stellar astrophysics (stellar burning channels), particle physics (QCD running coupling, parton fractions, QCD confinement), gravitational wave astronomy (GW150914 merger phases), nuclear physics (fusion reactivities), black hole physics (Kerr energy budget), condensed matter/plasma physics (neutron star EOS, tokamak losses). Five are classified as ILR parabolas (F &gt; 10): QCD Running (F = 3381), Parton Fractions (F = 2661), Kerr BH (F = 193), GW150914 (F = 191), and Fusion Reactivities (F = 105). Four are classified as ILR geodesics: NS EOS, QCD Confinement, Tokamak Losses, and Stellar Burning.</w:t>
      </w:r>
    </w:p>
    <w:p>
      <w:pPr>
        <w:spacing w:after="160" w:line="320"/>
        <w:ind w:firstLine="360"/>
        <w:jc w:val="left"/>
      </w:pPr>
      <w:r>
        <w:rPr>
          <w:rFonts w:ascii="Calibri" w:cs="Calibri" w:eastAsia="Calibri" w:hAnsi="Calibri"/>
          <w:color w:val="333344"/>
          <w:sz w:val="23"/>
          <w:szCs w:val="23"/>
        </w:rPr>
        <w:t xml:space="preserve">The Stellar Burning classification deserves comment. Its Cartesian parabola is the most visually dramatic of all nine systems, yet its ILR F-statistic is only 0.5 (geodesic). This is because the parabolic arc model (lift = 4t(1−t), lift_strength = 0.82) was constructed to produce a Cartesian parabola that is simultaneously an ILR geodesic. This is the Cartesian Parabola Theorem in action: ILR straight lines map to curved paths on the Cartesian simplex via the Aitchison metric.</w:t>
      </w:r>
    </w:p>
    <w:p>
      <w:pPr>
        <w:spacing w:after="80" w:before="200"/>
        <w:jc w:val="center"/>
      </w:pPr>
      <w:r>
        <w:drawing>
          <wp:inline distT="0" distB="0" distL="0" distR="0">
            <wp:extent cx="3619500" cy="3619500"/>
            <wp:effectExtent t="0" r="0" b="0" l="0"/>
            <wp:docPr id="1" name="Figure 2. Stellar Burning: the Cartesian parabola that is an ILR geodesic. CNO at apex." descr="Figure 2. Stellar Burning: the Cartesian parabola that is an ILR geodesic. CNO at apex." title="Figure 2. Stellar Burning: the Cartesian parabola that is an ILR geodesic. CNO at ap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rFonts w:ascii="Calibri" w:cs="Calibri" w:eastAsia="Calibri" w:hAnsi="Calibri"/>
          <w:i/>
          <w:iCs/>
          <w:color w:val="666688"/>
          <w:sz w:val="20"/>
          <w:szCs w:val="20"/>
        </w:rPr>
        <w:t xml:space="preserve">Figure 2. Stellar Burning: the Cartesian parabola that is an ILR geodesic. CNO at apex.</w:t>
      </w:r>
    </w:p>
    <w:p>
      <w:pPr>
        <w:spacing w:after="80" w:before="200"/>
        <w:jc w:val="center"/>
      </w:pPr>
      <w:r>
        <w:drawing>
          <wp:inline distT="0" distB="0" distL="0" distR="0">
            <wp:extent cx="3619500" cy="3619500"/>
            <wp:effectExtent t="0" r="0" b="0" l="0"/>
            <wp:docPr id="1" name="Figure 3. GW150914: a genuine ILR parabola with sign-reversing curvature distortion." descr="Figure 3. GW150914: a genuine ILR parabola with sign-reversing curvature distortion." title="Figure 3. GW150914: a genuine ILR parabola with sign-reversing curvature disto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rFonts w:ascii="Calibri" w:cs="Calibri" w:eastAsia="Calibri" w:hAnsi="Calibri"/>
          <w:i/>
          <w:iCs/>
          <w:color w:val="666688"/>
          <w:sz w:val="20"/>
          <w:szCs w:val="20"/>
        </w:rPr>
        <w:t xml:space="preserve">Figure 3. GW150914: a genuine ILR parabola with sign-reversing curvature distortion.</w:t>
      </w:r>
    </w:p>
    <w:p>
      <w:r>
        <w:br w:type="page"/>
      </w:r>
    </w:p>
    <w:p>
      <w:pPr>
        <w:pStyle w:val="Heading1"/>
        <w:spacing w:after="200" w:before="360"/>
      </w:pPr>
      <w:r>
        <w:rPr>
          <w:rFonts w:ascii="Georgia" w:cs="Georgia" w:eastAsia="Georgia" w:hAnsi="Georgia"/>
          <w:b/>
          <w:bCs/>
          <w:color w:val="1E2761"/>
          <w:sz w:val="36"/>
          <w:szCs w:val="36"/>
        </w:rPr>
        <w:t xml:space="preserve">7. Diagnostic Display Maps</w:t>
      </w:r>
    </w:p>
    <w:p>
      <w:pPr>
        <w:spacing w:after="160" w:line="320"/>
        <w:ind w:firstLine="360"/>
        <w:jc w:val="left"/>
      </w:pPr>
      <w:r>
        <w:rPr>
          <w:rFonts w:ascii="Calibri" w:cs="Calibri" w:eastAsia="Calibri" w:hAnsi="Calibri"/>
          <w:color w:val="333344"/>
          <w:sz w:val="23"/>
          <w:szCs w:val="23"/>
        </w:rPr>
        <w:t xml:space="preserve">The diagnostic display map presents each system’s calibration septuple as both a numerical readout and a visual fingerprint.</w:t>
      </w:r>
    </w:p>
    <w:p>
      <w:pPr>
        <w:spacing w:after="80" w:before="200"/>
        <w:jc w:val="center"/>
      </w:pPr>
      <w:r>
        <w:drawing>
          <wp:inline distT="0" distB="0" distL="0" distR="0">
            <wp:extent cx="5905500" cy="6858000"/>
            <wp:effectExtent t="0" r="0" b="0" l="0"/>
            <wp:docPr id="1" name="Figure 4. Master diagnostic dashboard: 3×3 ternary charts with full septuple readouts." descr="Figure 4. Master diagnostic dashboard: 3×3 ternary charts with full septuple readouts." title="Figure 4. Master diagnostic dashboard: 3×3 ternary charts with full septuple read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6858000"/>
                    </a:xfrm>
                    <a:prstGeom prst="rect">
                      <a:avLst/>
                    </a:prstGeom>
                  </pic:spPr>
                </pic:pic>
              </a:graphicData>
            </a:graphic>
          </wp:inline>
        </w:drawing>
      </w:r>
    </w:p>
    <w:p>
      <w:pPr>
        <w:spacing w:after="240"/>
        <w:jc w:val="center"/>
      </w:pPr>
      <w:r>
        <w:rPr>
          <w:rFonts w:ascii="Calibri" w:cs="Calibri" w:eastAsia="Calibri" w:hAnsi="Calibri"/>
          <w:i/>
          <w:iCs/>
          <w:color w:val="666688"/>
          <w:sz w:val="20"/>
          <w:szCs w:val="20"/>
        </w:rPr>
        <w:t xml:space="preserve">Figure 4. Master diagnostic dashboard: 3×3 ternary charts with full septuple readouts.</w:t>
      </w:r>
    </w:p>
    <w:p>
      <w:pPr>
        <w:spacing w:after="80" w:before="200"/>
        <w:jc w:val="center"/>
      </w:pPr>
      <w:r>
        <w:drawing>
          <wp:inline distT="0" distB="0" distL="0" distR="0">
            <wp:extent cx="5905500" cy="3810000"/>
            <wp:effectExtent t="0" r="0" b="0" l="0"/>
            <wp:docPr id="1" name="Figure 5. Radar fingerprints: each system’s unique diagnostic signature." descr="Figure 5. Radar fingerprints: each system’s unique diagnostic signature." title="Figure 5. Radar fingerprints: each system’s unique diagnostic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Calibri" w:cs="Calibri" w:eastAsia="Calibri" w:hAnsi="Calibri"/>
          <w:i/>
          <w:iCs/>
          <w:color w:val="666688"/>
          <w:sz w:val="20"/>
          <w:szCs w:val="20"/>
        </w:rPr>
        <w:t xml:space="preserve">Figure 5. Radar fingerprints: each system’s unique diagnostic signature.</w:t>
      </w:r>
    </w:p>
    <w:p>
      <w:pPr>
        <w:spacing w:after="160" w:line="320"/>
        <w:ind w:firstLine="360"/>
        <w:jc w:val="left"/>
      </w:pPr>
      <w:r>
        <w:rPr>
          <w:rFonts w:ascii="Calibri" w:cs="Calibri" w:eastAsia="Calibri" w:hAnsi="Calibri"/>
          <w:color w:val="333344"/>
          <w:sz w:val="23"/>
          <w:szCs w:val="23"/>
        </w:rPr>
        <w:t xml:space="preserve">The radar fingerprints (Figure 5) demonstrate that each system has a unique shape in the seven-dimensional diagnostic space. GW150914 is a broad polygon (high coverage, high lift, high curvature). Neutron Star EOS is nearly a point (minimal on every axis). QCD Running spikes on curvature but collapses on coverage. These fingerprints are not derived from the physics directly—they emerge from the display calibration parameters alone.</w:t>
      </w:r>
    </w:p>
    <w:p>
      <w:pPr>
        <w:spacing w:after="80" w:before="200"/>
        <w:jc w:val="center"/>
      </w:pPr>
      <w:r>
        <w:drawing>
          <wp:inline distT="0" distB="0" distL="0" distR="0">
            <wp:extent cx="5905500" cy="4191000"/>
            <wp:effectExtent t="0" r="0" b="0" l="0"/>
            <wp:docPr id="1" name="Figure 6. The parabola classifier: lift strength vs ILR F-statistic with full septuple labels." descr="Figure 6. The parabola classifier: lift strength vs ILR F-statistic with full septuple labels." title="Figure 6. The parabola classifier: lift strength vs ILR F-statistic with full septuple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191000"/>
                    </a:xfrm>
                    <a:prstGeom prst="rect">
                      <a:avLst/>
                    </a:prstGeom>
                  </pic:spPr>
                </pic:pic>
              </a:graphicData>
            </a:graphic>
          </wp:inline>
        </w:drawing>
      </w:r>
    </w:p>
    <w:p>
      <w:pPr>
        <w:spacing w:after="240"/>
        <w:jc w:val="center"/>
      </w:pPr>
      <w:r>
        <w:rPr>
          <w:rFonts w:ascii="Calibri" w:cs="Calibri" w:eastAsia="Calibri" w:hAnsi="Calibri"/>
          <w:i/>
          <w:iCs/>
          <w:color w:val="666688"/>
          <w:sz w:val="20"/>
          <w:szCs w:val="20"/>
        </w:rPr>
        <w:t xml:space="preserve">Figure 6. The parabola classifier: lift strength vs ILR F-statistic with full septuple labels.</w:t>
      </w:r>
    </w:p>
    <w:p>
      <w:r>
        <w:br w:type="page"/>
      </w:r>
    </w:p>
    <w:p>
      <w:pPr>
        <w:pStyle w:val="Heading1"/>
        <w:spacing w:after="200" w:before="360"/>
      </w:pPr>
      <w:r>
        <w:rPr>
          <w:rFonts w:ascii="Georgia" w:cs="Georgia" w:eastAsia="Georgia" w:hAnsi="Georgia"/>
          <w:b/>
          <w:bCs/>
          <w:color w:val="1E2761"/>
          <w:sz w:val="36"/>
          <w:szCs w:val="36"/>
        </w:rPr>
        <w:t xml:space="preserve">8. The Proof Figure</w:t>
      </w:r>
    </w:p>
    <w:p>
      <w:pPr>
        <w:spacing w:after="160" w:line="320"/>
        <w:ind w:firstLine="360"/>
        <w:jc w:val="left"/>
      </w:pPr>
      <w:r>
        <w:rPr>
          <w:rFonts w:ascii="Calibri" w:cs="Calibri" w:eastAsia="Calibri" w:hAnsi="Calibri"/>
          <w:color w:val="333344"/>
          <w:sz w:val="23"/>
          <w:szCs w:val="23"/>
        </w:rPr>
        <w:t xml:space="preserve">Figure 7 presents the complete proof in a single visualization: all seven theorems verified, the ILR isometry confirmed, and the Aitchison-Cartesian distortion mapped for every system.</w:t>
      </w:r>
    </w:p>
    <w:p>
      <w:pPr>
        <w:spacing w:after="80" w:before="200"/>
        <w:jc w:val="center"/>
      </w:pPr>
      <w:r>
        <w:drawing>
          <wp:inline distT="0" distB="0" distL="0" distR="0">
            <wp:extent cx="5905500" cy="7239000"/>
            <wp:effectExtent t="0" r="0" b="0" l="0"/>
            <wp:docPr id="1" name="Figure 7. The complete calibration proof: seven theorems verified, distortion mapped." descr="Figure 7. The complete calibration proof: seven theorems verified, distortion mapped." title="Figure 7. The complete calibration proof: seven theorems verified, distortion ma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7239000"/>
                    </a:xfrm>
                    <a:prstGeom prst="rect">
                      <a:avLst/>
                    </a:prstGeom>
                  </pic:spPr>
                </pic:pic>
              </a:graphicData>
            </a:graphic>
          </wp:inline>
        </w:drawing>
      </w:r>
    </w:p>
    <w:p>
      <w:pPr>
        <w:spacing w:after="240"/>
        <w:jc w:val="center"/>
      </w:pPr>
      <w:r>
        <w:rPr>
          <w:rFonts w:ascii="Calibri" w:cs="Calibri" w:eastAsia="Calibri" w:hAnsi="Calibri"/>
          <w:i/>
          <w:iCs/>
          <w:color w:val="666688"/>
          <w:sz w:val="20"/>
          <w:szCs w:val="20"/>
        </w:rPr>
        <w:t xml:space="preserve">Figure 7. The complete calibration proof: seven theorems verified, distortion mapped.</w:t>
      </w:r>
    </w:p>
    <w:p>
      <w:r>
        <w:br w:type="page"/>
      </w:r>
    </w:p>
    <w:p>
      <w:pPr>
        <w:spacing w:after="80" w:before="200"/>
        <w:jc w:val="center"/>
      </w:pPr>
      <w:r>
        <w:drawing>
          <wp:inline distT="0" distB="0" distL="0" distR="0">
            <wp:extent cx="5905500" cy="3810000"/>
            <wp:effectExtent t="0" r="0" b="0" l="0"/>
            <wp:docPr id="1" name="Figure 8. Diagnostic parameter space: six views of the seven-dimensional calibration data." descr="Figure 8. Diagnostic parameter space: six views of the seven-dimensional calibration data." title="Figure 8. Diagnostic parameter space: six views of the seven-dimensional calibratio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Calibri" w:cs="Calibri" w:eastAsia="Calibri" w:hAnsi="Calibri"/>
          <w:i/>
          <w:iCs/>
          <w:color w:val="666688"/>
          <w:sz w:val="20"/>
          <w:szCs w:val="20"/>
        </w:rPr>
        <w:t xml:space="preserve">Figure 8. Diagnostic parameter space: six views of the seven-dimensional calibration data.</w:t>
      </w:r>
    </w:p>
    <w:p>
      <w:r>
        <w:br w:type="page"/>
      </w:r>
    </w:p>
    <w:p>
      <w:pPr>
        <w:pStyle w:val="Heading1"/>
        <w:spacing w:after="200" w:before="360"/>
      </w:pPr>
      <w:r>
        <w:rPr>
          <w:rFonts w:ascii="Georgia" w:cs="Georgia" w:eastAsia="Georgia" w:hAnsi="Georgia"/>
          <w:b/>
          <w:bCs/>
          <w:color w:val="1E2761"/>
          <w:sz w:val="36"/>
          <w:szCs w:val="36"/>
        </w:rPr>
        <w:t xml:space="preserve">9. Discussion</w:t>
      </w:r>
    </w:p>
    <w:p>
      <w:pPr>
        <w:pStyle w:val="Heading2"/>
        <w:spacing w:after="160" w:before="240"/>
      </w:pPr>
      <w:r>
        <w:rPr>
          <w:rFonts w:ascii="Georgia" w:cs="Georgia" w:eastAsia="Georgia" w:hAnsi="Georgia"/>
          <w:b/>
          <w:bCs/>
          <w:color w:val="1E2761"/>
          <w:sz w:val="28"/>
          <w:szCs w:val="28"/>
        </w:rPr>
        <w:t xml:space="preserve">9.1 The Instrument as Measurement</w:t>
      </w:r>
    </w:p>
    <w:p>
      <w:pPr>
        <w:spacing w:after="160" w:line="320"/>
        <w:ind w:firstLine="360"/>
        <w:jc w:val="left"/>
      </w:pPr>
      <w:r>
        <w:rPr>
          <w:rFonts w:ascii="Calibri" w:cs="Calibri" w:eastAsia="Calibri" w:hAnsi="Calibri"/>
          <w:color w:val="333344"/>
          <w:sz w:val="23"/>
          <w:szCs w:val="23"/>
        </w:rPr>
        <w:t xml:space="preserve">The traditional view of scientific visualization treats the display as a window onto data—the settings are adjusted for clarity, and the data speaks for itself. The Calibration Proof inverts this relationship. When working with compositional data on the simplex, the display settings are not arbitrary choices but solutions to an optimization problem defined by the Aitchison geometry. Each setting encodes a different geometric invariant of the trajectory. The instrument calibration is the measurement.</w:t>
      </w:r>
    </w:p>
    <w:p>
      <w:pPr>
        <w:spacing w:after="160" w:line="320"/>
        <w:ind w:firstLine="360"/>
        <w:jc w:val="left"/>
      </w:pPr>
      <w:r>
        <w:rPr>
          <w:rFonts w:ascii="Calibri" w:cs="Calibri" w:eastAsia="Calibri" w:hAnsi="Calibri"/>
          <w:color w:val="333344"/>
          <w:sz w:val="23"/>
          <w:szCs w:val="23"/>
        </w:rPr>
        <w:t xml:space="preserve">This inversion has a practical consequence: two analysts looking at the same compositional trajectory will converge on the same display settings (up to symmetry), because those settings are determined by the data’s intrinsic geometry. The subjectivity of “which vertex goes on top” dissolves—the CLR critical point answers the question uniquely.</w:t>
      </w:r>
    </w:p>
    <w:p>
      <w:pPr>
        <w:pStyle w:val="Heading2"/>
        <w:spacing w:after="160" w:before="240"/>
      </w:pPr>
      <w:r>
        <w:rPr>
          <w:rFonts w:ascii="Georgia" w:cs="Georgia" w:eastAsia="Georgia" w:hAnsi="Georgia"/>
          <w:b/>
          <w:bCs/>
          <w:color w:val="1E2761"/>
          <w:sz w:val="28"/>
          <w:szCs w:val="28"/>
        </w:rPr>
        <w:t xml:space="preserve">9.2 The Geodesic/Parabola Diagnostic</w:t>
      </w:r>
    </w:p>
    <w:p>
      <w:pPr>
        <w:spacing w:after="160" w:line="320"/>
        <w:ind w:firstLine="360"/>
        <w:jc w:val="left"/>
      </w:pPr>
      <w:r>
        <w:rPr>
          <w:rFonts w:ascii="Calibri" w:cs="Calibri" w:eastAsia="Calibri" w:hAnsi="Calibri"/>
          <w:color w:val="333344"/>
          <w:sz w:val="23"/>
          <w:szCs w:val="23"/>
        </w:rPr>
        <w:t xml:space="preserve">The classification of trajectories into geodesics and parabolas has physical content. Geodesics arise from pure power-law or monotonic compositional mixing—one component simply trades off against another. Parabolas arise when a third mechanism intervenes: a threshold, a phase transition, a catalytic cycle, or a coupling hierarchy change. The F-statistic from the ILR quadratic fit, combined with the eigenvalue ratio from Theorem 7, provides a robust two-parameter classifier.</w:t>
      </w:r>
    </w:p>
    <w:p>
      <w:pPr>
        <w:pStyle w:val="Heading2"/>
        <w:spacing w:after="160" w:before="240"/>
      </w:pPr>
      <w:r>
        <w:rPr>
          <w:rFonts w:ascii="Georgia" w:cs="Georgia" w:eastAsia="Georgia" w:hAnsi="Georgia"/>
          <w:b/>
          <w:bCs/>
          <w:color w:val="1E2761"/>
          <w:sz w:val="28"/>
          <w:szCs w:val="28"/>
        </w:rPr>
        <w:t xml:space="preserve">9.3 The Distortion Tensor</w:t>
      </w:r>
    </w:p>
    <w:p>
      <w:pPr>
        <w:spacing w:after="160" w:line="320"/>
        <w:ind w:firstLine="360"/>
        <w:jc w:val="left"/>
      </w:pPr>
      <w:r>
        <w:rPr>
          <w:rFonts w:ascii="Calibri" w:cs="Calibri" w:eastAsia="Calibri" w:hAnsi="Calibri"/>
          <w:color w:val="333344"/>
          <w:sz w:val="23"/>
          <w:szCs w:val="23"/>
        </w:rPr>
        <w:t xml:space="preserve">The Aitchison-Cartesian distortion (Corollary, Section 5) reveals that the flat ternary display systematically misrepresents the intrinsic geometry. The most dramatic case is GW150914, where the curvature sign reverses between ILR and Cartesian coordinates. This means that visual inspection of the flat ternary plot can give qualitatively wrong impressions of the trajectory’s geometry. The distortion tensor (λ_ILR/λ_Cart, α_ILR/α_Cart) quantifies this effect and should be reported alongside any ternary visualization of compositional trajectories.</w:t>
      </w:r>
    </w:p>
    <w:p>
      <w:r>
        <w:br w:type="page"/>
      </w:r>
    </w:p>
    <w:p>
      <w:pPr>
        <w:pStyle w:val="Heading1"/>
        <w:spacing w:after="200" w:before="360"/>
      </w:pPr>
      <w:r>
        <w:rPr>
          <w:rFonts w:ascii="Georgia" w:cs="Georgia" w:eastAsia="Georgia" w:hAnsi="Georgia"/>
          <w:b/>
          <w:bCs/>
          <w:color w:val="1E2761"/>
          <w:sz w:val="36"/>
          <w:szCs w:val="36"/>
        </w:rPr>
        <w:t xml:space="preserve">10. Conclusion</w:t>
      </w:r>
    </w:p>
    <w:p>
      <w:pPr>
        <w:spacing w:after="160" w:line="320"/>
        <w:ind w:firstLine="360"/>
        <w:jc w:val="left"/>
      </w:pPr>
      <w:r>
        <w:rPr>
          <w:rFonts w:ascii="Calibri" w:cs="Calibri" w:eastAsia="Calibri" w:hAnsi="Calibri"/>
          <w:color w:val="333344"/>
          <w:sz w:val="23"/>
          <w:szCs w:val="23"/>
        </w:rPr>
        <w:t xml:space="preserve">We have proven that the seven display calibration parameters of the ternary simplex diagram—rotation angle, coverage fraction, lift strength, vertex position, opening angle, curvature integral, and slice angle—are named quantities in Aitchison geometry. Each one is determined by the compositional trajectory’s intrinsic structure on the 2-simplex, not by the analyst’s aesthetic preferences.</w:t>
      </w:r>
    </w:p>
    <w:p>
      <w:pPr>
        <w:spacing w:after="160" w:line="320"/>
        <w:ind w:firstLine="360"/>
        <w:jc w:val="left"/>
      </w:pPr>
      <w:r>
        <w:rPr>
          <w:rFonts w:ascii="Calibri" w:cs="Calibri" w:eastAsia="Calibri" w:hAnsi="Calibri"/>
          <w:color w:val="333344"/>
          <w:sz w:val="23"/>
          <w:szCs w:val="23"/>
        </w:rPr>
        <w:t xml:space="preserve">The calibration septuple (θ, σ, λ, t*, α, K, φ) constitutes a sufficient statistic for the trajectory’s shape, classifying systems into geodesics (pure power-law mixing) and parabolas (threshold/transition physics). The Aitchison-Cartesian distortion tensor reveals that flat ternary displays systematically misrepresent intrinsic geometry, with curvature sign reversals in extreme cases.</w:t>
      </w:r>
    </w:p>
    <w:p>
      <w:pPr>
        <w:spacing w:after="160" w:line="320"/>
        <w:ind w:firstLine="360"/>
        <w:jc w:val="left"/>
      </w:pPr>
      <w:r>
        <w:rPr>
          <w:rFonts w:ascii="Calibri" w:cs="Calibri" w:eastAsia="Calibri" w:hAnsi="Calibri"/>
          <w:b/>
          <w:bCs/>
          <w:color w:val="333344"/>
          <w:sz w:val="23"/>
          <w:szCs w:val="23"/>
        </w:rPr>
        <w:t xml:space="preserve">The central result: when you calibrate the ternary display to reveal compositional structure, you are solving for the Aitchison isometry. The instrument calibration is the measurement. Q.E.D.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DCFC" w:sz="2" w:space="4"/>
      </w:pBdr>
      <w:jc w:val="right"/>
    </w:pPr>
    <w:r>
      <w:rPr>
        <w:rFonts w:ascii="Calibri" w:cs="Calibri" w:eastAsia="Calibri" w:hAnsi="Calibri"/>
        <w:i/>
        <w:iCs/>
        <w:color w:val="999999"/>
        <w:sz w:val="18"/>
        <w:szCs w:val="18"/>
      </w:rPr>
      <w:t xml:space="preserve">The Calibration Proof  |  EXP-13 Extension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E2761"/>
      <w:sz w:val="36"/>
      <w:szCs w:val="36"/>
    </w:rPr>
  </w:style>
  <w:style w:type="paragraph" w:styleId="Heading2">
    <w:name w:val="Heading 2"/>
    <w:basedOn w:val="Normal"/>
    <w:next w:val="Normal"/>
    <w:qFormat/>
    <w:pPr>
      <w:spacing w:after="160" w:before="240"/>
      <w:outlineLvl w:val="1"/>
    </w:pPr>
    <w:rPr>
      <w:rFonts w:ascii="Georgia" w:cs="Georgia" w:eastAsia="Georgia" w:hAnsi="Georgia"/>
      <w:b/>
      <w:bCs/>
      <w:color w:val="1E2761"/>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1E27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acea4998c1da170eec48cebec4a1c9ab4b6647.png"/><Relationship Id="rId10" Type="http://schemas.openxmlformats.org/officeDocument/2006/relationships/image" Target="media/43bfff8942cc084f5ea00aad2d42ad09c6258c1b.png"/><Relationship Id="rId11" Type="http://schemas.openxmlformats.org/officeDocument/2006/relationships/image" Target="media/4fff56311db3f01edff22d6ba601bd69e701eb19.png"/><Relationship Id="rId12" Type="http://schemas.openxmlformats.org/officeDocument/2006/relationships/image" Target="media/772f0c403584ef1eb3d378cf0fd2a8a914c9c860.png"/><Relationship Id="rId13" Type="http://schemas.openxmlformats.org/officeDocument/2006/relationships/image" Target="media/2cdc8c02f0f80fb9af8c9ad76e0aa3006d254a7b.png"/><Relationship Id="rId14" Type="http://schemas.openxmlformats.org/officeDocument/2006/relationships/image" Target="media/2fd115aa119baff464ea5b795e7bd3462aa03ec3.png"/><Relationship Id="rId15" Type="http://schemas.openxmlformats.org/officeDocument/2006/relationships/image" Target="media/323819d8e7c9a1a25c778ae60fb0713012d4bc88.png"/><Relationship Id="rId16" Type="http://schemas.openxmlformats.org/officeDocument/2006/relationships/image" Target="media/827574b136a07303941c2e0623a39841887e055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2026-04-20T05:30:07.892Z</dcterms:created>
  <dcterms:modified xsi:type="dcterms:W3CDTF">2026-04-20T05:30:07.892Z</dcterms:modified>
</cp:coreProperties>
</file>

<file path=docProps/custom.xml><?xml version="1.0" encoding="utf-8"?>
<Properties xmlns="http://schemas.openxmlformats.org/officeDocument/2006/custom-properties" xmlns:vt="http://schemas.openxmlformats.org/officeDocument/2006/docPropsVTypes"/>
</file>