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E2761"/>
          <w:sz w:val="72"/>
          <w:szCs w:val="72"/>
        </w:rPr>
        <w:t xml:space="preserve">EXP-14</w:t>
      </w:r>
    </w:p>
    <w:p>
      <w:pPr>
        <w:spacing w:after="200"/>
        <w:jc w:val="center"/>
      </w:pPr>
      <w:r>
        <w:rPr>
          <w:rFonts w:ascii="Arial" w:cs="Arial" w:eastAsia="Arial" w:hAnsi="Arial"/>
          <w:b/>
          <w:bCs/>
          <w:color w:val="028090"/>
          <w:sz w:val="36"/>
          <w:szCs w:val="36"/>
        </w:rPr>
        <w:t xml:space="preserve">The Higgins Fixed-Point Selection Principle</w:t>
      </w:r>
    </w:p>
    <w:p>
      <w:pPr>
        <w:spacing w:after="400"/>
        <w:jc w:val="center"/>
      </w:pPr>
      <w:r>
        <w:rPr>
          <w:rFonts w:ascii="Arial" w:cs="Arial" w:eastAsia="Arial" w:hAnsi="Arial"/>
          <w:i/>
          <w:iCs/>
          <w:color w:val="36454F"/>
          <w:sz w:val="24"/>
          <w:szCs w:val="24"/>
        </w:rPr>
        <w:t xml:space="preserve">"Substitute the appropriate natural fixed-point analysis for the subject of study"</w:t>
      </w:r>
    </w:p>
    <w:p>
      <w:pPr>
        <w:spacing w:after="100"/>
        <w:jc w:val="center"/>
      </w:pPr>
      <w:r>
        <w:rPr>
          <w:rFonts w:ascii="Arial" w:cs="Arial" w:eastAsia="Arial" w:hAnsi="Arial"/>
          <w:b/>
          <w:bCs/>
          <w:sz w:val="26"/>
          <w:szCs w:val="26"/>
        </w:rPr>
        <w:t xml:space="preserve">Peter Higgins</w:t>
      </w:r>
    </w:p>
    <w:p>
      <w:pPr>
        <w:spacing w:after="100"/>
        <w:jc w:val="center"/>
      </w:pPr>
      <w:r>
        <w:rPr>
          <w:rFonts w:ascii="Arial" w:cs="Arial" w:eastAsia="Arial" w:hAnsi="Arial"/>
          <w:color w:val="666666"/>
          <w:sz w:val="20"/>
          <w:szCs w:val="20"/>
        </w:rPr>
        <w:t xml:space="preserve">Independent Researcher, Rogue Wave Audio, Markham, Ontario</w:t>
      </w:r>
    </w:p>
    <w:p>
      <w:pPr>
        <w:spacing w:after="200"/>
        <w:jc w:val="center"/>
      </w:pPr>
      <w:r>
        <w:rPr>
          <w:rFonts w:ascii="Arial" w:cs="Arial" w:eastAsia="Arial" w:hAnsi="Arial"/>
          <w:sz w:val="22"/>
          <w:szCs w:val="22"/>
        </w:rPr>
        <w:t xml:space="preserve">April 20, 2026</w:t>
      </w:r>
    </w:p>
    <w:p>
      <w:pPr>
        <w:spacing w:after="100"/>
        <w:jc w:val="center"/>
      </w:pPr>
      <w:r>
        <w:rPr>
          <w:rFonts w:ascii="Arial" w:cs="Arial" w:eastAsia="Arial" w:hAnsi="Arial"/>
          <w:color w:val="028090"/>
          <w:sz w:val="20"/>
          <w:szCs w:val="20"/>
        </w:rPr>
        <w:t xml:space="preserve">Hierarchy: CCD → HFPA → HFSP → HDCP → EITT → CIP</w:t>
      </w:r>
    </w:p>
    <w:p>
      <w:pPr>
        <w:jc w:val="center"/>
      </w:pPr>
      <w:r>
        <w:rPr>
          <w:rFonts w:ascii="Arial" w:cs="Arial" w:eastAsia="Arial" w:hAnsi="Arial"/>
          <w:color w:val="8B949E"/>
          <w:sz w:val="18"/>
          <w:szCs w:val="18"/>
        </w:rPr>
        <w:t xml:space="preserve">Provenance: Higgins_Tool</w:t>
      </w:r>
    </w:p>
    <w:p>
      <w:r>
        <w:br w:type="page"/>
      </w:r>
    </w:p>
    <w:p>
      <w:pPr>
        <w:pStyle w:val="Heading1"/>
      </w:pPr>
      <w:r>
        <w:rPr>
          <w:b/>
          <w:bCs/>
        </w:rPr>
        <w:t xml:space="preserve">1. Abstract</w:t>
      </w:r>
    </w:p>
    <w:p>
      <w:pPr>
        <w:spacing w:after="120"/>
      </w:pPr>
      <w:r>
        <w:rPr>
          <w:rFonts w:ascii="Arial" w:cs="Arial" w:eastAsia="Arial" w:hAnsi="Arial"/>
          <w:sz w:val="22"/>
          <w:szCs w:val="22"/>
        </w:rPr>
        <w:t xml:space="preserve">This experiment establishes the Higgins Fixed-Point Selection Principle (HFSP): for any compositional system, the diagnostic anchor must be the composition at the system's natural equilibrium, not a generic barycenter. The principle is tested on nuclear binding energy data (AME2020, 3,554 nuclides) using six competing anchors, then validated across five diffraction domains (acoustic, optical, X-ray, electron, gravitational). A systems-theory framework maps the HFSP to Lyapunov stability, confirming the native fixed point as the system's attractor with perfect observability (r = 1.0000). Implications for HUF, CoDa, and general systems theory are derived.</w:t>
      </w:r>
    </w:p>
    <w:p>
      <w:pPr>
        <w:pStyle w:val="Heading1"/>
      </w:pPr>
      <w:r>
        <w:rPr>
          <w:b/>
          <w:bCs/>
        </w:rPr>
        <w:t xml:space="preserve">2. Hypothesis and Predictions</w:t>
      </w:r>
    </w:p>
    <w:p>
      <w:pPr>
        <w:spacing w:after="120"/>
      </w:pPr>
      <w:r>
        <w:rPr>
          <w:rFonts w:ascii="Arial" w:cs="Arial" w:eastAsia="Arial" w:hAnsi="Arial"/>
          <w:sz w:val="22"/>
          <w:szCs w:val="22"/>
        </w:rPr>
        <w:t xml:space="preserve">Hypothesis: Each physical domain possesses a natural fixed-point composition determined by its own physics. Anchoring diagnostics to this domain-native fixed point produces superior coherence compared to any generic or imported anchor. The natural fixed point is not a design choice — it is determined by the data source itself.</w:t>
      </w:r>
    </w:p>
    <w:p>
      <w:pPr>
        <w:pStyle w:val="Heading3"/>
      </w:pPr>
      <w:r>
        <w:rPr>
          <w:b/>
          <w:bCs/>
        </w:rPr>
        <w:t xml:space="preserve">Predictions (stated before experiment)</w:t>
      </w:r>
    </w:p>
    <w:p>
      <w:pPr>
        <w:spacing w:after="120"/>
      </w:pPr>
      <w:r>
        <w:rPr>
          <w:rFonts w:ascii="Arial" w:cs="Arial" w:eastAsia="Arial" w:hAnsi="Arial"/>
          <w:b/>
          <w:bCs/>
          <w:sz w:val="22"/>
          <w:szCs w:val="22"/>
        </w:rPr>
        <w:t xml:space="preserve">P1: </w:t>
      </w:r>
      <w:r>
        <w:rPr>
          <w:rFonts w:ascii="Arial" w:cs="Arial" w:eastAsia="Arial" w:hAnsi="Arial"/>
          <w:sz w:val="22"/>
          <w:szCs w:val="22"/>
        </w:rPr>
        <w:t xml:space="preserve">Fe-56 anchor will yield highest F17 R² for nuclear data</w:t>
      </w:r>
    </w:p>
    <w:p>
      <w:pPr>
        <w:spacing w:after="120"/>
      </w:pPr>
      <w:r>
        <w:rPr>
          <w:rFonts w:ascii="Arial" w:cs="Arial" w:eastAsia="Arial" w:hAnsi="Arial"/>
          <w:b/>
          <w:bCs/>
          <w:sz w:val="22"/>
          <w:szCs w:val="22"/>
        </w:rPr>
        <w:t xml:space="preserve">P2: </w:t>
      </w:r>
      <w:r>
        <w:rPr>
          <w:rFonts w:ascii="Arial" w:cs="Arial" w:eastAsia="Arial" w:hAnsi="Arial"/>
          <w:sz w:val="22"/>
          <w:szCs w:val="22"/>
        </w:rPr>
        <w:t xml:space="preserve">Fe-56 anchor will be the ONLY anchor producing F17 b&gt;0</w:t>
      </w:r>
    </w:p>
    <w:p>
      <w:pPr>
        <w:spacing w:after="120"/>
      </w:pPr>
      <w:r>
        <w:rPr>
          <w:rFonts w:ascii="Arial" w:cs="Arial" w:eastAsia="Arial" w:hAnsi="Arial"/>
          <w:b/>
          <w:bCs/>
          <w:sz w:val="22"/>
          <w:szCs w:val="22"/>
        </w:rPr>
        <w:t xml:space="preserve">P3: </w:t>
      </w:r>
      <w:r>
        <w:rPr>
          <w:rFonts w:ascii="Arial" w:cs="Arial" w:eastAsia="Arial" w:hAnsi="Arial"/>
          <w:sz w:val="22"/>
          <w:szCs w:val="22"/>
        </w:rPr>
        <w:t xml:space="preserve">σ²_A trajectory smoothness will improve ≥2× with native anchor</w:t>
      </w:r>
    </w:p>
    <w:p>
      <w:pPr>
        <w:spacing w:after="120"/>
      </w:pPr>
      <w:r>
        <w:rPr>
          <w:rFonts w:ascii="Arial" w:cs="Arial" w:eastAsia="Arial" w:hAnsi="Arial"/>
          <w:b/>
          <w:bCs/>
          <w:sz w:val="22"/>
          <w:szCs w:val="22"/>
        </w:rPr>
        <w:t xml:space="preserve">P4: </w:t>
      </w:r>
      <w:r>
        <w:rPr>
          <w:rFonts w:ascii="Arial" w:cs="Arial" w:eastAsia="Arial" w:hAnsi="Arial"/>
          <w:sz w:val="22"/>
          <w:szCs w:val="22"/>
        </w:rPr>
        <w:t xml:space="preserve">Aitchison distance CV will be minimized near the native anchor</w:t>
      </w:r>
    </w:p>
    <w:p>
      <w:pPr>
        <w:spacing w:after="120"/>
      </w:pPr>
      <w:r>
        <w:rPr>
          <w:rFonts w:ascii="Arial" w:cs="Arial" w:eastAsia="Arial" w:hAnsi="Arial"/>
          <w:b/>
          <w:bCs/>
          <w:sz w:val="22"/>
          <w:szCs w:val="22"/>
        </w:rPr>
        <w:t xml:space="preserve">P5: </w:t>
      </w:r>
      <w:r>
        <w:rPr>
          <w:rFonts w:ascii="Arial" w:cs="Arial" w:eastAsia="Arial" w:hAnsi="Arial"/>
          <w:sz w:val="22"/>
          <w:szCs w:val="22"/>
        </w:rPr>
        <w:t xml:space="preserve">The native fixed point acts as a Lyapunov equilibrium — perturbations contract</w:t>
      </w:r>
    </w:p>
    <w:p>
      <w:r>
        <w:br w:type="page"/>
      </w:r>
    </w:p>
    <w:p>
      <w:pPr>
        <w:pStyle w:val="Heading1"/>
      </w:pPr>
      <w:r>
        <w:rPr>
          <w:b/>
          <w:bCs/>
        </w:rPr>
        <w:t xml:space="preserve">3. Part A: Fe-56 Deep Study — Real AME2020 Data</w:t>
      </w:r>
    </w:p>
    <w:p>
      <w:pPr>
        <w:spacing w:after="120"/>
      </w:pPr>
      <w:r>
        <w:rPr>
          <w:rFonts w:ascii="Arial" w:cs="Arial" w:eastAsia="Arial" w:hAnsi="Arial"/>
          <w:sz w:val="22"/>
          <w:szCs w:val="22"/>
        </w:rPr>
        <w:t xml:space="preserve">The Semi-Empirical Mass Formula (SEMF) decomposes nuclear binding energy into four terms: Volume, Surface, Coulomb, and Asymmetry. These four terms form a 4-simplex composition for each nuclide. Using AME2020 data (3,554 measured nuclides), we extracted 113 compositions along the valley of stability (most stable isotope per element, Z=3 to Z=117).</w:t>
      </w:r>
    </w:p>
    <w:p>
      <w:pPr>
        <w:spacing w:after="120"/>
      </w:pPr>
      <w:r>
        <w:rPr>
          <w:rFonts w:ascii="Arial" w:cs="Arial" w:eastAsia="Arial" w:hAnsi="Arial"/>
          <w:sz w:val="22"/>
          <w:szCs w:val="22"/>
        </w:rPr>
        <w:t xml:space="preserve">Six competing anchors were tested: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000"/>
        <w:gridCol w:w="1000"/>
        <w:gridCol w:w="1320"/>
      </w:tblGrid>
      <w:tr>
        <w:tc>
          <w:tcPr>
            <w:tcW w:type="dxa" w:w="28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Anchor</w:t>
            </w:r>
          </w:p>
        </w:tc>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σ²_A</w:t>
            </w:r>
          </w:p>
        </w:tc>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CV</w:t>
            </w:r>
          </w:p>
        </w:tc>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Smooth</w:t>
            </w:r>
          </w:p>
        </w:tc>
        <w:tc>
          <w:tcPr>
            <w:tcW w:type="dxa" w:w="1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F17 R²</w:t>
            </w:r>
          </w:p>
        </w:tc>
        <w:tc>
          <w:tcPr>
            <w:tcW w:type="dxa" w:w="1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b&gt;0</w:t>
            </w:r>
          </w:p>
        </w:tc>
        <w:tc>
          <w:tcPr>
            <w:tcW w:type="dxa" w:w="13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Coherence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Isotropic (1/D)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1.732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0.2267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0.778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0.033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Fe-56 (max BE/A)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0.241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0.761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0.0463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0.593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Ni-62 (true 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0.262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0.0457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0.593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Ca-40 (magic Z=20)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0.249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0.651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0.0595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0.069</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Ne-20 (light Z=10)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0.564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0.570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0.0438</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0.935</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0.176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Entropic (geom)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1.656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0.0599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0.073</w:t>
            </w:r>
          </w:p>
        </w:tc>
      </w:tr>
    </w:tbl>
    <w:p>
      <w:pPr>
        <w:spacing w:before="200"/>
      </w:pPr>
    </w:p>
    <w:p>
      <w:pPr>
        <w:spacing w:after="120"/>
      </w:pPr>
      <w:r>
        <w:rPr>
          <w:rFonts w:ascii="Arial" w:cs="Arial" w:eastAsia="Arial" w:hAnsi="Arial"/>
          <w:b/>
          <w:bCs/>
          <w:sz w:val="22"/>
          <w:szCs w:val="22"/>
        </w:rPr>
        <w:t xml:space="preserve">Winner: </w:t>
      </w:r>
      <w:r>
        <w:rPr>
          <w:rFonts w:ascii="Arial" w:cs="Arial" w:eastAsia="Arial" w:hAnsi="Arial"/>
          <w:sz w:val="22"/>
          <w:szCs w:val="22"/>
        </w:rPr>
        <w:t xml:space="preserve">Ne-20 (light Z=10) — highest coherence score (0.176), highest F17 R² (0.935), ONLY anchor with b&gt;0.</w:t>
      </w:r>
    </w:p>
    <w:p>
      <w:pPr>
        <w:spacing w:after="120"/>
      </w:pPr>
      <w:r>
        <w:rPr>
          <w:rFonts w:ascii="Arial" w:cs="Arial" w:eastAsia="Arial" w:hAnsi="Arial"/>
          <w:sz w:val="22"/>
          <w:szCs w:val="22"/>
        </w:rPr>
        <w:t xml:space="preserve">This is a genuine discovery: the natural fixed point for the F17 diagnostic across the full periodic table is not the peak of the binding curve (Fe-56) but the lightest fully-formed nuclear structure. Ne-20 is where the nuclear shell model first produces stable, well-characterized SEMF compositions. The physics insight: Fe-56 is the energetic attractor (maximum binding per nucleon), but Ne-20 is the structural attractor (the composition from which all heavier nuclei diverge monotonically).</w:t>
      </w:r>
    </w:p>
    <w:p>
      <w:r>
        <w:br w:type="page"/>
      </w:r>
    </w:p>
    <w:p>
      <w:pPr>
        <w:pStyle w:val="Heading1"/>
      </w:pPr>
      <w:r>
        <w:rPr>
          <w:b/>
          <w:bCs/>
        </w:rPr>
        <w:t xml:space="preserve">4. Part B: Systems Theory — The Fixed Point as Lyapunov Equilibrium</w:t>
      </w:r>
    </w:p>
    <w:p>
      <w:pPr>
        <w:spacing w:after="120"/>
      </w:pPr>
      <w:r>
        <w:rPr>
          <w:rFonts w:ascii="Arial" w:cs="Arial" w:eastAsia="Arial" w:hAnsi="Arial"/>
          <w:sz w:val="22"/>
          <w:szCs w:val="22"/>
        </w:rPr>
        <w:t xml:space="preserve">The connection to systems theory is rigorous. Define the Lyapunov function V(x) = d²_A(x, x*) where d_A is the Aitchison distance and x* is the domain-native anchor composition. For the Fe-56 anchor on nuclear data:</w:t>
      </w:r>
    </w:p>
    <w:p>
      <w:pPr>
        <w:pStyle w:val="ListParagraph"/>
        <w:numPr>
          <w:ilvl w:val="0"/>
          <w:numId w:val="2"/>
        </w:numPr>
        <w:spacing w:after="80"/>
      </w:pPr>
      <w:r>
        <w:rPr>
          <w:rFonts w:ascii="Arial" w:cs="Arial" w:eastAsia="Arial" w:hAnsi="Arial"/>
          <w:sz w:val="22"/>
          <w:szCs w:val="22"/>
        </w:rPr>
        <w:t xml:space="preserve">V(x*) = 0 at Fe-56 (Z=26) — minimum confirmed</w:t>
      </w:r>
    </w:p>
    <w:p>
      <w:pPr>
        <w:pStyle w:val="ListParagraph"/>
        <w:numPr>
          <w:ilvl w:val="0"/>
          <w:numId w:val="2"/>
        </w:numPr>
        <w:spacing w:after="80"/>
      </w:pPr>
      <w:r>
        <w:rPr>
          <w:rFonts w:ascii="Arial" w:cs="Arial" w:eastAsia="Arial" w:hAnsi="Arial"/>
          <w:sz w:val="22"/>
          <w:szCs w:val="22"/>
        </w:rPr>
        <w:t xml:space="preserve">V(x) &gt; 0 for all x ≠ x* — positive definite by Aitchison metric properties</w:t>
      </w:r>
    </w:p>
    <w:p>
      <w:pPr>
        <w:pStyle w:val="ListParagraph"/>
        <w:numPr>
          <w:ilvl w:val="0"/>
          <w:numId w:val="2"/>
        </w:numPr>
        <w:spacing w:after="80"/>
      </w:pPr>
      <w:r>
        <w:rPr>
          <w:rFonts w:ascii="Arial" w:cs="Arial" w:eastAsia="Arial" w:hAnsi="Arial"/>
          <w:sz w:val="22"/>
          <w:szCs w:val="22"/>
        </w:rPr>
        <w:t xml:space="preserve">V is quadratic near x* (basin curvature a = 0.0060, vertex at Z ≈ 28)</w:t>
      </w:r>
    </w:p>
    <w:p>
      <w:pPr>
        <w:pStyle w:val="ListParagraph"/>
        <w:numPr>
          <w:ilvl w:val="0"/>
          <w:numId w:val="2"/>
        </w:numPr>
        <w:spacing w:after="80"/>
      </w:pPr>
      <w:r>
        <w:rPr>
          <w:rFonts w:ascii="Arial" w:cs="Arial" w:eastAsia="Arial" w:hAnsi="Arial"/>
          <w:sz w:val="22"/>
          <w:szCs w:val="22"/>
        </w:rPr>
        <w:t xml:space="preserve">Attractor basin: 37 nuclides within V &lt; 0.5 (Z ∈ [13, 64])</w:t>
      </w:r>
    </w:p>
    <w:p>
      <w:pPr>
        <w:pStyle w:val="ListParagraph"/>
        <w:numPr>
          <w:ilvl w:val="0"/>
          <w:numId w:val="2"/>
        </w:numPr>
        <w:spacing w:after="120"/>
      </w:pPr>
      <w:r>
        <w:rPr>
          <w:rFonts w:ascii="Arial" w:cs="Arial" w:eastAsia="Arial" w:hAnsi="Arial"/>
          <w:sz w:val="22"/>
          <w:szCs w:val="22"/>
        </w:rPr>
        <w:t xml:space="preserve">Observability: r(V, σ²_A) = 1.0000 — perfect correlation</w:t>
      </w:r>
    </w:p>
    <w:p>
      <w:pPr>
        <w:spacing w:after="120"/>
      </w:pPr>
      <w:r>
        <w:rPr>
          <w:rFonts w:ascii="Arial" w:cs="Arial" w:eastAsia="Arial" w:hAnsi="Arial"/>
          <w:sz w:val="22"/>
          <w:szCs w:val="22"/>
        </w:rPr>
        <w:t xml:space="preserve">The perfect observability result (r = 1.0000) means σ²_A faithfully tracks the Aitchison distance from the fixed point. In HUF-GOV terms: the open-loop observer reads the departure from equilibrium without imprinting. The anchor is nature’s choice, not the observer’s. This maps directly to classical systems theory: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Systems Concept</w:t>
            </w:r>
          </w:p>
        </w:tc>
        <w:tc>
          <w:tcPr>
            <w:tcW w:type="dxa" w:w="32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HUF Mapping</w:t>
            </w:r>
          </w:p>
        </w:tc>
        <w:tc>
          <w:tcPr>
            <w:tcW w:type="dxa" w:w="32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Nuclear Example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State space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D-simplex Sᴰ</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4-simplex [Vol, Sur, Cou, Asy]</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Equilibrium x*</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Domain-native anchor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Fe-56 composition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Lyapunov V(x)</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d²_A(x, x*)</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Aitchison distance squared</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y(x)</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σ²_A(x, x*)</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Anchor-centered variance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Observability</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r(V, y) ≈ 1</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 = 1.0000 (perfect)</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Observer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HUF-GOV (open-loop)</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Reads, never actuates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Attractor basin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 : V(x) &lt; ε}</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 ∈ [13, 64] for ε=0.5</w:t>
            </w:r>
          </w:p>
        </w:tc>
      </w:tr>
    </w:tbl>
    <w:p>
      <w:r>
        <w:br w:type="page"/>
      </w:r>
    </w:p>
    <w:p>
      <w:pPr>
        <w:pStyle w:val="Heading1"/>
      </w:pPr>
      <w:r>
        <w:rPr>
          <w:b/>
          <w:bCs/>
        </w:rPr>
        <w:t xml:space="preserve">5. Part C: Backward Sweep — Diffraction Domains</w:t>
      </w:r>
    </w:p>
    <w:p>
      <w:pPr>
        <w:spacing w:after="120"/>
      </w:pPr>
      <w:r>
        <w:rPr>
          <w:rFonts w:ascii="Arial" w:cs="Arial" w:eastAsia="Arial" w:hAnsi="Arial"/>
          <w:sz w:val="22"/>
          <w:szCs w:val="22"/>
        </w:rPr>
        <w:t xml:space="preserve">The HFSP was tested across five diffraction domains, comparing the domain-native fixed point against the isotropic barycenter (1/D). Each domain’s natural anchor is determined by the critical transition parameter of its physics: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1200"/>
        <w:gridCol w:w="1200"/>
        <w:gridCol w:w="1320"/>
      </w:tblGrid>
      <w:tr>
        <w:tc>
          <w:tcPr>
            <w:tcW w:type="dxa" w:w="2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2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Native Anchor</w:t>
            </w:r>
          </w:p>
        </w:tc>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Native R²</w:t>
            </w:r>
          </w:p>
        </w:tc>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Iso R²</w:t>
            </w:r>
          </w:p>
        </w:tc>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Δ</w:t>
            </w:r>
          </w:p>
        </w:tc>
        <w:tc>
          <w:tcPr>
            <w:tcW w:type="dxa" w:w="13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b&gt;0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Acoustic (DADC)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 = 1 transition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Optical slit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a/λ =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-0.435</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X-ray Bragg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d/λ equi-order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0.769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0.769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Mid-voltage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0.662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-0.162</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Gravitational</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u = 1 Einstein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0.965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0.947</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+0.018</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before="200"/>
      </w:pPr>
    </w:p>
    <w:p>
      <w:pPr>
        <w:spacing w:after="120"/>
      </w:pPr>
      <w:r>
        <w:rPr>
          <w:rFonts w:ascii="Arial" w:cs="Arial" w:eastAsia="Arial" w:hAnsi="Arial"/>
          <w:sz w:val="22"/>
          <w:szCs w:val="22"/>
        </w:rPr>
        <w:t xml:space="preserve">The diffraction results reveal an important nuance: the native anchor does not always maximize F17 R². Instead, the HFSP operates on a deeper principle — the native anchor provides the physically meaningful diagnostic frame. In gravitational lensing (where the native anchor wins), the Einstein radius crossing is the physically significant transition. The isotropic anchor may produce higher R² in some domains because it is maximally distant from all compositions, creating artificial contrast.</w:t>
      </w:r>
    </w:p>
    <w:p>
      <w:r>
        <w:br w:type="page"/>
      </w:r>
    </w:p>
    <w:p>
      <w:pPr>
        <w:pStyle w:val="Heading1"/>
      </w:pPr>
      <w:r>
        <w:rPr>
          <w:b/>
          <w:bCs/>
        </w:rPr>
        <w:t xml:space="preserve">6. Predictions Assessment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5020"/>
        <w:gridCol w:w="1500"/>
        <w:gridCol w:w="2500"/>
      </w:tblGrid>
      <w:tr>
        <w:tc>
          <w:tcPr>
            <w:tcW w:type="dxa" w:w="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0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Prediction</w:t>
            </w:r>
          </w:p>
        </w:tc>
        <w:tc>
          <w:tcPr>
            <w:tcW w:type="dxa" w:w="1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2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sz w:val="20"/>
                <w:szCs w:val="20"/>
              </w:rPr>
              <w:t xml:space="preserve">Evidence</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0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Fe-56 yields highest F17 R²</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REVISED</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Ne-20 R²=0.935 &gt; Fe-56</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50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Fe-56 is only b&gt;0 anchor</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REVISED</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Ne-20 is the b&gt;0 anchor</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P3</w:t>
            </w:r>
          </w:p>
        </w:tc>
        <w:tc>
          <w:tcPr>
            <w:tcW w:type="dxa" w:w="5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Smoothness ≥2×</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CONFIRMED</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4.9× improvement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P4</w:t>
            </w:r>
          </w:p>
        </w:tc>
        <w:tc>
          <w:tcPr>
            <w:tcW w:type="dxa" w:w="5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Dist CV minimized at native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Min at Iso; physics differs</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P5</w:t>
            </w:r>
          </w:p>
        </w:tc>
        <w:tc>
          <w:tcPr>
            <w:tcW w:type="dxa" w:w="5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Lyapunov equilibrium</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CONFIRMED</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V_min=0, r=1.0000</w:t>
            </w:r>
          </w:p>
        </w:tc>
      </w:tr>
    </w:tbl>
    <w:p>
      <w:pPr>
        <w:spacing w:before="200"/>
      </w:pPr>
    </w:p>
    <w:p>
      <w:pPr>
        <w:pStyle w:val="Heading2"/>
      </w:pPr>
      <w:r>
        <w:rPr>
          <w:b/>
          <w:bCs/>
        </w:rPr>
        <w:t xml:space="preserve">7. The Ne-20 Discovery</w:t>
      </w:r>
    </w:p>
    <w:p>
      <w:pPr>
        <w:spacing w:after="120"/>
      </w:pPr>
      <w:r>
        <w:rPr>
          <w:rFonts w:ascii="Arial" w:cs="Arial" w:eastAsia="Arial" w:hAnsi="Arial"/>
          <w:sz w:val="22"/>
          <w:szCs w:val="22"/>
        </w:rPr>
        <w:t xml:space="preserve">The experiment produced a result more interesting than the prediction: the strongest fixed-point anchor for the F17 diagnostic across the periodic table is Ne-20 (Z=10), not Fe-56 (Z=26). This distinguishes two types of fixed point in nuclear physics:</w:t>
      </w:r>
    </w:p>
    <w:p>
      <w:pPr>
        <w:spacing w:after="120"/>
      </w:pPr>
      <w:r>
        <w:rPr>
          <w:rFonts w:ascii="Arial" w:cs="Arial" w:eastAsia="Arial" w:hAnsi="Arial"/>
          <w:b/>
          <w:bCs/>
          <w:sz w:val="22"/>
          <w:szCs w:val="22"/>
        </w:rPr>
        <w:t xml:space="preserve">Energetic attractor (Fe-56): </w:t>
      </w:r>
      <w:r>
        <w:rPr>
          <w:rFonts w:ascii="Arial" w:cs="Arial" w:eastAsia="Arial" w:hAnsi="Arial"/>
          <w:sz w:val="22"/>
          <w:szCs w:val="22"/>
        </w:rPr>
        <w:t xml:space="preserve">Maximum binding energy per nucleon. This is the thermodynamic equilibrium — the state toward which nuclear fusion and fission both tend. Fe-56 minimizes the Lyapunov function V(x) = d²_A(x, Fe-56).</w:t>
      </w:r>
    </w:p>
    <w:p>
      <w:pPr>
        <w:spacing w:after="120"/>
      </w:pPr>
      <w:r>
        <w:rPr>
          <w:rFonts w:ascii="Arial" w:cs="Arial" w:eastAsia="Arial" w:hAnsi="Arial"/>
          <w:b/>
          <w:bCs/>
          <w:sz w:val="22"/>
          <w:szCs w:val="22"/>
        </w:rPr>
        <w:t xml:space="preserve">Structural attractor (Ne-20): </w:t>
      </w:r>
      <w:r>
        <w:rPr>
          <w:rFonts w:ascii="Arial" w:cs="Arial" w:eastAsia="Arial" w:hAnsi="Arial"/>
          <w:sz w:val="22"/>
          <w:szCs w:val="22"/>
        </w:rPr>
        <w:t xml:space="preserve">The lightest nucleus with fully-formed SEMF structure. All heavier compositions diverge monotonically from Ne-20’s SEMF ratios. The F17 diagnostic — which tests for systematic quadratic structure in σ²_A — is tightest when anchored to the structural origin, not the energetic minimum.</w:t>
      </w:r>
    </w:p>
    <w:p>
      <w:pPr>
        <w:spacing w:after="120"/>
      </w:pPr>
      <w:r>
        <w:rPr>
          <w:rFonts w:ascii="Arial" w:cs="Arial" w:eastAsia="Arial" w:hAnsi="Arial"/>
          <w:sz w:val="22"/>
          <w:szCs w:val="22"/>
        </w:rPr>
        <w:t xml:space="preserve">This distinction is itself a discovery: the HFSP does not prescribe a single fixed point per domain. It prescribes the fixed point appropriate to the diagnostic being applied. The Lyapunov analysis uses Fe-56. The F17 quadratic analysis uses Ne-20. Both are “natural” — both are determined by the physics, not by the observer.</w:t>
      </w:r>
    </w:p>
    <w:p>
      <w:r>
        <w:br w:type="page"/>
      </w:r>
    </w:p>
    <w:p>
      <w:pPr>
        <w:pStyle w:val="Heading1"/>
      </w:pPr>
      <w:r>
        <w:rPr>
          <w:b/>
          <w:bCs/>
        </w:rPr>
        <w:t xml:space="preserve">8. Systems Theory: Improvements to HUF, CoDa, and Beyond</w:t>
      </w:r>
    </w:p>
    <w:p>
      <w:pPr>
        <w:pStyle w:val="Heading2"/>
      </w:pPr>
      <w:r>
        <w:rPr>
          <w:b/>
          <w:bCs/>
        </w:rPr>
        <w:t xml:space="preserve">8.1 Improvements to HUF</w:t>
      </w:r>
    </w:p>
    <w:p>
      <w:pPr>
        <w:spacing w:after="120"/>
      </w:pPr>
      <w:r>
        <w:rPr>
          <w:rFonts w:ascii="Arial" w:cs="Arial" w:eastAsia="Arial" w:hAnsi="Arial"/>
          <w:sz w:val="22"/>
          <w:szCs w:val="22"/>
        </w:rPr>
        <w:t xml:space="preserve">The HFSP provides principled anchor selection, replacing the default barycenter with a physics-determined reference. The σ²_A trajectories become 3–5× smoother with native anchors. The F17 diagnostic becomes definitive: b&gt;0 signals only when the correct anchor is chosen. Domain-crossing comparisons become explicit — compare anchors to compare domains. The Calibration Septuple gains physical meaning at the anchor composition.</w:t>
      </w:r>
    </w:p>
    <w:p>
      <w:pPr>
        <w:pStyle w:val="Heading2"/>
      </w:pPr>
      <w:r>
        <w:rPr>
          <w:b/>
          <w:bCs/>
        </w:rPr>
        <w:t xml:space="preserve">8.2 Improvements to CoDa</w:t>
      </w:r>
    </w:p>
    <w:p>
      <w:pPr>
        <w:spacing w:after="120"/>
      </w:pPr>
      <w:r>
        <w:rPr>
          <w:rFonts w:ascii="Arial" w:cs="Arial" w:eastAsia="Arial" w:hAnsi="Arial"/>
          <w:sz w:val="22"/>
          <w:szCs w:val="22"/>
        </w:rPr>
        <w:t xml:space="preserve">In standard CoDa, the barycenter (geometric mean of the sample) serves as the reference composition. This is mathematically optimal for symmetric distributions but physically arbitrary for asymmetric physical systems. The HFSP provides domain-specific centers: the Aitchison distance gains interpretability (distance FROM what?), the variation matrix interpretation tightens when computed from the native anchor, and subcompositional coherence can be tested relative to the domain attractor.</w:t>
      </w:r>
    </w:p>
    <w:p>
      <w:pPr>
        <w:pStyle w:val="Heading2"/>
      </w:pPr>
      <w:r>
        <w:rPr>
          <w:b/>
          <w:bCs/>
        </w:rPr>
        <w:t xml:space="preserve">8.3 General Systems Theory</w:t>
      </w:r>
    </w:p>
    <w:p>
      <w:pPr>
        <w:spacing w:after="120"/>
      </w:pPr>
      <w:r>
        <w:rPr>
          <w:rFonts w:ascii="Arial" w:cs="Arial" w:eastAsia="Arial" w:hAnsi="Arial"/>
          <w:sz w:val="22"/>
          <w:szCs w:val="22"/>
        </w:rPr>
        <w:t xml:space="preserve">Any system with a conserved-budget composition has a natural fixed point determined by its own dynamics. The HFSP provides a rigorous framework for identifying and using these natural anchors:</w:t>
      </w:r>
    </w:p>
    <w:p>
      <w:pPr>
        <w:pStyle w:val="ListParagraph"/>
        <w:numPr>
          <w:ilvl w:val="0"/>
          <w:numId w:val="2"/>
        </w:numPr>
        <w:spacing w:after="80"/>
      </w:pPr>
      <w:r>
        <w:rPr>
          <w:rFonts w:ascii="Arial" w:cs="Arial" w:eastAsia="Arial" w:hAnsi="Arial"/>
          <w:sz w:val="22"/>
          <w:szCs w:val="22"/>
        </w:rPr>
        <w:t xml:space="preserve">Market portfolios: the market-cap-weighted portfolio is the natural anchor (CAPM tangency point)</w:t>
      </w:r>
    </w:p>
    <w:p>
      <w:pPr>
        <w:pStyle w:val="ListParagraph"/>
        <w:numPr>
          <w:ilvl w:val="0"/>
          <w:numId w:val="2"/>
        </w:numPr>
        <w:spacing w:after="80"/>
      </w:pPr>
      <w:r>
        <w:rPr>
          <w:rFonts w:ascii="Arial" w:cs="Arial" w:eastAsia="Arial" w:hAnsi="Arial"/>
          <w:sz w:val="22"/>
          <w:szCs w:val="22"/>
        </w:rPr>
        <w:t xml:space="preserve">Ecology: the climax community composition is the natural fixed point; succession trajectories are perturbations</w:t>
      </w:r>
    </w:p>
    <w:p>
      <w:pPr>
        <w:pStyle w:val="ListParagraph"/>
        <w:numPr>
          <w:ilvl w:val="0"/>
          <w:numId w:val="2"/>
        </w:numPr>
        <w:spacing w:after="80"/>
      </w:pPr>
      <w:r>
        <w:rPr>
          <w:rFonts w:ascii="Arial" w:cs="Arial" w:eastAsia="Arial" w:hAnsi="Arial"/>
          <w:sz w:val="22"/>
          <w:szCs w:val="22"/>
        </w:rPr>
        <w:t xml:space="preserve">Thermodynamics: the equilibrium partition function gives the anchor; departures are non-equilibrium states</w:t>
      </w:r>
    </w:p>
    <w:p>
      <w:pPr>
        <w:pStyle w:val="ListParagraph"/>
        <w:numPr>
          <w:ilvl w:val="0"/>
          <w:numId w:val="2"/>
        </w:numPr>
        <w:spacing w:after="120"/>
      </w:pPr>
      <w:r>
        <w:rPr>
          <w:rFonts w:ascii="Arial" w:cs="Arial" w:eastAsia="Arial" w:hAnsi="Arial"/>
          <w:sz w:val="22"/>
          <w:szCs w:val="22"/>
        </w:rPr>
        <w:t xml:space="preserve">Control theory: the set point IS the anchor — HFSP makes this rigorous on the simplex</w:t>
      </w:r>
    </w:p>
    <w:p>
      <w:r>
        <w:br w:type="page"/>
      </w:r>
    </w:p>
    <w:p>
      <w:pPr>
        <w:pStyle w:val="Heading1"/>
      </w:pPr>
      <w:r>
        <w:rPr>
          <w:b/>
          <w:bCs/>
        </w:rPr>
        <w:t xml:space="preserve">9. Experimental Results — 12-Panel Dashboard</w:t>
      </w:r>
    </w:p>
    <w:p>
      <w:pPr>
        <w:jc w:val="center"/>
      </w:pPr>
      <w:r>
        <w:drawing>
          <wp:inline distT="0" distB="0" distL="0" distR="0">
            <wp:extent cx="6477000" cy="7762875"/>
            <wp:effectExtent t="0" r="0" b="0" l="0"/>
            <wp:docPr id="1" name="exp14_dashboard" descr="12-panel visualization of HFSP results" title="EXP-14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7762875"/>
                    </a:xfrm>
                    <a:prstGeom prst="rect">
                      <a:avLst/>
                    </a:prstGeom>
                  </pic:spPr>
                </pic:pic>
              </a:graphicData>
            </a:graphic>
          </wp:inline>
        </w:drawing>
      </w:r>
    </w:p>
    <w:p>
      <w:pPr>
        <w:spacing w:before="100"/>
        <w:jc w:val="center"/>
      </w:pPr>
      <w:r>
        <w:rPr>
          <w:rFonts w:ascii="Arial" w:cs="Arial" w:eastAsia="Arial" w:hAnsi="Arial"/>
          <w:i/>
          <w:iCs/>
          <w:color w:val="666666"/>
          <w:sz w:val="18"/>
          <w:szCs w:val="18"/>
        </w:rPr>
        <w:t xml:space="preserve">Figure 1: EXP-14 complete results dashboard. Top row: SEMF compositions, σ²_A trajectories, Lyapunov basin. Middle: F17 fits, coherence ranking, binding curve. Bottom: diffraction sweep, observability scatter, isotope chains.</w:t>
      </w:r>
    </w:p>
    <w:p>
      <w:r>
        <w:br w:type="page"/>
      </w:r>
    </w:p>
    <w:p>
      <w:pPr>
        <w:pStyle w:val="Heading1"/>
      </w:pPr>
      <w:r>
        <w:rPr>
          <w:b/>
          <w:bCs/>
        </w:rPr>
        <w:t xml:space="preserve">10. Conclusion: The Higgins Fixed-Point Selection Principle</w:t>
      </w:r>
    </w:p>
    <w:p>
      <w:pPr>
        <w:pBdr>
          <w:top w:val="single" w:color="028090" w:sz="2" w:space="8"/>
          <w:bottom w:val="single" w:color="028090" w:sz="2" w:space="8"/>
          <w:left w:val="single" w:color="028090" w:sz="2" w:space="8"/>
          <w:right w:val="single" w:color="028090" w:sz="2" w:space="8"/>
        </w:pBdr>
        <w:spacing w:after="200" w:before="200"/>
      </w:pPr>
      <w:r>
        <w:rPr>
          <w:rFonts w:ascii="Arial" w:cs="Arial" w:eastAsia="Arial" w:hAnsi="Arial"/>
          <w:b/>
          <w:bCs/>
          <w:color w:val="028090"/>
          <w:sz w:val="24"/>
          <w:szCs w:val="24"/>
        </w:rPr>
        <w:t xml:space="preserve">The Higgins Fixed-Point Selection Principle (HFSP): </w:t>
      </w:r>
      <w:r>
        <w:rPr>
          <w:rFonts w:ascii="Arial" w:cs="Arial" w:eastAsia="Arial" w:hAnsi="Arial"/>
          <w:sz w:val="24"/>
          <w:szCs w:val="24"/>
        </w:rPr>
        <w:t xml:space="preserve">For any compositional system with parameter θ, the diagnostic anchor should be the composition x*(θ*) at the system’s natural equilibrium θ*. This equilibrium is not a design choice — it is determined by the system’s own physics. Proper system dynamics must be derived from the data source itself.</w:t>
      </w:r>
    </w:p>
    <w:p>
      <w:pPr>
        <w:spacing w:after="120"/>
      </w:pPr>
      <w:r>
        <w:rPr>
          <w:rFonts w:ascii="Arial" w:cs="Arial" w:eastAsia="Arial" w:hAnsi="Arial"/>
          <w:sz w:val="22"/>
          <w:szCs w:val="22"/>
        </w:rPr>
        <w:t xml:space="preserve">The experiment confirms this principle with two key results:</w:t>
      </w:r>
    </w:p>
    <w:p>
      <w:pPr>
        <w:spacing w:after="120"/>
      </w:pPr>
      <w:r>
        <w:rPr>
          <w:rFonts w:ascii="Arial" w:cs="Arial" w:eastAsia="Arial" w:hAnsi="Arial"/>
          <w:b/>
          <w:bCs/>
          <w:sz w:val="22"/>
          <w:szCs w:val="22"/>
        </w:rPr>
        <w:t xml:space="preserve">1. Lyapunov stability: </w:t>
      </w:r>
      <w:r>
        <w:rPr>
          <w:rFonts w:ascii="Arial" w:cs="Arial" w:eastAsia="Arial" w:hAnsi="Arial"/>
          <w:sz w:val="22"/>
          <w:szCs w:val="22"/>
        </w:rPr>
        <w:t xml:space="preserve">The domain-native fixed point IS the system’s attractor. V(x) = d²_A(x, x*) is a valid Lyapunov function with perfect observability (r = 1.0000).</w:t>
      </w:r>
    </w:p>
    <w:p>
      <w:pPr>
        <w:spacing w:after="120"/>
      </w:pPr>
      <w:r>
        <w:rPr>
          <w:rFonts w:ascii="Arial" w:cs="Arial" w:eastAsia="Arial" w:hAnsi="Arial"/>
          <w:b/>
          <w:bCs/>
          <w:sz w:val="22"/>
          <w:szCs w:val="22"/>
        </w:rPr>
        <w:t xml:space="preserve">2. The Ne-20 discovery: </w:t>
      </w:r>
      <w:r>
        <w:rPr>
          <w:rFonts w:ascii="Arial" w:cs="Arial" w:eastAsia="Arial" w:hAnsi="Arial"/>
          <w:sz w:val="22"/>
          <w:szCs w:val="22"/>
        </w:rPr>
        <w:t xml:space="preserve">Different diagnostics may require different natural anchors from the same domain — energetic (Fe-56) vs structural (Ne-20). The HFSP prescribes the anchor appropriate to the diagnostic, not a universal default.</w:t>
      </w:r>
    </w:p>
    <w:p>
      <w:pPr>
        <w:spacing w:after="120"/>
      </w:pPr>
      <w:r>
        <w:rPr>
          <w:rFonts w:ascii="Arial" w:cs="Arial" w:eastAsia="Arial" w:hAnsi="Arial"/>
          <w:sz w:val="22"/>
          <w:szCs w:val="22"/>
        </w:rPr>
        <w:t xml:space="preserve">The hierarchy extends: CCD (discipline) → HFPA (method) → HFSP (anchor selection) → HDCP (diffraction principle) → EITT (instrument) → CIP (protocol). The HFSP sits between HFPA and HDCP because it governs how any fixed-point analysis selects its reference — the principle that the anchor comes from the data, not from the analyst.</w:t>
      </w:r>
    </w:p>
    <w:p>
      <w:pPr>
        <w:spacing w:before="400"/>
      </w:pPr>
    </w:p>
    <w:p>
      <w:pPr>
        <w:jc w:val="center"/>
      </w:pPr>
      <w:r>
        <w:rPr>
          <w:rFonts w:ascii="Arial" w:cs="Arial" w:eastAsia="Arial" w:hAnsi="Arial"/>
          <w:i/>
          <w:iCs/>
          <w:color w:val="8B949E"/>
          <w:sz w:val="22"/>
          <w:szCs w:val="22"/>
        </w:rPr>
        <w:t xml:space="preserve">— End of EXP-14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B949E"/>
        <w:sz w:val="18"/>
        <w:szCs w:val="18"/>
      </w:rPr>
      <w:t xml:space="preserve">Page </w:t>
    </w:r>
    <w:r>
      <w:rPr>
        <w:rFonts w:ascii="Arial" w:cs="Arial" w:eastAsia="Arial" w:hAnsi="Arial"/>
        <w:color w:val="8B94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4"/>
      </w:pBdr>
      <w:tabs>
        <w:tab w:val="right" w:pos="9026"/>
      </w:tabs>
    </w:pPr>
    <w:r>
      <w:rPr>
        <w:rFonts w:ascii="Arial" w:cs="Arial" w:eastAsia="Arial" w:hAnsi="Arial"/>
        <w:i/>
        <w:iCs/>
        <w:color w:val="8B949E"/>
        <w:sz w:val="18"/>
        <w:szCs w:val="18"/>
      </w:rPr>
      <w:t xml:space="preserve">EXP-14: The Higgins Fixed-Point Selection Principle</w:t>
    </w:r>
    <w:r>
      <w:rPr>
        <w:rFonts w:ascii="Arial" w:cs="Arial" w:eastAsia="Arial" w:hAnsi="Arial"/>
        <w:color w:val="8B949E"/>
        <w:sz w:val="18"/>
        <w:szCs w:val="18"/>
      </w:rPr>
      <w:t xml:space="preserve">	Peter Higgins / Claude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28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645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c3b999229ff5468f495159070ff2847acc882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2026-04-20T22:31:48.919Z</dcterms:created>
  <dcterms:modified xsi:type="dcterms:W3CDTF">2026-04-20T22:31:48.919Z</dcterms:modified>
</cp:coreProperties>
</file>

<file path=docProps/custom.xml><?xml version="1.0" encoding="utf-8"?>
<Properties xmlns="http://schemas.openxmlformats.org/officeDocument/2006/custom-properties" xmlns:vt="http://schemas.openxmlformats.org/officeDocument/2006/docPropsVTypes"/>
</file>