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60"/>
      </w:pPr>
      <w:r>
        <w:rPr>
          <w:sz w:val="20"/>
          <w:szCs w:val="20"/>
        </w:rPr>
        <w:t xml:space="preserve"/>
      </w:r>
    </w:p>
    <w:p>
      <w:pPr>
        <w:spacing w:after="120" w:line="480"/>
        <w:jc w:val="center"/>
      </w:pPr>
      <w:r>
        <w:rPr>
          <w:rFonts w:ascii="Arial" w:cs="Arial" w:eastAsia="Arial" w:hAnsi="Arial"/>
          <w:b/>
          <w:bCs/>
          <w:color w:val="1F4E79"/>
          <w:sz w:val="56"/>
          <w:szCs w:val="56"/>
        </w:rPr>
        <w:t xml:space="preserve">HUF Energy Case Study</w:t>
      </w:r>
    </w:p>
    <w:p>
      <w:pPr>
        <w:spacing w:after="240" w:line="360"/>
        <w:jc w:val="center"/>
      </w:pPr>
      <w:r>
        <w:rPr>
          <w:rFonts w:ascii="Arial" w:cs="Arial" w:eastAsia="Arial" w:hAnsi="Arial"/>
          <w:b/>
          <w:bCs/>
          <w:color w:val="2E5C8A"/>
          <w:sz w:val="32"/>
          <w:szCs w:val="32"/>
        </w:rPr>
        <w:t xml:space="preserve">v1.0</w:t>
      </w:r>
    </w:p>
    <w:p>
      <w:pPr>
        <w:spacing w:after="600" w:line="360"/>
        <w:jc w:val="center"/>
      </w:pPr>
      <w:r>
        <w:rPr>
          <w:rFonts w:ascii="Arial" w:cs="Arial" w:eastAsia="Arial" w:hAnsi="Arial"/>
          <w:i/>
          <w:iCs/>
          <w:color w:val="333333"/>
          <w:sz w:val="24"/>
          <w:szCs w:val="24"/>
        </w:rPr>
        <w:t xml:space="preserve">Real Data, Triad Domain 2 of 3: Infrastructure/Energy</w:t>
      </w:r>
    </w:p>
    <w:p>
      <w:pPr>
        <w:spacing w:after="400" w:line="360"/>
      </w:pPr>
      <w:r>
        <w:rPr>
          <w:sz w:val="20"/>
          <w:szCs w:val="20"/>
        </w:rPr>
        <w:t xml:space="preserve"/>
      </w:r>
    </w:p>
    <w:p>
      <w:pPr>
        <w:spacing w:after="80" w:line="360"/>
        <w:jc w:val="center"/>
      </w:pPr>
      <w:r>
        <w:rPr>
          <w:rFonts w:ascii="Arial" w:cs="Arial" w:eastAsia="Arial" w:hAnsi="Arial"/>
          <w:color w:val="666666"/>
          <w:sz w:val="20"/>
          <w:szCs w:val="20"/>
        </w:rPr>
        <w:t xml:space="preserve">HUF-DOC: HUF.REL.CASE.ENERGY_V1</w:t>
      </w:r>
    </w:p>
    <w:p>
      <w:pPr>
        <w:spacing w:after="80" w:line="360"/>
        <w:jc w:val="center"/>
      </w:pPr>
      <w:r>
        <w:rPr>
          <w:rFonts w:ascii="Arial" w:cs="Arial" w:eastAsia="Arial" w:hAnsi="Arial"/>
          <w:color w:val="666666"/>
          <w:sz w:val="20"/>
          <w:szCs w:val="20"/>
        </w:rPr>
        <w:t xml:space="preserve">Author: Peter Higgins, AI Collective</w:t>
      </w:r>
    </w:p>
    <w:p>
      <w:pPr>
        <w:spacing w:after="400" w:line="360"/>
        <w:jc w:val="center"/>
      </w:pPr>
      <w:r>
        <w:rPr>
          <w:rFonts w:ascii="Arial" w:cs="Arial" w:eastAsia="Arial" w:hAnsi="Arial"/>
          <w:color w:val="666666"/>
          <w:sz w:val="20"/>
          <w:szCs w:val="20"/>
        </w:rPr>
        <w:t xml:space="preserve">Date: 8 March 2026</w:t>
      </w:r>
    </w:p>
    <w:r>
      <w:br w:type="page"/>
    </w:r>
    <w:p>
      <w:pPr>
        <w:pStyle w:val="Heading1"/>
        <w:pBdr>
          <w:bottom w:val="single" w:color="1F4E79" w:sz="12" w:space="1"/>
        </w:pBdr>
        <w:spacing w:after="120" w:before="240" w:line="360"/>
        <w:jc w:val="left"/>
      </w:pPr>
      <w:r>
        <w:rPr>
          <w:rFonts w:ascii="Arial" w:cs="Arial" w:eastAsia="Arial" w:hAnsi="Arial"/>
          <w:b/>
          <w:bCs/>
          <w:color w:val="1F4E79"/>
          <w:sz w:val="112"/>
          <w:szCs w:val="112"/>
        </w:rPr>
        <w:t xml:space="preserve">Executive Summary</w:t>
      </w:r>
    </w:p>
    <w:p>
      <w:pPr>
        <w:spacing w:after="120" w:before="0" w:line="360"/>
        <w:jc w:val="left"/>
      </w:pPr>
      <w:r>
        <w:rPr>
          <w:rFonts w:ascii="Arial" w:cs="Arial" w:eastAsia="Arial" w:hAnsi="Arial"/>
          <w:b w:val="false"/>
          <w:bCs w:val="false"/>
          <w:i w:val="false"/>
          <w:iCs w:val="false"/>
          <w:color w:val="000000"/>
          <w:sz w:val="22"/>
          <w:szCs w:val="22"/>
        </w:rPr>
        <w:t xml:space="preserve">This case study examines global energy composition data across three distinct markets: Croatia, the United Kingdom, and China. Using 25 years of historical data (2000–2024), we analyze the structural dynamics, drift patterns, and evolutionary trajectories of energy portfolios within the Hybrid Unification Framework (HUF) — specifically within Domain 2 (Infrastructure/Energy) of the Triad classification system.</w:t>
      </w:r>
    </w:p>
    <w:p>
      <w:pPr>
        <w:spacing w:after="120" w:before="0" w:line="360"/>
        <w:jc w:val="left"/>
      </w:pPr>
      <w:r>
        <w:rPr>
          <w:rFonts w:ascii="Arial" w:cs="Arial" w:eastAsia="Arial" w:hAnsi="Arial"/>
          <w:b w:val="false"/>
          <w:bCs w:val="false"/>
          <w:i w:val="false"/>
          <w:iCs w:val="false"/>
          <w:color w:val="000000"/>
          <w:sz w:val="22"/>
          <w:szCs w:val="22"/>
        </w:rPr>
        <w:t xml:space="preserve">The analysis reveals critical structural dependencies (MDG scores), orphaned energy sources, and rapid renewable energy transitions, particularly evident in the UK and China. These findings establish empirical grounding for understanding energy system resilience and decarbonization within the HUF analytical framework.</w:t>
      </w:r>
    </w:p>
    <w:p>
      <w:pPr>
        <w:spacing w:after="120" w:before="0" w:line="360"/>
        <w:jc w:val="left"/>
      </w:pPr>
      <w:r>
        <w:rPr>
          <w:rFonts w:ascii="Arial" w:cs="Arial" w:eastAsia="Arial" w:hAnsi="Arial"/>
          <w:b w:val="false"/>
          <w:bCs w:val="false"/>
          <w:i w:val="false"/>
          <w:iCs w:val="false"/>
          <w:color w:val="000000"/>
          <w:sz w:val="22"/>
          <w:szCs w:val="22"/>
        </w:rPr>
        <w:t xml:space="preserve">Key findings include: (1) Croatia's hydro-dominance (47.8%) with emerging wind capabilities; (2) the UK's coal orphan status (0.8%) paired with rapid wind ascension (+3554 bps); (3) China's coal structural lock-in (57.8%) despite significant renewable growth; and (4) universal nuclear stagnation (static or near-zero contributions across all markets).</w:t>
      </w:r>
    </w:p>
    <w:r>
      <w:br w:type="page"/>
    </w:r>
    <w:p>
      <w:pPr>
        <w:pStyle w:val="Heading1"/>
        <w:spacing w:after="100" w:before="200" w:line="360"/>
        <w:jc w:val="left"/>
      </w:pPr>
      <w:r>
        <w:rPr>
          <w:rFonts w:ascii="Arial" w:cs="Arial" w:eastAsia="Arial" w:hAnsi="Arial"/>
          <w:b/>
          <w:bCs/>
          <w:color w:val="1F4E79"/>
          <w:sz w:val="64"/>
          <w:szCs w:val="64"/>
        </w:rPr>
        <w:t xml:space="preserve">Data Source &amp; Methodology</w:t>
      </w:r>
    </w:p>
    <w:p>
      <w:pPr>
        <w:spacing w:after="120" w:before="0" w:line="360"/>
        <w:jc w:val="left"/>
      </w:pPr>
      <w:r>
        <w:rPr>
          <w:rFonts w:ascii="Arial" w:cs="Arial" w:eastAsia="Arial" w:hAnsi="Arial"/>
          <w:b w:val="false"/>
          <w:bCs w:val="false"/>
          <w:i w:val="false"/>
          <w:iCs w:val="false"/>
          <w:color w:val="000000"/>
          <w:sz w:val="22"/>
          <w:szCs w:val="22"/>
        </w:rPr>
        <w:t xml:space="preserve">Dataset: Our World in Data (OWID) Energy Dataset, licensed under CC-BY-4.0</w:t>
      </w:r>
    </w:p>
    <w:p>
      <w:pPr>
        <w:spacing w:after="120" w:before="0" w:line="360"/>
        <w:jc w:val="left"/>
      </w:pPr>
      <w:r>
        <w:rPr>
          <w:rFonts w:ascii="Arial" w:cs="Arial" w:eastAsia="Arial" w:hAnsi="Arial"/>
          <w:b w:val="false"/>
          <w:bCs w:val="false"/>
          <w:i w:val="false"/>
          <w:iCs w:val="false"/>
          <w:color w:val="000000"/>
          <w:sz w:val="22"/>
          <w:szCs w:val="22"/>
        </w:rPr>
        <w:t xml:space="preserve">Source: Ember &amp; OWID Energy Data Repository</w:t>
      </w:r>
    </w:p>
    <w:p>
      <w:pPr>
        <w:spacing w:after="120" w:before="0" w:line="360"/>
        <w:jc w:val="left"/>
      </w:pPr>
      <w:r>
        <w:rPr>
          <w:rFonts w:ascii="Arial" w:cs="Arial" w:eastAsia="Arial" w:hAnsi="Arial"/>
          <w:b w:val="false"/>
          <w:bCs w:val="false"/>
          <w:i w:val="false"/>
          <w:iCs w:val="false"/>
          <w:color w:val="000000"/>
          <w:sz w:val="22"/>
          <w:szCs w:val="22"/>
        </w:rPr>
        <w:t xml:space="preserve">File Size: 9.15 MB CSV</w:t>
      </w:r>
    </w:p>
    <w:p>
      <w:pPr>
        <w:spacing w:after="120" w:before="0" w:line="360"/>
        <w:jc w:val="left"/>
      </w:pPr>
      <w:r>
        <w:rPr>
          <w:rFonts w:ascii="Arial" w:cs="Arial" w:eastAsia="Arial" w:hAnsi="Arial"/>
          <w:b w:val="false"/>
          <w:bCs w:val="false"/>
          <w:i w:val="false"/>
          <w:iCs w:val="false"/>
          <w:color w:val="000000"/>
          <w:sz w:val="22"/>
          <w:szCs w:val="22"/>
        </w:rPr>
        <w:t xml:space="preserve">Observations: 23,232 rows representing 215+ countries</w:t>
      </w:r>
    </w:p>
    <w:p>
      <w:pPr>
        <w:spacing w:after="120" w:before="0" w:line="360"/>
        <w:jc w:val="left"/>
      </w:pPr>
      <w:r>
        <w:rPr>
          <w:rFonts w:ascii="Arial" w:cs="Arial" w:eastAsia="Arial" w:hAnsi="Arial"/>
          <w:b w:val="false"/>
          <w:bCs w:val="false"/>
          <w:i w:val="false"/>
          <w:iCs w:val="false"/>
          <w:color w:val="000000"/>
          <w:sz w:val="22"/>
          <w:szCs w:val="22"/>
        </w:rPr>
        <w:t xml:space="preserve">Time Period: 2000–2024 (25 annual snapshots per country)</w:t>
      </w:r>
    </w:p>
    <w:p>
      <w:pPr>
        <w:spacing w:after="120" w:before="0" w:line="360"/>
        <w:jc w:val="left"/>
      </w:pPr>
      <w:r>
        <w:rPr>
          <w:rFonts w:ascii="Arial" w:cs="Arial" w:eastAsia="Arial" w:hAnsi="Arial"/>
          <w:b w:val="false"/>
          <w:bCs w:val="false"/>
          <w:i w:val="false"/>
          <w:iCs w:val="false"/>
          <w:color w:val="000000"/>
          <w:sz w:val="22"/>
          <w:szCs w:val="22"/>
        </w:rPr>
        <w:t xml:space="preserve">Energy Sources: Coal, Oil, Gas, Nuclear, Hydro, Wind, Solar, Bioenergy (variable per country)</w:t>
      </w:r>
    </w:p>
    <w:p>
      <w:pPr>
        <w:spacing w:after="120" w:before="0" w:line="360"/>
        <w:jc w:val="left"/>
      </w:pPr>
      <w:r>
        <w:rPr>
          <w:rFonts w:ascii="Arial" w:cs="Arial" w:eastAsia="Arial" w:hAnsi="Arial"/>
          <w:b w:val="false"/>
          <w:bCs w:val="false"/>
          <w:i w:val="false"/>
          <w:iCs w:val="false"/>
          <w:color w:val="000000"/>
          <w:sz w:val="22"/>
          <w:szCs w:val="22"/>
        </w:rPr>
        <w:t xml:space="preserve">Metric: TWh (Terawatt-hours) annual generation</w:t>
      </w:r>
    </w:p>
    <w:p>
      <w:pPr>
        <w:spacing w:after="240" w:before="0" w:line="360"/>
        <w:jc w:val="left"/>
      </w:pPr>
      <w:r>
        <w:rPr>
          <w:rFonts w:ascii="Arial" w:cs="Arial" w:eastAsia="Arial" w:hAnsi="Arial"/>
          <w:b w:val="false"/>
          <w:bCs w:val="false"/>
          <w:i w:val="false"/>
          <w:iCs w:val="false"/>
          <w:color w:val="000000"/>
          <w:sz w:val="22"/>
          <w:szCs w:val="22"/>
        </w:rPr>
        <w:t xml:space="preserve">In HUF terms, each country represents a distinct Portfolio Domain (K-dimensional composition space), where K varies by energy infrastructure diversity. The temporal dimension (t = 2000 to 2024) enables drift analysis—measuring the basis-point shift of each energy source within the total generation portfolio.</w:t>
      </w:r>
    </w:p>
    <w:r>
      <w:br w:type="page"/>
    </w:r>
    <w:p>
      <w:pPr>
        <w:pStyle w:val="Heading1"/>
        <w:spacing w:after="100" w:before="200" w:line="360"/>
        <w:jc w:val="left"/>
      </w:pPr>
      <w:r>
        <w:rPr>
          <w:rFonts w:ascii="Arial" w:cs="Arial" w:eastAsia="Arial" w:hAnsi="Arial"/>
          <w:b/>
          <w:bCs/>
          <w:color w:val="1F4E79"/>
          <w:sz w:val="64"/>
          <w:szCs w:val="64"/>
        </w:rPr>
        <w:t xml:space="preserve">Croatia Analysis: Hydro Dominance &amp; Structural Zero Nuclear</w:t>
      </w:r>
    </w:p>
    <w:p>
      <w:pPr>
        <w:spacing w:after="160" w:before="0" w:line="360"/>
        <w:jc w:val="left"/>
      </w:pPr>
      <w:r>
        <w:rPr>
          <w:rFonts w:ascii="Arial" w:cs="Arial" w:eastAsia="Arial" w:hAnsi="Arial"/>
          <w:b w:val="false"/>
          <w:bCs w:val="false"/>
          <w:i w:val="false"/>
          <w:iCs w:val="false"/>
          <w:color w:val="000000"/>
          <w:sz w:val="22"/>
          <w:szCs w:val="22"/>
        </w:rPr>
        <w:t xml:space="preserve">Croatia's energy system is characterized by K=6 energy sources: Coal, Gas, Nuclear, Hydro, Wind, and Solar.</w:t>
      </w:r>
    </w:p>
    <w:p>
      <w:pPr>
        <w:spacing w:after="120" w:before="0" w:line="360"/>
        <w:jc w:val="left"/>
      </w:pPr>
      <w:r>
        <w:rPr>
          <w:rFonts w:ascii="Arial" w:cs="Arial" w:eastAsia="Arial" w:hAnsi="Arial"/>
          <w:b/>
          <w:bCs/>
          <w:i w:val="false"/>
          <w:iCs w:val="false"/>
          <w:color w:val="000000"/>
          <w:sz w:val="22"/>
          <w:szCs w:val="22"/>
        </w:rPr>
        <w:t xml:space="preserve">Portfolio Size: 14.07 TWh (2024 total generation)</w:t>
      </w:r>
    </w:p>
    <w:p>
      <w:pPr>
        <w:spacing w:after="120" w:before="0" w:line="360"/>
        <w:jc w:val="left"/>
      </w:pPr>
      <w:r>
        <w:rPr>
          <w:rFonts w:ascii="Arial" w:cs="Arial" w:eastAsia="Arial" w:hAnsi="Arial"/>
          <w:b/>
          <w:bCs/>
          <w:i w:val="false"/>
          <w:iCs w:val="false"/>
          <w:color w:val="000000"/>
          <w:sz w:val="22"/>
          <w:szCs w:val="22"/>
        </w:rPr>
        <w:t xml:space="preserve">Dominant Source: Hydro 47.8% (6,718 GWh)</w:t>
      </w:r>
    </w:p>
    <w:p>
      <w:pPr>
        <w:spacing w:after="120" w:before="0" w:line="360"/>
        <w:jc w:val="left"/>
      </w:pPr>
      <w:r>
        <w:rPr>
          <w:rFonts w:ascii="Arial" w:cs="Arial" w:eastAsia="Arial" w:hAnsi="Arial"/>
          <w:b/>
          <w:bCs/>
          <w:i w:val="false"/>
          <w:iCs w:val="false"/>
          <w:color w:val="000000"/>
          <w:sz w:val="22"/>
          <w:szCs w:val="22"/>
        </w:rPr>
        <w:t xml:space="preserve">MDG Score: 7697 bps (CRITICAL) — PROOF: 3</w:t>
      </w:r>
    </w:p>
    <w:p>
      <w:pPr>
        <w:spacing w:after="240" w:before="0" w:line="360"/>
        <w:jc w:val="left"/>
      </w:pPr>
      <w:r>
        <w:rPr>
          <w:rFonts w:ascii="Arial" w:cs="Arial" w:eastAsia="Arial" w:hAnsi="Arial"/>
          <w:b/>
          <w:bCs/>
          <w:i w:val="false"/>
          <w:iCs w:val="false"/>
          <w:color w:val="000000"/>
          <w:sz w:val="22"/>
          <w:szCs w:val="22"/>
        </w:rPr>
        <w:t xml:space="preserve">No orphans</w:t>
      </w:r>
    </w:p>
    <w:p>
      <w:pPr>
        <w:pStyle w:val="Heading2"/>
        <w:spacing w:after="100" w:before="200" w:line="360"/>
        <w:jc w:val="left"/>
      </w:pPr>
      <w:r>
        <w:rPr>
          <w:rFonts w:ascii="Arial" w:cs="Arial" w:eastAsia="Arial" w:hAnsi="Arial"/>
          <w:b/>
          <w:bCs/>
          <w:color w:val="1F4E79"/>
          <w:sz w:val="48"/>
          <w:szCs w:val="48"/>
        </w:rPr>
        <w:t xml:space="preserve">Structural Characteristics</w:t>
      </w:r>
    </w:p>
    <w:p>
      <w:pPr>
        <w:spacing w:after="120" w:before="0" w:line="360"/>
        <w:jc w:val="left"/>
      </w:pPr>
      <w:r>
        <w:rPr>
          <w:rFonts w:ascii="Arial" w:cs="Arial" w:eastAsia="Arial" w:hAnsi="Arial"/>
          <w:b w:val="false"/>
          <w:bCs w:val="false"/>
          <w:i w:val="false"/>
          <w:iCs w:val="false"/>
          <w:color w:val="000000"/>
          <w:sz w:val="22"/>
          <w:szCs w:val="22"/>
        </w:rPr>
        <w:t xml:space="preserve">Hydro Dominance: Hydro energy accounts for nearly half of Croatia's generation portfolio. This reflects the country's geographic endowment—abundant water resources and mountainous terrain provide natural hydroelectric capacity. However, hydro exhibits substantial drift (-1,957 bps over 25 years), indicating declining water availability or reduced rainfall patterns consistent with climate change impacts on Mediterranean hydrology.</w:t>
      </w:r>
    </w:p>
    <w:p>
      <w:pPr>
        <w:spacing w:after="120" w:before="0" w:line="360"/>
        <w:jc w:val="left"/>
      </w:pPr>
      <w:r>
        <w:rPr>
          <w:rFonts w:ascii="Arial" w:cs="Arial" w:eastAsia="Arial" w:hAnsi="Arial"/>
          <w:b w:val="false"/>
          <w:bCs w:val="false"/>
          <w:i w:val="false"/>
          <w:iCs w:val="false"/>
          <w:color w:val="000000"/>
          <w:sz w:val="22"/>
          <w:szCs w:val="22"/>
        </w:rPr>
        <w:t xml:space="preserve">Nuclear Structural Zero: Croatia has zero nuclear capacity at all observation points (ρ_nuclear = 0.0). This is a structural zero—not a missing value but an intentional policy choice. Nuclear represents an orphaned energy vector.</w:t>
      </w:r>
    </w:p>
    <w:p>
      <w:pPr>
        <w:spacing w:after="120" w:before="0" w:line="360"/>
        <w:jc w:val="left"/>
      </w:pPr>
      <w:r>
        <w:rPr>
          <w:rFonts w:ascii="Arial" w:cs="Arial" w:eastAsia="Arial" w:hAnsi="Arial"/>
          <w:b w:val="false"/>
          <w:bCs w:val="false"/>
          <w:i w:val="false"/>
          <w:iCs w:val="false"/>
          <w:color w:val="000000"/>
          <w:sz w:val="22"/>
          <w:szCs w:val="22"/>
        </w:rPr>
        <w:t xml:space="preserve">Wind Emergence: Wind capacity has grown +1,756 bps, becoming the second-largest energy source. This reflects EU renewable energy mandates and falling offshore wind costs.</w:t>
      </w:r>
    </w:p>
    <w:p>
      <w:pPr>
        <w:spacing w:after="120" w:before="0" w:line="360"/>
        <w:jc w:val="left"/>
      </w:pPr>
      <w:r>
        <w:rPr>
          <w:rFonts w:ascii="Arial" w:cs="Arial" w:eastAsia="Arial" w:hAnsi="Arial"/>
          <w:b w:val="false"/>
          <w:bCs w:val="false"/>
          <w:i w:val="false"/>
          <w:iCs w:val="false"/>
          <w:color w:val="000000"/>
          <w:sz w:val="22"/>
          <w:szCs w:val="22"/>
        </w:rPr>
        <w:t xml:space="preserve">Solar Growth: Solar emerged from negligible levels in 2000 to 5.8% (ρ_solar = 0.058) by 2024, a +583 bps drift.</w:t>
      </w:r>
    </w:p>
    <w:p>
      <w:pPr>
        <w:spacing w:after="240" w:before="0" w:line="360"/>
        <w:jc w:val="left"/>
      </w:pPr>
      <w:r>
        <w:rPr>
          <w:rFonts w:ascii="Arial" w:cs="Arial" w:eastAsia="Arial" w:hAnsi="Arial"/>
          <w:b w:val="false"/>
          <w:bCs w:val="false"/>
          <w:i w:val="false"/>
          <w:iCs w:val="false"/>
          <w:color w:val="000000"/>
          <w:sz w:val="22"/>
          <w:szCs w:val="22"/>
        </w:rPr>
        <w:t xml:space="preserve">Coal Decline: Coal decreased -1,051 bps, reflecting EU decarbonization policy and renewable substitution.</w:t>
      </w:r>
    </w:p>
    <w:p>
      <w:pPr>
        <w:pStyle w:val="Heading2"/>
        <w:spacing w:after="100" w:before="200" w:line="360"/>
        <w:jc w:val="left"/>
      </w:pPr>
      <w:r>
        <w:rPr>
          <w:rFonts w:ascii="Arial" w:cs="Arial" w:eastAsia="Arial" w:hAnsi="Arial"/>
          <w:b/>
          <w:bCs/>
          <w:color w:val="1F4E79"/>
          <w:sz w:val="48"/>
          <w:szCs w:val="48"/>
        </w:rPr>
        <w:t xml:space="preserve">Drift Pattern (2000–2024)</w:t>
      </w:r>
    </w:p>
    <w:tbl>
      <w:tblPr>
        <w:tblW w:type="pct" w:w="100%"/>
        <w:tblBorders>
          <w:top w:val="single" w:color="1F4E79" w:sz="6"/>
          <w:left w:val="single" w:color="1F4E79" w:sz="6"/>
          <w:bottom w:val="single" w:color="1F4E79" w:sz="6"/>
          <w:right w:val="single" w:color="1F4E79" w:sz="6"/>
          <w:insideH w:val="single" w:color="CCCCCC" w:sz="1"/>
          <w:insideV w:val="single" w:color="CCCCCC" w:sz="1"/>
        </w:tblBorders>
      </w:tblPr>
      <w:tblGrid>
        <w:gridCol w:w="100"/>
        <w:gridCol w:w="100"/>
        <w:gridCol w:w="100"/>
      </w:tblGrid>
      <w:tr>
        <w:trPr>
          <w:trHeight w:val="400" w:hRule="atLeast"/>
        </w:trPr>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Energy Source</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Drift (bps)</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Latest ρ (2024)</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Coal</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-1,051</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0.057</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Gas</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+669</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0.231</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Nuclear</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0.000</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Hydro</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-1,957</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0.478</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Wind</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+1,756</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0.176</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Solar</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+583</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0.058</w:t>
            </w:r>
          </w:p>
        </w:tc>
      </w:tr>
    </w:tbl>
    <w:p>
      <w:pPr>
        <w:spacing w:after="240" w:line="360"/>
      </w:pPr>
      <w:r>
        <w:rPr>
          <w:sz w:val="20"/>
          <w:szCs w:val="20"/>
        </w:rPr>
        <w:t xml:space="preserve"/>
      </w:r>
    </w:p>
    <w:p>
      <w:pPr>
        <w:spacing w:after="120" w:before="0" w:line="360"/>
        <w:jc w:val="left"/>
      </w:pPr>
      <w:r>
        <w:rPr>
          <w:rFonts w:ascii="Arial" w:cs="Arial" w:eastAsia="Arial" w:hAnsi="Arial"/>
          <w:b w:val="false"/>
          <w:bCs w:val="false"/>
          <w:i w:val="false"/>
          <w:iCs w:val="false"/>
          <w:color w:val="000000"/>
          <w:sz w:val="22"/>
          <w:szCs w:val="22"/>
        </w:rPr>
        <w:t xml:space="preserve">The Croatian energy transition is characterized by structural hydro decline (climate-driven), offset by rapid wind and solar growth. The MDG score of 7697 bps indicates critical structural dependency on hydro for system stability—renewable intermittency and reduced hydro production during drought years pose grid reliability risks.</w:t>
      </w:r>
    </w:p>
    <w:r>
      <w:br w:type="page"/>
    </w:r>
    <w:p>
      <w:pPr>
        <w:pStyle w:val="Heading1"/>
        <w:spacing w:after="100" w:before="200" w:line="360"/>
        <w:jc w:val="left"/>
      </w:pPr>
      <w:r>
        <w:rPr>
          <w:rFonts w:ascii="Arial" w:cs="Arial" w:eastAsia="Arial" w:hAnsi="Arial"/>
          <w:b/>
          <w:bCs/>
          <w:color w:val="1F4E79"/>
          <w:sz w:val="64"/>
          <w:szCs w:val="64"/>
        </w:rPr>
        <w:t xml:space="preserve">United Kingdom Analysis: Coal Orphan, Wind Leadership</w:t>
      </w:r>
    </w:p>
    <w:p>
      <w:pPr>
        <w:spacing w:after="160" w:before="0" w:line="360"/>
        <w:jc w:val="left"/>
      </w:pPr>
      <w:r>
        <w:rPr>
          <w:rFonts w:ascii="Arial" w:cs="Arial" w:eastAsia="Arial" w:hAnsi="Arial"/>
          <w:b w:val="false"/>
          <w:bCs w:val="false"/>
          <w:i w:val="false"/>
          <w:iCs w:val="false"/>
          <w:color w:val="000000"/>
          <w:sz w:val="22"/>
          <w:szCs w:val="22"/>
        </w:rPr>
        <w:t xml:space="preserve">The UK's energy system comprises K=6 sources: Coal, Gas, Nuclear, Hydro, Wind, and Solar.</w:t>
      </w:r>
    </w:p>
    <w:p>
      <w:pPr>
        <w:spacing w:after="120" w:before="0" w:line="360"/>
        <w:jc w:val="left"/>
      </w:pPr>
      <w:r>
        <w:rPr>
          <w:rFonts w:ascii="Arial" w:cs="Arial" w:eastAsia="Arial" w:hAnsi="Arial"/>
          <w:b/>
          <w:bCs/>
          <w:i w:val="false"/>
          <w:iCs w:val="false"/>
          <w:color w:val="000000"/>
          <w:sz w:val="22"/>
          <w:szCs w:val="22"/>
        </w:rPr>
        <w:t xml:space="preserve">Portfolio Size: 232.62 TWh (2024 total generation)</w:t>
      </w:r>
    </w:p>
    <w:p>
      <w:pPr>
        <w:spacing w:after="120" w:before="0" w:line="360"/>
        <w:jc w:val="left"/>
      </w:pPr>
      <w:r>
        <w:rPr>
          <w:rFonts w:ascii="Arial" w:cs="Arial" w:eastAsia="Arial" w:hAnsi="Arial"/>
          <w:b/>
          <w:bCs/>
          <w:i w:val="false"/>
          <w:iCs w:val="false"/>
          <w:color w:val="000000"/>
          <w:sz w:val="22"/>
          <w:szCs w:val="22"/>
        </w:rPr>
        <w:t xml:space="preserve">Dominant Source: Gas 37.1%</w:t>
      </w:r>
    </w:p>
    <w:p>
      <w:pPr>
        <w:spacing w:after="120" w:before="0" w:line="360"/>
        <w:jc w:val="left"/>
      </w:pPr>
      <w:r>
        <w:rPr>
          <w:rFonts w:ascii="Arial" w:cs="Arial" w:eastAsia="Arial" w:hAnsi="Arial"/>
          <w:b/>
          <w:bCs/>
          <w:i w:val="false"/>
          <w:iCs w:val="false"/>
          <w:color w:val="000000"/>
          <w:sz w:val="22"/>
          <w:szCs w:val="22"/>
        </w:rPr>
        <w:t xml:space="preserve">MDG Score: 8070 bps (CRITICAL) — PROOF: 3</w:t>
      </w:r>
    </w:p>
    <w:p>
      <w:pPr>
        <w:spacing w:after="240" w:before="0" w:line="360"/>
        <w:jc w:val="left"/>
      </w:pPr>
      <w:r>
        <w:rPr>
          <w:rFonts w:ascii="Arial" w:cs="Arial" w:eastAsia="Arial" w:hAnsi="Arial"/>
          <w:b/>
          <w:bCs/>
          <w:i w:val="false"/>
          <w:iCs w:val="false"/>
          <w:color w:val="000000"/>
          <w:sz w:val="22"/>
          <w:szCs w:val="22"/>
        </w:rPr>
        <w:t xml:space="preserve">Orphan Source: Coal at 0.8% (orphan threshold)</w:t>
      </w:r>
    </w:p>
    <w:p>
      <w:pPr>
        <w:pStyle w:val="Heading2"/>
        <w:spacing w:after="100" w:before="200" w:line="360"/>
        <w:jc w:val="left"/>
      </w:pPr>
      <w:r>
        <w:rPr>
          <w:rFonts w:ascii="Arial" w:cs="Arial" w:eastAsia="Arial" w:hAnsi="Arial"/>
          <w:b/>
          <w:bCs/>
          <w:color w:val="1F4E79"/>
          <w:sz w:val="48"/>
          <w:szCs w:val="48"/>
        </w:rPr>
        <w:t xml:space="preserve">Structural Characteristics</w:t>
      </w:r>
    </w:p>
    <w:p>
      <w:pPr>
        <w:spacing w:after="120" w:before="0" w:line="360"/>
        <w:jc w:val="left"/>
      </w:pPr>
      <w:r>
        <w:rPr>
          <w:rFonts w:ascii="Arial" w:cs="Arial" w:eastAsia="Arial" w:hAnsi="Arial"/>
          <w:b w:val="false"/>
          <w:bCs w:val="false"/>
          <w:i w:val="false"/>
          <w:iCs w:val="false"/>
          <w:color w:val="000000"/>
          <w:sz w:val="22"/>
          <w:szCs w:val="22"/>
        </w:rPr>
        <w:t xml:space="preserve">Coal Orphan Status: Coal has contracted to 0.8%, making it an orphaned energy source—statistically insignificant but still present. This represents one of the world's most dramatic coal phase-outs, driven by UK climate policy and the closure of legacy coal plants (e.g., Drax). The drift is -3,258 bps, the steepest among all sources.</w:t>
      </w:r>
    </w:p>
    <w:p>
      <w:pPr>
        <w:spacing w:after="120" w:before="0" w:line="360"/>
        <w:jc w:val="left"/>
      </w:pPr>
      <w:r>
        <w:rPr>
          <w:rFonts w:ascii="Arial" w:cs="Arial" w:eastAsia="Arial" w:hAnsi="Arial"/>
          <w:b w:val="false"/>
          <w:bCs w:val="false"/>
          <w:i w:val="false"/>
          <w:iCs w:val="false"/>
          <w:color w:val="000000"/>
          <w:sz w:val="22"/>
          <w:szCs w:val="22"/>
        </w:rPr>
        <w:t xml:space="preserve">Wind Leadership: Wind is the fastest-growing source, with +3,554 bps drift—the largest single-source transition among all three countries studied. Wind now represents 35.8% of UK generation, establishing the UK as a global leader in offshore wind deployment.</w:t>
      </w:r>
    </w:p>
    <w:p>
      <w:pPr>
        <w:spacing w:after="120" w:before="0" w:line="360"/>
        <w:jc w:val="left"/>
      </w:pPr>
      <w:r>
        <w:rPr>
          <w:rFonts w:ascii="Arial" w:cs="Arial" w:eastAsia="Arial" w:hAnsi="Arial"/>
          <w:b w:val="false"/>
          <w:bCs w:val="false"/>
          <w:i w:val="false"/>
          <w:iCs w:val="false"/>
          <w:color w:val="000000"/>
          <w:sz w:val="22"/>
          <w:szCs w:val="22"/>
        </w:rPr>
        <w:t xml:space="preserve">Gas Dominance with Decline: Gas remains the largest source at 37.1%, but is declining (-414 bps). This reflects tension between gas as a "bridge fuel" (replacing coal) and pressure to phase out all fossil fuels.</w:t>
      </w:r>
    </w:p>
    <w:p>
      <w:pPr>
        <w:spacing w:after="120" w:before="0" w:line="360"/>
        <w:jc w:val="left"/>
      </w:pPr>
      <w:r>
        <w:rPr>
          <w:rFonts w:ascii="Arial" w:cs="Arial" w:eastAsia="Arial" w:hAnsi="Arial"/>
          <w:b w:val="false"/>
          <w:bCs w:val="false"/>
          <w:i w:val="false"/>
          <w:iCs w:val="false"/>
          <w:color w:val="000000"/>
          <w:sz w:val="22"/>
          <w:szCs w:val="22"/>
        </w:rPr>
        <w:t xml:space="preserve">Nuclear Stability: Nuclear holds steady at 17.4% (ρ_nuclear = 0.174) with minimal drift (-624 bps), reflecting maintenance of existing stations and policy uncertainty around new builds (e.g., Hinkley Point C delays).</w:t>
      </w:r>
    </w:p>
    <w:p>
      <w:pPr>
        <w:spacing w:after="240" w:before="0" w:line="360"/>
        <w:jc w:val="left"/>
      </w:pPr>
      <w:r>
        <w:rPr>
          <w:rFonts w:ascii="Arial" w:cs="Arial" w:eastAsia="Arial" w:hAnsi="Arial"/>
          <w:b w:val="false"/>
          <w:bCs w:val="false"/>
          <w:i w:val="false"/>
          <w:iCs w:val="false"/>
          <w:color w:val="000000"/>
          <w:sz w:val="22"/>
          <w:szCs w:val="22"/>
        </w:rPr>
        <w:t xml:space="preserve">Solar Emergence: Solar has grown +636 bps to 6.4%, driven by policy support and cost reductions.</w:t>
      </w:r>
    </w:p>
    <w:p>
      <w:pPr>
        <w:pStyle w:val="Heading2"/>
        <w:spacing w:after="100" w:before="200" w:line="360"/>
        <w:jc w:val="left"/>
      </w:pPr>
      <w:r>
        <w:rPr>
          <w:rFonts w:ascii="Arial" w:cs="Arial" w:eastAsia="Arial" w:hAnsi="Arial"/>
          <w:b/>
          <w:bCs/>
          <w:color w:val="1F4E79"/>
          <w:sz w:val="48"/>
          <w:szCs w:val="48"/>
        </w:rPr>
        <w:t xml:space="preserve">Drift Pattern (2000–2024)</w:t>
      </w:r>
    </w:p>
    <w:tbl>
      <w:tblPr>
        <w:tblW w:type="pct" w:w="100%"/>
        <w:tblBorders>
          <w:top w:val="single" w:color="1F4E79" w:sz="6"/>
          <w:left w:val="single" w:color="1F4E79" w:sz="6"/>
          <w:bottom w:val="single" w:color="1F4E79" w:sz="6"/>
          <w:right w:val="single" w:color="1F4E79" w:sz="6"/>
          <w:insideH w:val="single" w:color="CCCCCC" w:sz="1"/>
          <w:insideV w:val="single" w:color="CCCCCC" w:sz="1"/>
        </w:tblBorders>
      </w:tblPr>
      <w:tblGrid>
        <w:gridCol w:w="100"/>
        <w:gridCol w:w="100"/>
        <w:gridCol w:w="100"/>
      </w:tblGrid>
      <w:tr>
        <w:trPr>
          <w:trHeight w:val="400" w:hRule="atLeast"/>
        </w:trPr>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Energy Source</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Drift (bps)</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Latest ρ (2024)</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Coal</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-3,258</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0.008</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Gas</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-414</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0.371</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Nuclear</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-624</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0.174</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Hydro</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+106</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0.025</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Wind</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+3,554</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0.358</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Solar</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+636</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0.064</w:t>
            </w:r>
          </w:p>
        </w:tc>
      </w:tr>
    </w:tbl>
    <w:p>
      <w:pPr>
        <w:spacing w:after="240" w:line="360"/>
      </w:pPr>
      <w:r>
        <w:rPr>
          <w:sz w:val="20"/>
          <w:szCs w:val="20"/>
        </w:rPr>
        <w:t xml:space="preserve"/>
      </w:r>
    </w:p>
    <w:p>
      <w:pPr>
        <w:spacing w:after="120" w:before="0" w:line="360"/>
        <w:jc w:val="left"/>
      </w:pPr>
      <w:r>
        <w:rPr>
          <w:rFonts w:ascii="Arial" w:cs="Arial" w:eastAsia="Arial" w:hAnsi="Arial"/>
          <w:b w:val="false"/>
          <w:bCs w:val="false"/>
          <w:i w:val="false"/>
          <w:iCs w:val="false"/>
          <w:color w:val="000000"/>
          <w:sz w:val="22"/>
          <w:szCs w:val="22"/>
        </w:rPr>
        <w:t xml:space="preserve">The UK energy transition is characterized by rapid decarbonization (coal → wind), with the critical MDG score (8070 bps) reflecting heavy dependency on fossil fuels (gas 37.1% + coal 0.8%). The emergence of wind as a co-dominant source (35.8%) has not yet eliminated this dependency; grid stability remains contingent on gas availability and interconnection with continental Europe.</w:t>
      </w:r>
    </w:p>
    <w:r>
      <w:br w:type="page"/>
    </w:r>
    <w:p>
      <w:pPr>
        <w:pStyle w:val="Heading1"/>
        <w:spacing w:after="100" w:before="200" w:line="360"/>
        <w:jc w:val="left"/>
      </w:pPr>
      <w:r>
        <w:rPr>
          <w:rFonts w:ascii="Arial" w:cs="Arial" w:eastAsia="Arial" w:hAnsi="Arial"/>
          <w:b/>
          <w:bCs/>
          <w:color w:val="1F4E79"/>
          <w:sz w:val="64"/>
          <w:szCs w:val="64"/>
        </w:rPr>
        <w:t xml:space="preserve">China Analysis: Coal Lock-In &amp; Renewable Scale</w:t>
      </w:r>
    </w:p>
    <w:p>
      <w:pPr>
        <w:spacing w:after="160" w:before="0" w:line="360"/>
        <w:jc w:val="left"/>
      </w:pPr>
      <w:r>
        <w:rPr>
          <w:rFonts w:ascii="Arial" w:cs="Arial" w:eastAsia="Arial" w:hAnsi="Arial"/>
          <w:b w:val="false"/>
          <w:bCs w:val="false"/>
          <w:i w:val="false"/>
          <w:iCs w:val="false"/>
          <w:color w:val="000000"/>
          <w:sz w:val="22"/>
          <w:szCs w:val="22"/>
        </w:rPr>
        <w:t xml:space="preserve">China's energy system comprises K=8 sources: Coal, Gas, Nuclear, Hydro, Wind, Solar, Oil, and Bioenergy.</w:t>
      </w:r>
    </w:p>
    <w:p>
      <w:pPr>
        <w:spacing w:after="120" w:before="0" w:line="360"/>
        <w:jc w:val="left"/>
      </w:pPr>
      <w:r>
        <w:rPr>
          <w:rFonts w:ascii="Arial" w:cs="Arial" w:eastAsia="Arial" w:hAnsi="Arial"/>
          <w:b/>
          <w:bCs/>
          <w:i w:val="false"/>
          <w:iCs w:val="false"/>
          <w:color w:val="000000"/>
          <w:sz w:val="22"/>
          <w:szCs w:val="22"/>
        </w:rPr>
        <w:t xml:space="preserve">Portfolio Size: 10,086.88 TWh (2024 total generation)</w:t>
      </w:r>
    </w:p>
    <w:p>
      <w:pPr>
        <w:spacing w:after="120" w:before="0" w:line="360"/>
        <w:jc w:val="left"/>
      </w:pPr>
      <w:r>
        <w:rPr>
          <w:rFonts w:ascii="Arial" w:cs="Arial" w:eastAsia="Arial" w:hAnsi="Arial"/>
          <w:b/>
          <w:bCs/>
          <w:i w:val="false"/>
          <w:iCs w:val="false"/>
          <w:color w:val="000000"/>
          <w:sz w:val="22"/>
          <w:szCs w:val="22"/>
        </w:rPr>
        <w:t xml:space="preserve">Dominant Source: Coal 57.8%</w:t>
      </w:r>
    </w:p>
    <w:p>
      <w:pPr>
        <w:spacing w:after="120" w:before="0" w:line="360"/>
        <w:jc w:val="left"/>
      </w:pPr>
      <w:r>
        <w:rPr>
          <w:rFonts w:ascii="Arial" w:cs="Arial" w:eastAsia="Arial" w:hAnsi="Arial"/>
          <w:b/>
          <w:bCs/>
          <w:i w:val="false"/>
          <w:iCs w:val="false"/>
          <w:color w:val="000000"/>
          <w:sz w:val="22"/>
          <w:szCs w:val="22"/>
        </w:rPr>
        <w:t xml:space="preserve">MDG Score: 9240 bps (CRITICAL) — PROOF: 3</w:t>
      </w:r>
    </w:p>
    <w:p>
      <w:pPr>
        <w:spacing w:after="240" w:before="0" w:line="360"/>
        <w:jc w:val="left"/>
      </w:pPr>
      <w:r>
        <w:rPr>
          <w:rFonts w:ascii="Arial" w:cs="Arial" w:eastAsia="Arial" w:hAnsi="Arial"/>
          <w:b/>
          <w:bCs/>
          <w:i w:val="false"/>
          <w:iCs w:val="false"/>
          <w:color w:val="000000"/>
          <w:sz w:val="22"/>
          <w:szCs w:val="22"/>
        </w:rPr>
        <w:t xml:space="preserve">Orphan Source: Oil at 0.9%</w:t>
      </w:r>
    </w:p>
    <w:p>
      <w:pPr>
        <w:pStyle w:val="Heading2"/>
        <w:spacing w:after="100" w:before="200" w:line="360"/>
        <w:jc w:val="left"/>
      </w:pPr>
      <w:r>
        <w:rPr>
          <w:rFonts w:ascii="Arial" w:cs="Arial" w:eastAsia="Arial" w:hAnsi="Arial"/>
          <w:b/>
          <w:bCs/>
          <w:color w:val="1F4E79"/>
          <w:sz w:val="48"/>
          <w:szCs w:val="48"/>
        </w:rPr>
        <w:t xml:space="preserve">Structural Characteristics</w:t>
      </w:r>
    </w:p>
    <w:p>
      <w:pPr>
        <w:spacing w:after="120" w:before="0" w:line="360"/>
        <w:jc w:val="left"/>
      </w:pPr>
      <w:r>
        <w:rPr>
          <w:rFonts w:ascii="Arial" w:cs="Arial" w:eastAsia="Arial" w:hAnsi="Arial"/>
          <w:b w:val="false"/>
          <w:bCs w:val="false"/>
          <w:i w:val="false"/>
          <w:iCs w:val="false"/>
          <w:color w:val="000000"/>
          <w:sz w:val="22"/>
          <w:szCs w:val="22"/>
        </w:rPr>
        <w:t xml:space="preserve">Coal Structural Lock-In: Coal dominates at 57.8%, reflecting China's vast coal reserves and historical dependence on coal-powered industrialization. Despite policy shifts toward renewables, coal infrastructure remains entrenched. Drift is modest (-2,044 bps over 25 years), indicating slow displacement even as renewables expand. Coal remains the foundation of China's energy security strategy.</w:t>
      </w:r>
    </w:p>
    <w:p>
      <w:pPr>
        <w:spacing w:after="120" w:before="0" w:line="360"/>
        <w:jc w:val="left"/>
      </w:pPr>
      <w:r>
        <w:rPr>
          <w:rFonts w:ascii="Arial" w:cs="Arial" w:eastAsia="Arial" w:hAnsi="Arial"/>
          <w:b w:val="false"/>
          <w:bCs w:val="false"/>
          <w:i w:val="false"/>
          <w:iCs w:val="false"/>
          <w:color w:val="000000"/>
          <w:sz w:val="22"/>
          <w:szCs w:val="22"/>
        </w:rPr>
        <w:t xml:space="preserve">Renewable Scale: China hosts the world's largest renewable energy deployment by absolute capacity. Wind capacity has grown +984 bps to 9.9%, and solar has grown +832 bps to 8.3%. Together, renewables (wind + hydro + solar + bioenergy) account for 24.8% of generation, but this is offset by coal's structural dominance.</w:t>
      </w:r>
    </w:p>
    <w:p>
      <w:pPr>
        <w:spacing w:after="120" w:before="0" w:line="360"/>
        <w:jc w:val="left"/>
      </w:pPr>
      <w:r>
        <w:rPr>
          <w:rFonts w:ascii="Arial" w:cs="Arial" w:eastAsia="Arial" w:hAnsi="Arial"/>
          <w:b w:val="false"/>
          <w:bCs w:val="false"/>
          <w:i w:val="false"/>
          <w:iCs w:val="false"/>
          <w:color w:val="000000"/>
          <w:sz w:val="22"/>
          <w:szCs w:val="22"/>
        </w:rPr>
        <w:t xml:space="preserve">Hydro Significance: Hydro contributes 13.4% (ρ_hydro = 0.134) but has declined -298 bps, likely due to dam capacity constraints and reduced water flow in key regions (e.g., Yangtze River). Large-scale hydro is not expanding in China as it has approached physical limits.</w:t>
      </w:r>
    </w:p>
    <w:p>
      <w:pPr>
        <w:spacing w:after="120" w:before="0" w:line="360"/>
        <w:jc w:val="left"/>
      </w:pPr>
      <w:r>
        <w:rPr>
          <w:rFonts w:ascii="Arial" w:cs="Arial" w:eastAsia="Arial" w:hAnsi="Arial"/>
          <w:b w:val="false"/>
          <w:bCs w:val="false"/>
          <w:i w:val="false"/>
          <w:iCs w:val="false"/>
          <w:color w:val="000000"/>
          <w:sz w:val="22"/>
          <w:szCs w:val="22"/>
        </w:rPr>
        <w:t xml:space="preserve">Oil Orphan: Oil represents only 0.9%—an orphaned energy vector in power generation. China uses oil primarily in transportation and petrochemicals, not electricity.</w:t>
      </w:r>
    </w:p>
    <w:p>
      <w:pPr>
        <w:spacing w:after="240" w:before="0" w:line="360"/>
        <w:jc w:val="left"/>
      </w:pPr>
      <w:r>
        <w:rPr>
          <w:rFonts w:ascii="Arial" w:cs="Arial" w:eastAsia="Arial" w:hAnsi="Arial"/>
          <w:b w:val="false"/>
          <w:bCs w:val="false"/>
          <w:i w:val="false"/>
          <w:iCs w:val="false"/>
          <w:color w:val="000000"/>
          <w:sz w:val="22"/>
          <w:szCs w:val="22"/>
        </w:rPr>
        <w:t xml:space="preserve">Nuclear Growth: Nuclear has grown +323 bps to 4.5%, reflecting China's nuclear expansion program, yet still contributes less than wind or solar.</w:t>
      </w:r>
    </w:p>
    <w:p>
      <w:pPr>
        <w:pStyle w:val="Heading2"/>
        <w:spacing w:after="100" w:before="200" w:line="360"/>
        <w:jc w:val="left"/>
      </w:pPr>
      <w:r>
        <w:rPr>
          <w:rFonts w:ascii="Arial" w:cs="Arial" w:eastAsia="Arial" w:hAnsi="Arial"/>
          <w:b/>
          <w:bCs/>
          <w:color w:val="1F4E79"/>
          <w:sz w:val="48"/>
          <w:szCs w:val="48"/>
        </w:rPr>
        <w:t xml:space="preserve">Drift Pattern (2000–2024)</w:t>
      </w:r>
    </w:p>
    <w:tbl>
      <w:tblPr>
        <w:tblW w:type="pct" w:w="100%"/>
        <w:tblBorders>
          <w:top w:val="single" w:color="1F4E79" w:sz="6"/>
          <w:left w:val="single" w:color="1F4E79" w:sz="6"/>
          <w:bottom w:val="single" w:color="1F4E79" w:sz="6"/>
          <w:right w:val="single" w:color="1F4E79" w:sz="6"/>
          <w:insideH w:val="single" w:color="CCCCCC" w:sz="1"/>
          <w:insideV w:val="single" w:color="CCCCCC" w:sz="1"/>
        </w:tblBorders>
      </w:tblPr>
      <w:tblGrid>
        <w:gridCol w:w="100"/>
        <w:gridCol w:w="100"/>
        <w:gridCol w:w="100"/>
      </w:tblGrid>
      <w:tr>
        <w:trPr>
          <w:trHeight w:val="400" w:hRule="atLeast"/>
        </w:trPr>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Energy Source</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Drift (bps)</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Latest ρ (2024)</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Coal</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-2,044</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0.578</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Gas</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+275</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0.032</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Nuclear</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+323</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0.045</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Hydro</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-298</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0.134</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Wind</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+984</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0.099</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Solar</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+832</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0.083</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Oil</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-261</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0.009</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Bioenergy</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+188</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0.021</w:t>
            </w:r>
          </w:p>
        </w:tc>
      </w:tr>
    </w:tbl>
    <w:p>
      <w:pPr>
        <w:spacing w:after="240" w:line="360"/>
      </w:pPr>
      <w:r>
        <w:rPr>
          <w:sz w:val="20"/>
          <w:szCs w:val="20"/>
        </w:rPr>
        <w:t xml:space="preserve"/>
      </w:r>
    </w:p>
    <w:p>
      <w:pPr>
        <w:spacing w:after="120" w:before="0" w:line="360"/>
        <w:jc w:val="left"/>
      </w:pPr>
      <w:r>
        <w:rPr>
          <w:rFonts w:ascii="Arial" w:cs="Arial" w:eastAsia="Arial" w:hAnsi="Arial"/>
          <w:b w:val="false"/>
          <w:bCs w:val="false"/>
          <w:i w:val="false"/>
          <w:iCs w:val="false"/>
          <w:color w:val="000000"/>
          <w:sz w:val="22"/>
          <w:szCs w:val="22"/>
        </w:rPr>
        <w:t xml:space="preserve">China's energy transition is characterized by coal entrenchment paired with renewable growth at unprecedented scale. The MDG score of 9240 bps—the highest among all three countries—reflects extreme structural dependency on coal. This creates a tension: absolute renewable capacity continues to expand, but coal's structural dominance persists, constraining grid decarbonization.</w:t>
      </w:r>
    </w:p>
    <w:r>
      <w:br w:type="page"/>
    </w:r>
    <w:p>
      <w:pPr>
        <w:pStyle w:val="Heading1"/>
        <w:spacing w:after="100" w:before="200" w:line="360"/>
        <w:jc w:val="left"/>
      </w:pPr>
      <w:r>
        <w:rPr>
          <w:rFonts w:ascii="Arial" w:cs="Arial" w:eastAsia="Arial" w:hAnsi="Arial"/>
          <w:b/>
          <w:bCs/>
          <w:color w:val="1F4E79"/>
          <w:sz w:val="64"/>
          <w:szCs w:val="64"/>
        </w:rPr>
        <w:t xml:space="preserve">Cross-Country Comparison</w:t>
      </w:r>
    </w:p>
    <w:p>
      <w:pPr>
        <w:spacing w:after="200" w:before="0" w:line="360"/>
        <w:jc w:val="left"/>
      </w:pPr>
      <w:r>
        <w:rPr>
          <w:rFonts w:ascii="Arial" w:cs="Arial" w:eastAsia="Arial" w:hAnsi="Arial"/>
          <w:b w:val="false"/>
          <w:bCs w:val="false"/>
          <w:i w:val="false"/>
          <w:iCs w:val="false"/>
          <w:color w:val="000000"/>
          <w:sz w:val="22"/>
          <w:szCs w:val="22"/>
        </w:rPr>
        <w:t xml:space="preserve">The three markets exhibit distinct energy transition patterns and structural profiles:</w:t>
      </w:r>
    </w:p>
    <w:p>
      <w:pPr>
        <w:pStyle w:val="Heading2"/>
        <w:spacing w:after="100" w:before="200" w:line="360"/>
        <w:jc w:val="left"/>
      </w:pPr>
      <w:r>
        <w:rPr>
          <w:rFonts w:ascii="Arial" w:cs="Arial" w:eastAsia="Arial" w:hAnsi="Arial"/>
          <w:b/>
          <w:bCs/>
          <w:color w:val="1F4E79"/>
          <w:sz w:val="48"/>
          <w:szCs w:val="48"/>
        </w:rPr>
        <w:t xml:space="preserve">Portfolio Scale</w:t>
      </w:r>
    </w:p>
    <w:tbl>
      <w:tblPr>
        <w:tblW w:type="pct" w:w="100%"/>
        <w:tblBorders>
          <w:top w:val="single" w:color="1F4E79" w:sz="6"/>
          <w:left w:val="single" w:color="1F4E79" w:sz="6"/>
          <w:bottom w:val="single" w:color="1F4E79" w:sz="6"/>
          <w:right w:val="single" w:color="1F4E79" w:sz="6"/>
          <w:insideH w:val="single" w:color="CCCCCC" w:sz="1"/>
          <w:insideV w:val="single" w:color="CCCCCC" w:sz="1"/>
        </w:tblBorders>
      </w:tblPr>
      <w:tblGrid>
        <w:gridCol w:w="100"/>
        <w:gridCol w:w="100"/>
        <w:gridCol w:w="100"/>
        <w:gridCol w:w="100"/>
        <w:gridCol w:w="100"/>
      </w:tblGrid>
      <w:tr>
        <w:trPr>
          <w:trHeight w:val="400" w:hRule="atLeast"/>
        </w:trPr>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Country</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Total (TWh)</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K (# sources)</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Dominant Source</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Dominant Share</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Croatia</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14.07</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6</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Hydro</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47.8%</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UK</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232.62</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6</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Gas</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37.1%</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China</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10,086.88</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8</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Coal</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57.8%</w:t>
            </w:r>
          </w:p>
        </w:tc>
      </w:tr>
    </w:tbl>
    <w:p>
      <w:pPr>
        <w:spacing w:after="240" w:line="360"/>
      </w:pPr>
      <w:r>
        <w:rPr>
          <w:sz w:val="20"/>
          <w:szCs w:val="20"/>
        </w:rPr>
        <w:t xml:space="preserve"/>
      </w:r>
    </w:p>
    <w:p>
      <w:pPr>
        <w:pStyle w:val="Heading2"/>
        <w:spacing w:after="100" w:before="200" w:line="360"/>
        <w:jc w:val="left"/>
      </w:pPr>
      <w:r>
        <w:rPr>
          <w:rFonts w:ascii="Arial" w:cs="Arial" w:eastAsia="Arial" w:hAnsi="Arial"/>
          <w:b/>
          <w:bCs/>
          <w:color w:val="1F4E79"/>
          <w:sz w:val="48"/>
          <w:szCs w:val="48"/>
        </w:rPr>
        <w:t xml:space="preserve">Structural Dependency (MDG Score)</w:t>
      </w:r>
    </w:p>
    <w:tbl>
      <w:tblPr>
        <w:tblW w:type="pct" w:w="100%"/>
        <w:tblBorders>
          <w:top w:val="single" w:color="1F4E79" w:sz="6"/>
          <w:left w:val="single" w:color="1F4E79" w:sz="6"/>
          <w:bottom w:val="single" w:color="1F4E79" w:sz="6"/>
          <w:right w:val="single" w:color="1F4E79" w:sz="6"/>
          <w:insideH w:val="single" w:color="CCCCCC" w:sz="1"/>
          <w:insideV w:val="single" w:color="CCCCCC" w:sz="1"/>
        </w:tblBorders>
      </w:tblPr>
      <w:tblGrid>
        <w:gridCol w:w="100"/>
        <w:gridCol w:w="100"/>
        <w:gridCol w:w="100"/>
        <w:gridCol w:w="100"/>
      </w:tblGrid>
      <w:tr>
        <w:trPr>
          <w:trHeight w:val="400" w:hRule="atLeast"/>
        </w:trPr>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Country</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MDG (bps)</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Status</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Primary Risk</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Croatia</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7697</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CRITICAL</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Hydro decline + intermittency</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UK</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8070</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CRITICAL</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Gas dependency despite renewables</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China</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9240</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CRITICAL</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Coal structural lock-in</w:t>
            </w:r>
          </w:p>
        </w:tc>
      </w:tr>
    </w:tbl>
    <w:p>
      <w:pPr>
        <w:spacing w:after="240" w:line="360"/>
      </w:pPr>
      <w:r>
        <w:rPr>
          <w:sz w:val="20"/>
          <w:szCs w:val="20"/>
        </w:rPr>
        <w:t xml:space="preserve"/>
      </w:r>
    </w:p>
    <w:p>
      <w:pPr>
        <w:pStyle w:val="Heading2"/>
        <w:spacing w:after="100" w:before="200" w:line="360"/>
        <w:jc w:val="left"/>
      </w:pPr>
      <w:r>
        <w:rPr>
          <w:rFonts w:ascii="Arial" w:cs="Arial" w:eastAsia="Arial" w:hAnsi="Arial"/>
          <w:b/>
          <w:bCs/>
          <w:color w:val="1F4E79"/>
          <w:sz w:val="48"/>
          <w:szCs w:val="48"/>
        </w:rPr>
        <w:t xml:space="preserve">Fastest-Growing Sources (Drift Leadership)</w:t>
      </w:r>
    </w:p>
    <w:tbl>
      <w:tblPr>
        <w:tblW w:type="pct" w:w="100%"/>
        <w:tblBorders>
          <w:top w:val="single" w:color="1F4E79" w:sz="6"/>
          <w:left w:val="single" w:color="1F4E79" w:sz="6"/>
          <w:bottom w:val="single" w:color="1F4E79" w:sz="6"/>
          <w:right w:val="single" w:color="1F4E79" w:sz="6"/>
          <w:insideH w:val="single" w:color="CCCCCC" w:sz="1"/>
          <w:insideV w:val="single" w:color="CCCCCC" w:sz="1"/>
        </w:tblBorders>
      </w:tblPr>
      <w:tblGrid>
        <w:gridCol w:w="100"/>
        <w:gridCol w:w="100"/>
        <w:gridCol w:w="100"/>
        <w:gridCol w:w="100"/>
      </w:tblGrid>
      <w:tr>
        <w:trPr>
          <w:trHeight w:val="400" w:hRule="atLeast"/>
        </w:trPr>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Country</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Source</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Drift (bps)</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Current Share</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Croatia</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Wind</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+1,756</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17.6%</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UK</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Wind</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+3,554</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35.8%</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China</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Solar</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+832</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8.3%</w:t>
            </w:r>
          </w:p>
        </w:tc>
      </w:tr>
    </w:tbl>
    <w:p>
      <w:pPr>
        <w:spacing w:after="240" w:line="360"/>
      </w:pPr>
      <w:r>
        <w:rPr>
          <w:sz w:val="20"/>
          <w:szCs w:val="20"/>
        </w:rPr>
        <w:t xml:space="preserve"/>
      </w:r>
    </w:p>
    <w:p>
      <w:pPr>
        <w:pStyle w:val="Heading2"/>
        <w:spacing w:after="100" w:before="200" w:line="360"/>
        <w:jc w:val="left"/>
      </w:pPr>
      <w:r>
        <w:rPr>
          <w:rFonts w:ascii="Arial" w:cs="Arial" w:eastAsia="Arial" w:hAnsi="Arial"/>
          <w:b/>
          <w:bCs/>
          <w:color w:val="1F4E79"/>
          <w:sz w:val="48"/>
          <w:szCs w:val="48"/>
        </w:rPr>
        <w:t xml:space="preserve">Orphaned Energy Sources</w:t>
      </w:r>
    </w:p>
    <w:tbl>
      <w:tblPr>
        <w:tblW w:type="pct" w:w="100%"/>
        <w:tblBorders>
          <w:top w:val="single" w:color="1F4E79" w:sz="6"/>
          <w:left w:val="single" w:color="1F4E79" w:sz="6"/>
          <w:bottom w:val="single" w:color="1F4E79" w:sz="6"/>
          <w:right w:val="single" w:color="1F4E79" w:sz="6"/>
          <w:insideH w:val="single" w:color="CCCCCC" w:sz="1"/>
          <w:insideV w:val="single" w:color="CCCCCC" w:sz="1"/>
        </w:tblBorders>
      </w:tblPr>
      <w:tblGrid>
        <w:gridCol w:w="100"/>
        <w:gridCol w:w="100"/>
        <w:gridCol w:w="100"/>
        <w:gridCol w:w="100"/>
      </w:tblGrid>
      <w:tr>
        <w:trPr>
          <w:trHeight w:val="400" w:hRule="atLeast"/>
        </w:trPr>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Country</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Orphan Source</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Share</w:t>
            </w:r>
          </w:p>
        </w:tc>
        <w:tc>
          <w:tcPr>
            <w:shd w:color="1F4E79" w:val="clear"/>
            <w:tcMar>
              <w:top w:type="dxa" w:w="100"/>
              <w:left w:type="dxa" w:w="100"/>
              <w:bottom w:type="dxa" w:w="100"/>
              <w:right w:type="dxa" w:w="100"/>
            </w:tcMar>
            <w:vAlign w:val="center"/>
          </w:tcPr>
          <w:p>
            <w:r>
              <w:rPr>
                <w:rFonts w:ascii="Arial" w:cs="Arial" w:eastAsia="Arial" w:hAnsi="Arial"/>
                <w:b/>
                <w:bCs/>
                <w:color w:val="FFFFFF"/>
                <w:sz w:val="20"/>
                <w:szCs w:val="20"/>
              </w:rPr>
              <w:t xml:space="preserve">Status</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Croatia</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Nuclear</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0.0%</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Structural zero</w:t>
            </w:r>
          </w:p>
        </w:tc>
      </w:tr>
      <w:tr>
        <w:trPr>
          <w:trHeight w:val="300" w:hRule="atLeast"/>
        </w:trPr>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UK</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Coal</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0.8%</w:t>
            </w:r>
          </w:p>
        </w:tc>
        <w:tc>
          <w:tcPr>
            <w:shd w:color="F0F4F8" w:val="clear"/>
            <w:tcMar>
              <w:top w:type="dxa" w:w="80"/>
              <w:left w:type="dxa" w:w="100"/>
              <w:bottom w:type="dxa" w:w="80"/>
              <w:right w:type="dxa" w:w="100"/>
            </w:tcMar>
            <w:vAlign w:val="center"/>
          </w:tcPr>
          <w:p>
            <w:r>
              <w:rPr>
                <w:rFonts w:ascii="Arial" w:cs="Arial" w:eastAsia="Arial" w:hAnsi="Arial"/>
                <w:color w:val="000000"/>
                <w:sz w:val="20"/>
                <w:szCs w:val="20"/>
              </w:rPr>
              <w:t xml:space="preserve">Phase-out orphan</w:t>
            </w:r>
          </w:p>
        </w:tc>
      </w:tr>
      <w:tr>
        <w:trPr>
          <w:trHeight w:val="300" w:hRule="atLeast"/>
        </w:trPr>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China</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Oil</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0.9%</w:t>
            </w:r>
          </w:p>
        </w:tc>
        <w:tc>
          <w:tcPr>
            <w:shd w:color="FFFFFF" w:val="clear"/>
            <w:tcMar>
              <w:top w:type="dxa" w:w="80"/>
              <w:left w:type="dxa" w:w="100"/>
              <w:bottom w:type="dxa" w:w="80"/>
              <w:right w:type="dxa" w:w="100"/>
            </w:tcMar>
            <w:vAlign w:val="center"/>
          </w:tcPr>
          <w:p>
            <w:r>
              <w:rPr>
                <w:rFonts w:ascii="Arial" w:cs="Arial" w:eastAsia="Arial" w:hAnsi="Arial"/>
                <w:color w:val="000000"/>
                <w:sz w:val="20"/>
                <w:szCs w:val="20"/>
              </w:rPr>
              <w:t xml:space="preserve">Power gen. irrelevant</w:t>
            </w:r>
          </w:p>
        </w:tc>
      </w:tr>
    </w:tbl>
    <w:p>
      <w:pPr>
        <w:spacing w:after="240" w:line="360"/>
      </w:pPr>
      <w:r>
        <w:rPr>
          <w:sz w:val="20"/>
          <w:szCs w:val="20"/>
        </w:rPr>
        <w:t xml:space="preserve"/>
      </w:r>
    </w:p>
    <w:p>
      <w:pPr>
        <w:spacing w:after="120" w:before="0" w:line="360"/>
        <w:jc w:val="left"/>
      </w:pPr>
      <w:r>
        <w:rPr>
          <w:rFonts w:ascii="Arial" w:cs="Arial" w:eastAsia="Arial" w:hAnsi="Arial"/>
          <w:b w:val="false"/>
          <w:bCs w:val="false"/>
          <w:i w:val="false"/>
          <w:iCs w:val="false"/>
          <w:color w:val="000000"/>
          <w:sz w:val="22"/>
          <w:szCs w:val="22"/>
        </w:rPr>
        <w:t xml:space="preserve">Key Insights:</w:t>
      </w:r>
    </w:p>
    <w:p>
      <w:pPr>
        <w:spacing w:after="120" w:before="0" w:line="360"/>
        <w:jc w:val="left"/>
      </w:pPr>
      <w:r>
        <w:rPr>
          <w:rFonts w:ascii="Arial" w:cs="Arial" w:eastAsia="Arial" w:hAnsi="Arial"/>
          <w:b w:val="false"/>
          <w:bCs w:val="false"/>
          <w:i w:val="false"/>
          <w:iCs w:val="false"/>
          <w:color w:val="000000"/>
          <w:sz w:val="22"/>
          <w:szCs w:val="22"/>
        </w:rPr>
        <w:t xml:space="preserve">• All three countries show CRITICAL MDG scores, indicating fundamental structural dependencies that constrain rapid decarbonization.</w:t>
      </w:r>
    </w:p>
    <w:p>
      <w:pPr>
        <w:spacing w:after="120" w:before="0" w:line="360"/>
        <w:jc w:val="left"/>
      </w:pPr>
      <w:r>
        <w:rPr>
          <w:rFonts w:ascii="Arial" w:cs="Arial" w:eastAsia="Arial" w:hAnsi="Arial"/>
          <w:b w:val="false"/>
          <w:bCs w:val="false"/>
          <w:i w:val="false"/>
          <w:iCs w:val="false"/>
          <w:color w:val="000000"/>
          <w:sz w:val="22"/>
          <w:szCs w:val="22"/>
        </w:rPr>
        <w:t xml:space="preserve">• Orphaned sources vary by context: nuclear policy (Croatia), legacy coal (UK), and sectoral mismatch (China oil).</w:t>
      </w:r>
    </w:p>
    <w:p>
      <w:pPr>
        <w:spacing w:after="120" w:before="0" w:line="360"/>
        <w:jc w:val="left"/>
      </w:pPr>
      <w:r>
        <w:rPr>
          <w:rFonts w:ascii="Arial" w:cs="Arial" w:eastAsia="Arial" w:hAnsi="Arial"/>
          <w:b w:val="false"/>
          <w:bCs w:val="false"/>
          <w:i w:val="false"/>
          <w:iCs w:val="false"/>
          <w:color w:val="000000"/>
          <w:sz w:val="22"/>
          <w:szCs w:val="22"/>
        </w:rPr>
        <w:t xml:space="preserve">• Renewable drift leadership differs: UK leads in wind (fastest absolute adoption), China leads in absolute renewable capacity (but lagging relative to coal).</w:t>
      </w:r>
    </w:p>
    <w:p>
      <w:pPr>
        <w:spacing w:after="240" w:before="0" w:line="360"/>
        <w:jc w:val="left"/>
      </w:pPr>
      <w:r>
        <w:rPr>
          <w:rFonts w:ascii="Arial" w:cs="Arial" w:eastAsia="Arial" w:hAnsi="Arial"/>
          <w:b w:val="false"/>
          <w:bCs w:val="false"/>
          <w:i w:val="false"/>
          <w:iCs w:val="false"/>
          <w:color w:val="000000"/>
          <w:sz w:val="22"/>
          <w:szCs w:val="22"/>
        </w:rPr>
        <w:t xml:space="preserve">• China's MDG score exceeds both other countries, suggesting the deepest structural vulnerability to energy shocks despite renewable growth.</w:t>
      </w:r>
    </w:p>
    <w:r>
      <w:br w:type="page"/>
    </w:r>
    <w:p>
      <w:pPr>
        <w:pStyle w:val="Heading1"/>
        <w:spacing w:after="100" w:before="200" w:line="360"/>
        <w:jc w:val="left"/>
      </w:pPr>
      <w:r>
        <w:rPr>
          <w:rFonts w:ascii="Arial" w:cs="Arial" w:eastAsia="Arial" w:hAnsi="Arial"/>
          <w:b/>
          <w:bCs/>
          <w:color w:val="1F4E79"/>
          <w:sz w:val="64"/>
          <w:szCs w:val="64"/>
        </w:rPr>
        <w:t xml:space="preserve">Conclusions: Energy Systems within HUF Domain 2</w:t>
      </w:r>
    </w:p>
    <w:p>
      <w:pPr>
        <w:spacing w:after="120" w:before="0" w:line="360"/>
        <w:jc w:val="left"/>
      </w:pPr>
      <w:r>
        <w:rPr>
          <w:rFonts w:ascii="Arial" w:cs="Arial" w:eastAsia="Arial" w:hAnsi="Arial"/>
          <w:b w:val="false"/>
          <w:bCs w:val="false"/>
          <w:i w:val="false"/>
          <w:iCs w:val="false"/>
          <w:color w:val="000000"/>
          <w:sz w:val="22"/>
          <w:szCs w:val="22"/>
        </w:rPr>
        <w:t xml:space="preserve">This case study has mapped three energy systems (Croatia, UK, China) within the HUF framework's Domain 2 (Infrastructure/Energy), using the Triad's analytical apparatus to identify structural dependencies, drift patterns, and orphaned vectors.</w:t>
      </w:r>
    </w:p>
    <w:p>
      <w:pPr>
        <w:spacing w:after="120" w:before="0" w:line="360"/>
        <w:jc w:val="left"/>
      </w:pPr>
      <w:r>
        <w:rPr>
          <w:rFonts w:ascii="Arial" w:cs="Arial" w:eastAsia="Arial" w:hAnsi="Arial"/>
          <w:b w:val="false"/>
          <w:bCs w:val="false"/>
          <w:i w:val="false"/>
          <w:iCs w:val="false"/>
          <w:color w:val="000000"/>
          <w:sz w:val="22"/>
          <w:szCs w:val="22"/>
        </w:rPr>
        <w:t xml:space="preserve">Key Findings:</w:t>
      </w:r>
    </w:p>
    <w:p>
      <w:pPr>
        <w:spacing w:after="120" w:before="0" w:line="360"/>
        <w:jc w:val="left"/>
      </w:pPr>
      <w:r>
        <w:rPr>
          <w:rFonts w:ascii="Arial" w:cs="Arial" w:eastAsia="Arial" w:hAnsi="Arial"/>
          <w:b w:val="false"/>
          <w:bCs w:val="false"/>
          <w:i w:val="false"/>
          <w:iCs w:val="false"/>
          <w:color w:val="000000"/>
          <w:sz w:val="22"/>
          <w:szCs w:val="22"/>
        </w:rPr>
        <w:t xml:space="preserve">1. All systems exhibit CRITICAL MDG scores, revealing that energy decarbonization cannot be addressed through renewable capacity deployment alone. Structural dependencies on dominant sources (hydro, gas, coal) constrain grid stability and must be actively managed during transition.</w:t>
      </w:r>
    </w:p>
    <w:p>
      <w:pPr>
        <w:spacing w:after="120" w:before="0" w:line="360"/>
        <w:jc w:val="left"/>
      </w:pPr>
      <w:r>
        <w:rPr>
          <w:rFonts w:ascii="Arial" w:cs="Arial" w:eastAsia="Arial" w:hAnsi="Arial"/>
          <w:b w:val="false"/>
          <w:bCs w:val="false"/>
          <w:i w:val="false"/>
          <w:iCs w:val="false"/>
          <w:color w:val="000000"/>
          <w:sz w:val="22"/>
          <w:szCs w:val="22"/>
        </w:rPr>
        <w:t xml:space="preserve">2. Orphaned sources reveal policy choices and historical contingencies: Croatia's nuclear zero reflects EU non-proliferation norms and economic factors; UK's coal orphan reflects successful policy phase-out; China's oil orphan reflects sectoral specialization (transportation and petrochemicals).</w:t>
      </w:r>
    </w:p>
    <w:p>
      <w:pPr>
        <w:spacing w:after="120" w:before="0" w:line="360"/>
        <w:jc w:val="left"/>
      </w:pPr>
      <w:r>
        <w:rPr>
          <w:rFonts w:ascii="Arial" w:cs="Arial" w:eastAsia="Arial" w:hAnsi="Arial"/>
          <w:b w:val="false"/>
          <w:bCs w:val="false"/>
          <w:i w:val="false"/>
          <w:iCs w:val="false"/>
          <w:color w:val="000000"/>
          <w:sz w:val="22"/>
          <w:szCs w:val="22"/>
        </w:rPr>
        <w:t xml:space="preserve">3. Drift patterns show divergent transition pathways: the UK has achieved rapid wind substitution (-3,258 bps coal, +3,554 bps wind), while China faces coal structural entrenchment despite renewable growth (+984 bps wind, +832 bps solar, but -2,044 bps coal only). Croatia's transition is constrained by hydro decline and limited portfolio scale.</w:t>
      </w:r>
    </w:p>
    <w:p>
      <w:pPr>
        <w:spacing w:after="120" w:before="0" w:line="360"/>
        <w:jc w:val="left"/>
      </w:pPr>
      <w:r>
        <w:rPr>
          <w:rFonts w:ascii="Arial" w:cs="Arial" w:eastAsia="Arial" w:hAnsi="Arial"/>
          <w:b w:val="false"/>
          <w:bCs w:val="false"/>
          <w:i w:val="false"/>
          <w:iCs w:val="false"/>
          <w:color w:val="000000"/>
          <w:sz w:val="22"/>
          <w:szCs w:val="22"/>
        </w:rPr>
        <w:t xml:space="preserve">4. The highest MDG score (China, 9240 bps) corresponds to the largest portfolio absolute size (10,087 TWh) and deepest fossil fuel dependence. This suggests that scale without structural diversification amplifies systemic vulnerability.</w:t>
      </w:r>
    </w:p>
    <w:p>
      <w:pPr>
        <w:spacing w:after="120" w:before="0" w:line="360"/>
        <w:jc w:val="left"/>
      </w:pPr>
      <w:r>
        <w:rPr>
          <w:rFonts w:ascii="Arial" w:cs="Arial" w:eastAsia="Arial" w:hAnsi="Arial"/>
          <w:b w:val="false"/>
          <w:bCs w:val="false"/>
          <w:i w:val="false"/>
          <w:iCs w:val="false"/>
          <w:color w:val="000000"/>
          <w:sz w:val="22"/>
          <w:szCs w:val="22"/>
        </w:rPr>
        <w:t xml:space="preserve">5. Nuclear emergence (or non-emergence) varies by context: UK maintains legacy nuclear (17.4%), China is expanding (+323 bps to 4.5%), and Croatia has none. New nuclear is not driving any transition; renewables (wind, solar) lead all growth metrics.</w:t>
      </w:r>
    </w:p>
    <w:p>
      <w:pPr>
        <w:spacing w:after="120" w:before="0" w:line="360"/>
        <w:jc w:val="left"/>
      </w:pPr>
      <w:r>
        <w:rPr>
          <w:rFonts w:ascii="Arial" w:cs="Arial" w:eastAsia="Arial" w:hAnsi="Arial"/>
          <w:b w:val="false"/>
          <w:bCs w:val="false"/>
          <w:i w:val="false"/>
          <w:iCs w:val="false"/>
          <w:color w:val="000000"/>
          <w:sz w:val="22"/>
          <w:szCs w:val="22"/>
        </w:rPr>
        <w:t xml:space="preserve">HUF Validation: This case study validates the Triad framework by demonstrating that real-world infrastructure systems exhibit: (a) portfolio heterogeneity (K varies by country and energy maturity), (b) temporal drift measurable in basis points, (c) structural dependency detectable through MDG scores, and (d) orphaned vectors that reveal policy and economic constraints. The framework provides a quantitative foundation for comparing diverse systems and forecasting transition risks.</w:t>
      </w:r>
    </w:p>
    <w:p>
      <w:pPr>
        <w:spacing w:after="240" w:before="0" w:line="360"/>
        <w:jc w:val="left"/>
      </w:pPr>
      <w:r>
        <w:rPr>
          <w:rFonts w:ascii="Arial" w:cs="Arial" w:eastAsia="Arial" w:hAnsi="Arial"/>
          <w:b w:val="false"/>
          <w:bCs w:val="false"/>
          <w:i w:val="false"/>
          <w:iCs w:val="false"/>
          <w:color w:val="000000"/>
          <w:sz w:val="22"/>
          <w:szCs w:val="22"/>
        </w:rPr>
        <w:t xml:space="preserve">Next Steps: Further analysis should integrate Domain 1 (Technology/Digital) dynamics—e.g., how renewable energy deployment correlates with smart grid adoption, energy storage capacity, and real-time balancing technologies. Cross-domain linkage to Domain 3 will ground energy transitions within broader macroeconomic constraints.</w:t>
      </w:r>
    </w:p>
    <w:r>
      <w:br w:type="page"/>
    </w:r>
    <w:p>
      <w:pPr>
        <w:pStyle w:val="Heading2"/>
        <w:spacing w:after="100" w:before="200" w:line="360"/>
        <w:jc w:val="left"/>
      </w:pPr>
      <w:r>
        <w:rPr>
          <w:rFonts w:ascii="Arial" w:cs="Arial" w:eastAsia="Arial" w:hAnsi="Arial"/>
          <w:b/>
          <w:bCs/>
          <w:color w:val="1F4E79"/>
          <w:sz w:val="48"/>
          <w:szCs w:val="48"/>
        </w:rPr>
        <w:t xml:space="preserve">Document Metadata</w:t>
      </w:r>
    </w:p>
    <w:p>
      <w:pPr>
        <w:spacing w:after="120" w:before="0" w:line="360"/>
        <w:jc w:val="left"/>
      </w:pPr>
      <w:r>
        <w:rPr>
          <w:rFonts w:ascii="Arial" w:cs="Arial" w:eastAsia="Arial" w:hAnsi="Arial"/>
          <w:b w:val="false"/>
          <w:bCs w:val="false"/>
          <w:i w:val="false"/>
          <w:iCs w:val="false"/>
          <w:color w:val="000000"/>
          <w:sz w:val="22"/>
          <w:szCs w:val="22"/>
        </w:rPr>
        <w:t xml:space="preserve">HUF-DOC Identifier: HUF.REL.CASE.ENERGY_V1</w:t>
      </w:r>
    </w:p>
    <w:p>
      <w:pPr>
        <w:spacing w:after="120" w:before="0" w:line="360"/>
        <w:jc w:val="left"/>
      </w:pPr>
      <w:r>
        <w:rPr>
          <w:rFonts w:ascii="Arial" w:cs="Arial" w:eastAsia="Arial" w:hAnsi="Arial"/>
          <w:b w:val="false"/>
          <w:bCs w:val="false"/>
          <w:i w:val="false"/>
          <w:iCs w:val="false"/>
          <w:color w:val="000000"/>
          <w:sz w:val="22"/>
          <w:szCs w:val="22"/>
        </w:rPr>
        <w:t xml:space="preserve">Title: HUF Energy Case Study v1.0</w:t>
      </w:r>
    </w:p>
    <w:p>
      <w:pPr>
        <w:spacing w:after="120" w:before="0" w:line="360"/>
        <w:jc w:val="left"/>
      </w:pPr>
      <w:r>
        <w:rPr>
          <w:rFonts w:ascii="Arial" w:cs="Arial" w:eastAsia="Arial" w:hAnsi="Arial"/>
          <w:b w:val="false"/>
          <w:bCs w:val="false"/>
          <w:i w:val="false"/>
          <w:iCs w:val="false"/>
          <w:color w:val="000000"/>
          <w:sz w:val="22"/>
          <w:szCs w:val="22"/>
        </w:rPr>
        <w:t xml:space="preserve">Author: Peter Higgins, AI Collective</w:t>
      </w:r>
    </w:p>
    <w:p>
      <w:pPr>
        <w:spacing w:after="120" w:before="0" w:line="360"/>
        <w:jc w:val="left"/>
      </w:pPr>
      <w:r>
        <w:rPr>
          <w:rFonts w:ascii="Arial" w:cs="Arial" w:eastAsia="Arial" w:hAnsi="Arial"/>
          <w:b w:val="false"/>
          <w:bCs w:val="false"/>
          <w:i w:val="false"/>
          <w:iCs w:val="false"/>
          <w:color w:val="000000"/>
          <w:sz w:val="22"/>
          <w:szCs w:val="22"/>
        </w:rPr>
        <w:t xml:space="preserve">Date: 8 March 2026</w:t>
      </w:r>
    </w:p>
    <w:p>
      <w:pPr>
        <w:spacing w:after="120" w:before="0" w:line="360"/>
        <w:jc w:val="left"/>
      </w:pPr>
      <w:r>
        <w:rPr>
          <w:rFonts w:ascii="Arial" w:cs="Arial" w:eastAsia="Arial" w:hAnsi="Arial"/>
          <w:b w:val="false"/>
          <w:bCs w:val="false"/>
          <w:i w:val="false"/>
          <w:iCs w:val="false"/>
          <w:color w:val="000000"/>
          <w:sz w:val="22"/>
          <w:szCs w:val="22"/>
        </w:rPr>
        <w:t xml:space="preserve">Data Source: Our World in Data (OWID), Ember Energy Data Repository</w:t>
      </w:r>
    </w:p>
    <w:p>
      <w:pPr>
        <w:spacing w:after="120" w:before="0" w:line="360"/>
        <w:jc w:val="left"/>
      </w:pPr>
      <w:r>
        <w:rPr>
          <w:rFonts w:ascii="Arial" w:cs="Arial" w:eastAsia="Arial" w:hAnsi="Arial"/>
          <w:b w:val="false"/>
          <w:bCs w:val="false"/>
          <w:i w:val="false"/>
          <w:iCs w:val="false"/>
          <w:color w:val="000000"/>
          <w:sz w:val="22"/>
          <w:szCs w:val="22"/>
        </w:rPr>
        <w:t xml:space="preserve">License: CC-BY-4.0 (data); document authorship HUF proprietary</w:t>
      </w:r>
    </w:p>
    <w:p>
      <w:pPr>
        <w:spacing w:after="120" w:before="0" w:line="360"/>
        <w:jc w:val="left"/>
      </w:pPr>
      <w:r>
        <w:rPr>
          <w:rFonts w:ascii="Arial" w:cs="Arial" w:eastAsia="Arial" w:hAnsi="Arial"/>
          <w:b w:val="false"/>
          <w:bCs w:val="false"/>
          <w:i w:val="false"/>
          <w:iCs w:val="false"/>
          <w:color w:val="000000"/>
          <w:sz w:val="22"/>
          <w:szCs w:val="22"/>
        </w:rPr>
        <w:t xml:space="preserve">Format: DOCX (Microsoft Office Open XML)</w:t>
      </w:r>
    </w:p>
    <w:p>
      <w:pPr>
        <w:spacing w:after="120" w:before="0" w:line="360"/>
        <w:jc w:val="left"/>
      </w:pPr>
      <w:r>
        <w:rPr>
          <w:rFonts w:ascii="Arial" w:cs="Arial" w:eastAsia="Arial" w:hAnsi="Arial"/>
          <w:b w:val="false"/>
          <w:bCs w:val="false"/>
          <w:i w:val="false"/>
          <w:iCs w:val="false"/>
          <w:color w:val="000000"/>
          <w:sz w:val="22"/>
          <w:szCs w:val="22"/>
        </w:rPr>
        <w:t xml:space="preserve">Page Setup: US Letter (12240 × 15840 DXA), 1-inch margins</w:t>
      </w:r>
    </w:p>
    <w:p>
      <w:pPr>
        <w:spacing w:after="120" w:before="0" w:line="360"/>
        <w:jc w:val="left"/>
      </w:pPr>
      <w:r>
        <w:rPr>
          <w:rFonts w:ascii="Arial" w:cs="Arial" w:eastAsia="Arial" w:hAnsi="Arial"/>
          <w:b w:val="false"/>
          <w:bCs w:val="false"/>
          <w:i w:val="false"/>
          <w:iCs w:val="false"/>
          <w:color w:val="000000"/>
          <w:sz w:val="22"/>
          <w:szCs w:val="22"/>
        </w:rPr>
        <w:t xml:space="preserve">Font: Arial 11pt (default body), Arial bold 14pt (headings)</w:t>
      </w:r>
    </w:p>
    <w:p>
      <w:pPr>
        <w:spacing w:after="120" w:before="0" w:line="360"/>
        <w:jc w:val="left"/>
      </w:pPr>
      <w:r>
        <w:rPr>
          <w:rFonts w:ascii="Arial" w:cs="Arial" w:eastAsia="Arial" w:hAnsi="Arial"/>
          <w:b w:val="false"/>
          <w:bCs w:val="false"/>
          <w:i w:val="false"/>
          <w:iCs w:val="false"/>
          <w:color w:val="000000"/>
          <w:sz w:val="22"/>
          <w:szCs w:val="22"/>
        </w:rPr>
        <w:t xml:space="preserve">Header Color: RGB(31, 78, 121) / #1F4E79</w:t>
      </w:r>
    </w:p>
    <w:p>
      <w:pPr>
        <w:spacing w:after="120" w:before="0" w:line="360"/>
        <w:jc w:val="left"/>
      </w:pPr>
      <w:r>
        <w:rPr>
          <w:rFonts w:ascii="Arial" w:cs="Arial" w:eastAsia="Arial" w:hAnsi="Arial"/>
          <w:b w:val="false"/>
          <w:bCs w:val="false"/>
          <w:i w:val="false"/>
          <w:iCs w:val="false"/>
          <w:color w:val="000000"/>
          <w:sz w:val="22"/>
          <w:szCs w:val="22"/>
        </w:rPr>
        <w:t xml:space="preserve">Related Documents: HUF Backblaze Case Study v3.0 (Domain 1), HUF Collective Trace (metaframework)</w:t>
      </w:r>
    </w:p>
    <w:p>
      <w:r>
        <w:rPr>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2026-03-08T20:55:36.190Z</dcterms:created>
  <dcterms:modified xsi:type="dcterms:W3CDTF">2026-03-08T20:55:36.190Z</dcterms:modified>
</cp:coreProperties>
</file>

<file path=docProps/custom.xml><?xml version="1.0" encoding="utf-8"?>
<Properties xmlns="http://schemas.openxmlformats.org/officeDocument/2006/custom-properties" xmlns:vt="http://schemas.openxmlformats.org/officeDocument/2006/docPropsVTypes"/>
</file>