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80" w:line="276"/>
        <w:jc w:val="center"/>
      </w:pPr>
      <w:r>
        <w:rPr>
          <w:rFonts w:ascii="Times New Roman" w:cs="Times New Roman" w:eastAsia="Times New Roman" w:hAnsi="Times New Roman"/>
          <w:b/>
          <w:bCs/>
          <w:color w:val="1F3864"/>
          <w:sz w:val="36"/>
          <w:szCs w:val="36"/>
        </w:rPr>
        <w:t xml:space="preserve">HIGGINS UNITY FRAMEWORK</w:t>
      </w:r>
    </w:p>
    <w:p>
      <w:pPr>
        <w:spacing w:after="60"/>
      </w:pPr>
    </w:p>
    <w:p>
      <w:pPr>
        <w:spacing w:after="180" w:line="276"/>
        <w:jc w:val="center"/>
      </w:pPr>
      <w:r>
        <w:rPr>
          <w:rFonts w:ascii="Times New Roman" w:cs="Times New Roman" w:eastAsia="Times New Roman" w:hAnsi="Times New Roman"/>
          <w:b/>
          <w:bCs/>
          <w:color w:val="2E75B6"/>
          <w:sz w:val="28"/>
          <w:szCs w:val="28"/>
        </w:rPr>
        <w:t xml:space="preserve">Collective Trace Report v5.2</w:t>
      </w:r>
    </w:p>
    <w:p>
      <w:pPr>
        <w:spacing w:after="600"/>
      </w:pPr>
    </w:p>
    <w:p>
      <w:pPr>
        <w:spacing w:after="180" w:line="276"/>
        <w:jc w:val="center"/>
      </w:pPr>
      <w:r>
        <w:rPr>
          <w:rFonts w:ascii="Times New Roman" w:cs="Times New Roman" w:eastAsia="Times New Roman" w:hAnsi="Times New Roman"/>
          <w:i/>
          <w:iCs/>
          <w:color w:val="333333"/>
          <w:sz w:val="24"/>
          <w:szCs w:val="24"/>
        </w:rPr>
        <w:t xml:space="preserve">Peter Higgins</w:t>
      </w:r>
    </w:p>
    <w:p>
      <w:pPr>
        <w:spacing w:after="180" w:line="276"/>
        <w:jc w:val="center"/>
      </w:pPr>
      <w:r>
        <w:rPr>
          <w:rFonts w:ascii="Times New Roman" w:cs="Times New Roman" w:eastAsia="Times New Roman" w:hAnsi="Times New Roman"/>
          <w:color w:val="333333"/>
          <w:sz w:val="22"/>
          <w:szCs w:val="22"/>
        </w:rPr>
        <w:t xml:space="preserve">March 2026</w:t>
      </w:r>
    </w:p>
    <w:p>
      <w:pPr>
        <w:spacing w:after="0" w:before="800"/>
      </w:pPr>
    </w:p>
    <w:p>
      <w:pPr>
        <w:spacing w:after="180" w:line="276"/>
        <w:jc w:val="center"/>
      </w:pPr>
      <w:r>
        <w:rPr>
          <w:rFonts w:ascii="Times New Roman" w:cs="Times New Roman" w:eastAsia="Times New Roman" w:hAnsi="Times New Roman"/>
          <w:i/>
          <w:iCs/>
          <w:color w:val="1F3864"/>
          <w:sz w:val="24"/>
          <w:szCs w:val="24"/>
        </w:rPr>
        <w:t xml:space="preserve">"Big Things Ahead — From Loudspeakers to Cosmology"</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1: The Car Analogy — HUF in One Image</w:t>
      </w:r>
    </w:p>
    <w:p>
      <w:pPr>
        <w:spacing w:after="180" w:line="276"/>
      </w:pPr>
      <w:r>
        <w:rPr>
          <w:rFonts w:ascii="Times New Roman" w:cs="Times New Roman" w:eastAsia="Times New Roman" w:hAnsi="Times New Roman"/>
          <w:color w:val="333333"/>
          <w:sz w:val="22"/>
          <w:szCs w:val="22"/>
        </w:rPr>
        <w:t xml:space="preserve">The Car/Fuel Analogy is the universal teaching tool for the Higgins Unity Framework. Every person understands driving. Every person understands fuel. This analogy transforms abstract mathematics into lived experience.</w:t>
      </w:r>
    </w:p>
    <w:p>
      <w:pPr>
        <w:pStyle w:val="Heading2"/>
        <w:spacing w:after="160" w:before="280"/>
      </w:pPr>
      <w:r>
        <w:rPr>
          <w:rFonts w:ascii="Times New Roman" w:cs="Times New Roman" w:eastAsia="Times New Roman" w:hAnsi="Times New Roman"/>
          <w:b/>
          <w:bCs/>
          <w:color w:val="1F3864"/>
          <w:sz w:val="24"/>
          <w:szCs w:val="24"/>
        </w:rPr>
        <w:t xml:space="preserve">The Setup</w:t>
      </w:r>
    </w:p>
    <w:p>
      <w:pPr>
        <w:spacing w:after="180" w:line="276"/>
      </w:pPr>
      <w:r>
        <w:rPr>
          <w:rFonts w:ascii="Times New Roman" w:cs="Times New Roman" w:eastAsia="Times New Roman" w:hAnsi="Times New Roman"/>
          <w:color w:val="333333"/>
          <w:sz w:val="22"/>
          <w:szCs w:val="22"/>
        </w:rPr>
        <w:t xml:space="preserve">You get in your car. The tank is full. The budget is always 1.0 — fully accounted for, never created or destroyed. This is the Unity Constraint: Σ = 1.0.</w:t>
      </w:r>
    </w:p>
    <w:p>
      <w:pPr>
        <w:spacing w:after="180" w:line="276"/>
      </w:pPr>
      <w:r>
        <w:rPr>
          <w:rFonts w:ascii="Times New Roman" w:cs="Times New Roman" w:eastAsia="Times New Roman" w:hAnsi="Times New Roman"/>
          <w:color w:val="333333"/>
          <w:sz w:val="22"/>
          <w:szCs w:val="22"/>
        </w:rPr>
        <w:t xml:space="preserve">The driver holds the wheel. The fuel burns in the engine. At the start, the split is roughly 51/49 — driver holds control, fuel is nearly co-equal. This is the Ratio Portfolio: two components that sum to unity, with each playing its role.</w:t>
      </w:r>
    </w:p>
    <w:p>
      <w:pPr>
        <w:pStyle w:val="Heading2"/>
        <w:spacing w:after="160" w:before="280"/>
      </w:pPr>
      <w:r>
        <w:rPr>
          <w:rFonts w:ascii="Times New Roman" w:cs="Times New Roman" w:eastAsia="Times New Roman" w:hAnsi="Times New Roman"/>
          <w:b/>
          <w:bCs/>
          <w:color w:val="1F3864"/>
          <w:sz w:val="24"/>
          <w:szCs w:val="24"/>
        </w:rPr>
        <w:t xml:space="preserve">The Signal: Watching the Ratio Drift</w:t>
      </w:r>
    </w:p>
    <w:p>
      <w:pPr>
        <w:spacing w:after="180" w:line="276"/>
      </w:pPr>
      <w:r>
        <w:rPr>
          <w:rFonts w:ascii="Times New Roman" w:cs="Times New Roman" w:eastAsia="Times New Roman" w:hAnsi="Times New Roman"/>
          <w:color w:val="333333"/>
          <w:sz w:val="22"/>
          <w:szCs w:val="22"/>
        </w:rPr>
        <w:t xml:space="preserve">As you drive, you check the fuel gauge. 51/49 → 55/45 → 70/30. The ratio shifts. The dashboard light begins to flicker. This is MC-4 at work — the monitoring component that watches this drift and signals when the balance breaks.</w:t>
      </w:r>
    </w:p>
    <w:p>
      <w:pPr>
        <w:spacing w:after="180" w:line="276"/>
      </w:pPr>
      <w:r>
        <w:rPr>
          <w:rFonts w:ascii="Times New Roman" w:cs="Times New Roman" w:eastAsia="Times New Roman" w:hAnsi="Times New Roman"/>
          <w:color w:val="333333"/>
          <w:sz w:val="22"/>
          <w:szCs w:val="22"/>
        </w:rPr>
        <w:t xml:space="preserve">The RATIO is the signal. The absolute numbers (2 gallons in a 4-gallon tank versus 2 gallons in a 40-gallon tank) look the same. But the systems are fundamentally different. The ratio tells the truth the absolute number hides.</w:t>
      </w:r>
    </w:p>
    <w:p>
      <w:pPr>
        <w:pStyle w:val="Heading2"/>
        <w:spacing w:after="160" w:before="280"/>
      </w:pPr>
      <w:r>
        <w:rPr>
          <w:rFonts w:ascii="Times New Roman" w:cs="Times New Roman" w:eastAsia="Times New Roman" w:hAnsi="Times New Roman"/>
          <w:b/>
          <w:bCs/>
          <w:color w:val="1F3864"/>
          <w:sz w:val="24"/>
          <w:szCs w:val="24"/>
        </w:rPr>
        <w:t xml:space="preserve">Control Persists, Magnitude Decays</w:t>
      </w:r>
    </w:p>
    <w:p>
      <w:pPr>
        <w:spacing w:after="180" w:line="276"/>
      </w:pPr>
      <w:r>
        <w:rPr>
          <w:rFonts w:ascii="Times New Roman" w:cs="Times New Roman" w:eastAsia="Times New Roman" w:hAnsi="Times New Roman"/>
          <w:color w:val="333333"/>
          <w:sz w:val="22"/>
          <w:szCs w:val="22"/>
        </w:rPr>
        <w:t xml:space="preserve">The driver is always in control. Direction persists. But as fuel depletes, the system weakens. The budget shrinks. This is H1's coherence preservation: direction remains, but magnitude decays as the system approaches ground state.</w:t>
      </w:r>
    </w:p>
    <w:p>
      <w:pPr>
        <w:pStyle w:val="Heading2"/>
        <w:spacing w:after="160" w:before="280"/>
      </w:pPr>
      <w:r>
        <w:rPr>
          <w:rFonts w:ascii="Times New Roman" w:cs="Times New Roman" w:eastAsia="Times New Roman" w:hAnsi="Times New Roman"/>
          <w:b/>
          <w:bCs/>
          <w:color w:val="1F3864"/>
          <w:sz w:val="24"/>
          <w:szCs w:val="24"/>
        </w:rPr>
        <w:t xml:space="preserve">Empty Tank: System Collapse</w:t>
      </w:r>
    </w:p>
    <w:p>
      <w:pPr>
        <w:spacing w:after="180" w:line="276"/>
      </w:pPr>
      <w:r>
        <w:rPr>
          <w:rFonts w:ascii="Times New Roman" w:cs="Times New Roman" w:eastAsia="Times New Roman" w:hAnsi="Times New Roman"/>
          <w:color w:val="333333"/>
          <w:sz w:val="22"/>
          <w:szCs w:val="22"/>
        </w:rPr>
        <w:t xml:space="preserve">Fuel hits 0. The tank is empty. The driver still exists, but the driver/fuel system no longer has a budget. Unity is exhausted, not violated. The Sufficiency Frontier has been breached. This is ground state — the point where the ratio portfolio can no longer sustain the system.</w:t>
      </w:r>
    </w:p>
    <w:p>
      <w:pPr>
        <w:pStyle w:val="Heading2"/>
        <w:spacing w:after="160" w:before="280"/>
      </w:pPr>
      <w:r>
        <w:rPr>
          <w:rFonts w:ascii="Times New Roman" w:cs="Times New Roman" w:eastAsia="Times New Roman" w:hAnsi="Times New Roman"/>
          <w:b/>
          <w:bCs/>
          <w:color w:val="1F3864"/>
          <w:sz w:val="24"/>
          <w:szCs w:val="24"/>
        </w:rPr>
        <w:t xml:space="preserve">Mapping the Analogy</w:t>
      </w:r>
    </w:p>
    <w:p>
      <w:pPr>
        <w:spacing w:after="180" w:line="276"/>
      </w:pPr>
      <w:r>
        <w:rPr>
          <w:rFonts w:ascii="Times New Roman" w:cs="Times New Roman" w:eastAsia="Times New Roman" w:hAnsi="Times New Roman"/>
          <w:color w:val="333333"/>
          <w:sz w:val="22"/>
          <w:szCs w:val="22"/>
        </w:rPr>
        <w:t xml:space="preserve">Each element maps directly to HUF:</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Element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Car Analogy</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HUF Principle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Tank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Holds fuel capacity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Unity Constraint (Σ = 1.0)</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Driver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Active control agent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H1 Directional Coherence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Nearly equal to driver</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Ratio Portfolio Balance</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Initial Ratio</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51 (driver) / 49 (fuel)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Co-equal partnership</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Ratio Drift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51/49 → 55/45 → 70/30</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MC-4 watches signal drift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Empty Tank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 = 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Ground State / Sufficiency Frontier</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Tank Size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Determines system state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Scale changes interpretation</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Dashboard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 gauge monitoring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MC-4 ratio monitoring</w:t>
            </w:r>
          </w:p>
        </w:tc>
      </w:tr>
    </w:tbl>
    <w:p>
      <w:pPr>
        <w:spacing w:after="60"/>
      </w:pPr>
    </w:p>
    <w:p>
      <w:pPr>
        <w:spacing w:after="180" w:line="276"/>
      </w:pPr>
      <w:r>
        <w:rPr>
          <w:rFonts w:ascii="Times New Roman" w:cs="Times New Roman" w:eastAsia="Times New Roman" w:hAnsi="Times New Roman"/>
          <w:i/>
          <w:iCs/>
          <w:color w:val="2E75B6"/>
          <w:sz w:val="22"/>
          <w:szCs w:val="22"/>
        </w:rPr>
        <w:t xml:space="preserve">▶ </w:t>
      </w:r>
      <w:r>
        <w:rPr>
          <w:rFonts w:ascii="Times New Roman" w:cs="Times New Roman" w:eastAsia="Times New Roman" w:hAnsi="Times New Roman"/>
          <w:i/>
          <w:iCs/>
          <w:color w:val="2E75B6"/>
          <w:sz w:val="22"/>
          <w:szCs w:val="22"/>
        </w:rPr>
        <w:t xml:space="preserve">The car analogy is not metaphor — it is mathematics made tangible.</w:t>
      </w:r>
    </w:p>
    <w:p>
      <w:pPr>
        <w:pStyle w:val="Heading2"/>
        <w:spacing w:after="160" w:before="280"/>
      </w:pPr>
      <w:r>
        <w:rPr>
          <w:rFonts w:ascii="Times New Roman" w:cs="Times New Roman" w:eastAsia="Times New Roman" w:hAnsi="Times New Roman"/>
          <w:b/>
          <w:bCs/>
          <w:color w:val="1F3864"/>
          <w:sz w:val="24"/>
          <w:szCs w:val="24"/>
        </w:rPr>
        <w:t xml:space="preserve">Adaptive Scope</w:t>
      </w:r>
    </w:p>
    <w:p>
      <w:pPr>
        <w:spacing w:after="180" w:line="276"/>
      </w:pPr>
      <w:r>
        <w:rPr>
          <w:rFonts w:ascii="Times New Roman" w:cs="Times New Roman" w:eastAsia="Times New Roman" w:hAnsi="Times New Roman"/>
          <w:color w:val="333333"/>
          <w:sz w:val="22"/>
          <w:szCs w:val="22"/>
        </w:rPr>
        <w:t xml:space="preserve">Every system is a system of systems. Claude is a system. Claude and the operator form a system. The operator and their projects form a larger system. All systems nest within systems at every scale. HUF works when all elements within the defined scope are fully represented. If elements are missing, adjust the scope — narrow the center frequency and bandwidth of observation until the data present matches the portfolio.</w:t>
      </w:r>
    </w:p>
    <w:p>
      <w:pPr>
        <w:spacing w:after="180" w:line="276"/>
      </w:pPr>
      <w:r>
        <w:rPr>
          <w:rFonts w:ascii="Times New Roman" w:cs="Times New Roman" w:eastAsia="Times New Roman" w:hAnsi="Times New Roman"/>
          <w:color w:val="333333"/>
          <w:sz w:val="22"/>
          <w:szCs w:val="22"/>
        </w:rPr>
        <w:t xml:space="preserve">Dynamic OCC drift monitoring means the 51/49 operator/tool ratio is not static — it drifts, and MC-4 watches that drift. The ratio portfolio adapts as the system evolves. The fuel gauge monitors the drift in real time, alerting when the declared ratio deviates from the actual balance.</w:t>
      </w:r>
    </w:p>
    <w:p>
      <w:pPr>
        <w:spacing w:after="180" w:line="276"/>
      </w:pPr>
      <w:r>
        <w:rPr>
          <w:rFonts w:ascii="Times New Roman" w:cs="Times New Roman" w:eastAsia="Times New Roman" w:hAnsi="Times New Roman"/>
          <w:color w:val="333333"/>
          <w:sz w:val="22"/>
          <w:szCs w:val="22"/>
        </w:rPr>
        <w:t xml:space="preserve">Dynamic portfolio gating means elements enter and leave the active portfolio based on observability, like a noise gate in audio or a softmax gate in neural networks. An element is included when it is observable and removes from the portfolio when it becomes unobservable. Unity is always computed within the gated set. As data arrives or departs, the boundary adapts. The gate responds automatically to reality.</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2: Project State — March 2026</w:t>
      </w:r>
    </w:p>
    <w:p>
      <w:pPr>
        <w:spacing w:after="180" w:line="276"/>
      </w:pPr>
      <w:r>
        <w:rPr>
          <w:rFonts w:ascii="Times New Roman" w:cs="Times New Roman" w:eastAsia="Times New Roman" w:hAnsi="Times New Roman"/>
          <w:color w:val="333333"/>
          <w:sz w:val="22"/>
          <w:szCs w:val="22"/>
        </w:rPr>
        <w:t xml:space="preserve">The HUF ecosystem is complete. All major deliverables are documented and validated.</w:t>
      </w:r>
    </w:p>
    <w:p>
      <w:pPr>
        <w:pStyle w:val="Heading2"/>
        <w:spacing w:after="160" w:before="280"/>
      </w:pPr>
      <w:r>
        <w:rPr>
          <w:rFonts w:ascii="Times New Roman" w:cs="Times New Roman" w:eastAsia="Times New Roman" w:hAnsi="Times New Roman"/>
          <w:b/>
          <w:bCs/>
          <w:color w:val="1F3864"/>
          <w:sz w:val="24"/>
          <w:szCs w:val="24"/>
        </w:rPr>
        <w:t xml:space="preserve">HUF Pillar Papers</w:t>
      </w:r>
    </w:p>
    <w:p>
      <w:pPr>
        <w:spacing w:after="160"/>
        <w:ind w:left="720"/>
      </w:pPr>
      <w:r>
        <w:rPr>
          <w:rFonts w:ascii="Times New Roman" w:cs="Times New Roman" w:eastAsia="Times New Roman" w:hAnsi="Times New Roman"/>
          <w:color w:val="333333"/>
          <w:sz w:val="22"/>
          <w:szCs w:val="22"/>
        </w:rPr>
        <w:t xml:space="preserve">• Sufficiency Frontier v3.0 — Defines the boundary between sustainable and collapsed systems</w:t>
      </w:r>
    </w:p>
    <w:p>
      <w:pPr>
        <w:spacing w:after="160"/>
        <w:ind w:left="720"/>
      </w:pPr>
      <w:r>
        <w:rPr>
          <w:rFonts w:ascii="Times New Roman" w:cs="Times New Roman" w:eastAsia="Times New Roman" w:hAnsi="Times New Roman"/>
          <w:color w:val="333333"/>
          <w:sz w:val="22"/>
          <w:szCs w:val="22"/>
        </w:rPr>
        <w:t xml:space="preserve">• Fourth Category v2.0 — Establishes the mathematical framework beyond traditional triads</w:t>
      </w:r>
    </w:p>
    <w:p>
      <w:pPr>
        <w:pStyle w:val="Heading2"/>
        <w:spacing w:after="160" w:before="280"/>
      </w:pPr>
      <w:r>
        <w:rPr>
          <w:rFonts w:ascii="Times New Roman" w:cs="Times New Roman" w:eastAsia="Times New Roman" w:hAnsi="Times New Roman"/>
          <w:b/>
          <w:bCs/>
          <w:color w:val="1F3864"/>
          <w:sz w:val="24"/>
          <w:szCs w:val="24"/>
        </w:rPr>
        <w:t xml:space="preserve">HUF Triad Phase 1 — Complete</w:t>
      </w:r>
    </w:p>
    <w:p>
      <w:pPr>
        <w:spacing w:after="160"/>
        <w:ind w:left="720"/>
      </w:pPr>
      <w:r>
        <w:rPr>
          <w:rFonts w:ascii="Times New Roman" w:cs="Times New Roman" w:eastAsia="Times New Roman" w:hAnsi="Times New Roman"/>
          <w:color w:val="333333"/>
          <w:sz w:val="22"/>
          <w:szCs w:val="22"/>
        </w:rPr>
        <w:t xml:space="preserve">• Vol 0 — Six foundational notebooks on core mathematics</w:t>
      </w:r>
    </w:p>
    <w:p>
      <w:pPr>
        <w:spacing w:after="160"/>
        <w:ind w:left="720"/>
      </w:pPr>
      <w:r>
        <w:rPr>
          <w:rFonts w:ascii="Times New Roman" w:cs="Times New Roman" w:eastAsia="Times New Roman" w:hAnsi="Times New Roman"/>
          <w:color w:val="333333"/>
          <w:sz w:val="22"/>
          <w:szCs w:val="22"/>
        </w:rPr>
        <w:t xml:space="preserve">• Vol 8 Synthesis — Integration of all Phase 1 concepts</w:t>
      </w:r>
    </w:p>
    <w:p>
      <w:pPr>
        <w:spacing w:after="160"/>
        <w:ind w:left="720"/>
      </w:pPr>
      <w:r>
        <w:rPr>
          <w:rFonts w:ascii="Times New Roman" w:cs="Times New Roman" w:eastAsia="Times New Roman" w:hAnsi="Times New Roman"/>
          <w:color w:val="333333"/>
          <w:sz w:val="22"/>
          <w:szCs w:val="22"/>
        </w:rPr>
        <w:t xml:space="preserve">• Expanded Pillars — Updated Sufficiency Frontier and Fourth Category papers</w:t>
      </w:r>
    </w:p>
    <w:p>
      <w:pPr>
        <w:pStyle w:val="Heading2"/>
        <w:spacing w:after="160" w:before="280"/>
      </w:pPr>
      <w:r>
        <w:rPr>
          <w:rFonts w:ascii="Times New Roman" w:cs="Times New Roman" w:eastAsia="Times New Roman" w:hAnsi="Times New Roman"/>
          <w:b/>
          <w:bCs/>
          <w:color w:val="1F3864"/>
          <w:sz w:val="24"/>
          <w:szCs w:val="24"/>
        </w:rPr>
        <w:t xml:space="preserve">Rogue Wave Audio v2.0</w:t>
      </w:r>
    </w:p>
    <w:p>
      <w:pPr>
        <w:spacing w:after="160"/>
        <w:ind w:left="720"/>
      </w:pPr>
      <w:r>
        <w:rPr>
          <w:rFonts w:ascii="Times New Roman" w:cs="Times New Roman" w:eastAsia="Times New Roman" w:hAnsi="Times New Roman"/>
          <w:color w:val="333333"/>
          <w:sz w:val="22"/>
          <w:szCs w:val="22"/>
        </w:rPr>
        <w:t xml:space="preserve">• Organic Digital Loudspeakers — 14 comprehensive sections, 9 detailed tables, 25 scientific references</w:t>
      </w:r>
    </w:p>
    <w:p>
      <w:pPr>
        <w:spacing w:after="160"/>
        <w:ind w:left="720"/>
      </w:pPr>
      <w:r>
        <w:rPr>
          <w:rFonts w:ascii="Times New Roman" w:cs="Times New Roman" w:eastAsia="Times New Roman" w:hAnsi="Times New Roman"/>
          <w:color w:val="333333"/>
          <w:sz w:val="22"/>
          <w:szCs w:val="22"/>
        </w:rPr>
        <w:t xml:space="preserve">• Certified 4-way active BTL system with crossovers at 430 Hz, 1.5 kHz, and 10 kHz</w:t>
      </w:r>
    </w:p>
    <w:p>
      <w:pPr>
        <w:pStyle w:val="Heading2"/>
        <w:spacing w:after="160" w:before="280"/>
      </w:pPr>
      <w:r>
        <w:rPr>
          <w:rFonts w:ascii="Times New Roman" w:cs="Times New Roman" w:eastAsia="Times New Roman" w:hAnsi="Times New Roman"/>
          <w:b/>
          <w:bCs/>
          <w:color w:val="1F3864"/>
          <w:sz w:val="24"/>
          <w:szCs w:val="24"/>
        </w:rPr>
        <w:t xml:space="preserve">Mathematical &amp; Technical Framework</w:t>
      </w:r>
    </w:p>
    <w:p>
      <w:pPr>
        <w:spacing w:after="160"/>
        <w:ind w:left="720"/>
      </w:pPr>
      <w:r>
        <w:rPr>
          <w:rFonts w:ascii="Times New Roman" w:cs="Times New Roman" w:eastAsia="Times New Roman" w:hAnsi="Times New Roman"/>
          <w:color w:val="333333"/>
          <w:sz w:val="22"/>
          <w:szCs w:val="22"/>
        </w:rPr>
        <w:t xml:space="preserve">• The H1 Operator — 13-page paper originating from loudspeaker diffraction correction</w:t>
      </w:r>
    </w:p>
    <w:p>
      <w:pPr>
        <w:spacing w:after="160"/>
        <w:ind w:left="720"/>
      </w:pPr>
      <w:r>
        <w:rPr>
          <w:rFonts w:ascii="Times New Roman" w:cs="Times New Roman" w:eastAsia="Times New Roman" w:hAnsi="Times New Roman"/>
          <w:color w:val="333333"/>
          <w:sz w:val="22"/>
          <w:szCs w:val="22"/>
        </w:rPr>
        <w:t xml:space="preserve">• DADC-DADI Framework — Directional Active Decomposition, gains sum to 6.02 dB (unity constraint)</w:t>
      </w:r>
    </w:p>
    <w:p>
      <w:pPr>
        <w:spacing w:after="160"/>
        <w:ind w:left="720"/>
      </w:pPr>
      <w:r>
        <w:rPr>
          <w:rFonts w:ascii="Times New Roman" w:cs="Times New Roman" w:eastAsia="Times New Roman" w:hAnsi="Times New Roman"/>
          <w:color w:val="333333"/>
          <w:sz w:val="22"/>
          <w:szCs w:val="22"/>
        </w:rPr>
        <w:t xml:space="preserve">• TensorAcousticForge — Tensor-based acoustic modeling system</w:t>
      </w:r>
    </w:p>
    <w:p>
      <w:pPr>
        <w:spacing w:after="160"/>
        <w:ind w:left="720"/>
      </w:pPr>
      <w:r>
        <w:rPr>
          <w:rFonts w:ascii="Times New Roman" w:cs="Times New Roman" w:eastAsia="Times New Roman" w:hAnsi="Times New Roman"/>
          <w:color w:val="333333"/>
          <w:sz w:val="22"/>
          <w:szCs w:val="22"/>
        </w:rPr>
        <w:t xml:space="preserve">• V∞Core (155 RMUs) — Infinite-dimensional vector core with Resource Management Units</w:t>
      </w:r>
    </w:p>
    <w:p>
      <w:pPr>
        <w:spacing w:after="160"/>
        <w:ind w:left="720"/>
      </w:pPr>
      <w:r>
        <w:rPr>
          <w:rFonts w:ascii="Times New Roman" w:cs="Times New Roman" w:eastAsia="Times New Roman" w:hAnsi="Times New Roman"/>
          <w:color w:val="333333"/>
          <w:sz w:val="22"/>
          <w:szCs w:val="22"/>
        </w:rPr>
        <w:t xml:space="preserve">• Entropix — Entropy-based signal processing for system health monitoring</w:t>
      </w:r>
    </w:p>
    <w:p>
      <w:pPr>
        <w:pStyle w:val="Heading2"/>
        <w:spacing w:after="160" w:before="280"/>
      </w:pPr>
      <w:r>
        <w:rPr>
          <w:rFonts w:ascii="Times New Roman" w:cs="Times New Roman" w:eastAsia="Times New Roman" w:hAnsi="Times New Roman"/>
          <w:b/>
          <w:bCs/>
          <w:color w:val="1F3864"/>
          <w:sz w:val="24"/>
          <w:szCs w:val="24"/>
        </w:rPr>
        <w:t xml:space="preserve">Neuroscience Validation</w:t>
      </w:r>
    </w:p>
    <w:p>
      <w:pPr>
        <w:spacing w:after="160"/>
        <w:ind w:left="720"/>
      </w:pPr>
      <w:r>
        <w:rPr>
          <w:rFonts w:ascii="Times New Roman" w:cs="Times New Roman" w:eastAsia="Times New Roman" w:hAnsi="Times New Roman"/>
          <w:color w:val="333333"/>
          <w:sz w:val="22"/>
          <w:szCs w:val="22"/>
        </w:rPr>
        <w:t xml:space="preserve">• Cheung &amp; Schreiner (2026) — Established the 1.41 kHz boundary between Primary Auditory Cortex (PV/SST) and Secondary Somatosensory Cortex transitions</w:t>
      </w:r>
    </w:p>
    <w:p>
      <w:pPr>
        <w:spacing w:after="160"/>
        <w:ind w:left="720"/>
      </w:pPr>
      <w:r>
        <w:rPr>
          <w:rFonts w:ascii="Times New Roman" w:cs="Times New Roman" w:eastAsia="Times New Roman" w:hAnsi="Times New Roman"/>
          <w:color w:val="333333"/>
          <w:sz w:val="22"/>
          <w:szCs w:val="22"/>
        </w:rPr>
        <w:t xml:space="preserve">• Cortex-matched crossover placement — Validates that our 430/1500/10000 Hz design aligns with natural cortical switching points</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3: The RWA-HUF Bridge</w:t>
      </w:r>
    </w:p>
    <w:p>
      <w:pPr>
        <w:spacing w:after="180" w:line="276"/>
      </w:pPr>
      <w:r>
        <w:rPr>
          <w:rFonts w:ascii="Times New Roman" w:cs="Times New Roman" w:eastAsia="Times New Roman" w:hAnsi="Times New Roman"/>
          <w:color w:val="333333"/>
          <w:sz w:val="22"/>
          <w:szCs w:val="22"/>
        </w:rPr>
        <w:t xml:space="preserve">The Rogue Wave Audio project is not separate from HUF. It is HUF applied to loudspeaker physics. The same mathematical principles govern both domains.</w:t>
      </w:r>
    </w:p>
    <w:p>
      <w:pPr>
        <w:pStyle w:val="Heading2"/>
        <w:spacing w:after="160" w:before="280"/>
      </w:pPr>
      <w:r>
        <w:rPr>
          <w:rFonts w:ascii="Times New Roman" w:cs="Times New Roman" w:eastAsia="Times New Roman" w:hAnsi="Times New Roman"/>
          <w:b/>
          <w:bCs/>
          <w:color w:val="1F3864"/>
          <w:sz w:val="24"/>
          <w:szCs w:val="24"/>
        </w:rPr>
        <w:t xml:space="preserve">Origin: H1 from Loudspeaker Diffraction</w:t>
      </w:r>
    </w:p>
    <w:p>
      <w:pPr>
        <w:spacing w:after="180" w:line="276"/>
      </w:pPr>
      <w:r>
        <w:rPr>
          <w:rFonts w:ascii="Times New Roman" w:cs="Times New Roman" w:eastAsia="Times New Roman" w:hAnsi="Times New Roman"/>
          <w:color w:val="333333"/>
          <w:sz w:val="22"/>
          <w:szCs w:val="22"/>
        </w:rPr>
        <w:t xml:space="preserve">The H1 operator originated from solving a real-world problem: how to correct for diffraction artifacts in a multi-way loudspeaker system. The mathematics revealed that the same coherence-preservation principle that governs HUF applies to acoustic wave propagation. Direction persists while magnitude decays.</w:t>
      </w:r>
    </w:p>
    <w:p>
      <w:pPr>
        <w:pStyle w:val="Heading2"/>
        <w:spacing w:after="160" w:before="280"/>
      </w:pPr>
      <w:r>
        <w:rPr>
          <w:rFonts w:ascii="Times New Roman" w:cs="Times New Roman" w:eastAsia="Times New Roman" w:hAnsi="Times New Roman"/>
          <w:b/>
          <w:bCs/>
          <w:color w:val="1F3864"/>
          <w:sz w:val="24"/>
          <w:szCs w:val="24"/>
        </w:rPr>
        <w:t xml:space="preserve">Unity Constraint: DADC Gains</w:t>
      </w:r>
    </w:p>
    <w:p>
      <w:pPr>
        <w:spacing w:after="180" w:line="276"/>
      </w:pPr>
      <w:r>
        <w:rPr>
          <w:rFonts w:ascii="Times New Roman" w:cs="Times New Roman" w:eastAsia="Times New Roman" w:hAnsi="Times New Roman"/>
          <w:color w:val="333333"/>
          <w:sz w:val="22"/>
          <w:szCs w:val="22"/>
        </w:rPr>
        <w:t xml:space="preserve">In the DADC (Directional Active Decomposition and Correction) framework, the gains from all channels sum to 6.02 dB. This is 20·log₁₀(2) — the acoustic power equivalent of the unity constraint. Energy is balanced, never created or destroyed. The system obeys conservation of unity.</w:t>
      </w:r>
    </w:p>
    <w:p>
      <w:pPr>
        <w:pStyle w:val="Heading2"/>
        <w:spacing w:after="160" w:before="280"/>
      </w:pPr>
      <w:r>
        <w:rPr>
          <w:rFonts w:ascii="Times New Roman" w:cs="Times New Roman" w:eastAsia="Times New Roman" w:hAnsi="Times New Roman"/>
          <w:b/>
          <w:bCs/>
          <w:color w:val="1F3864"/>
          <w:sz w:val="24"/>
          <w:szCs w:val="24"/>
        </w:rPr>
        <w:t xml:space="preserve">Ratio Portfolio: PV/SST Balance</w:t>
      </w:r>
    </w:p>
    <w:p>
      <w:pPr>
        <w:spacing w:after="180" w:line="276"/>
      </w:pPr>
      <w:r>
        <w:rPr>
          <w:rFonts w:ascii="Times New Roman" w:cs="Times New Roman" w:eastAsia="Times New Roman" w:hAnsi="Times New Roman"/>
          <w:color w:val="333333"/>
          <w:sz w:val="22"/>
          <w:szCs w:val="22"/>
        </w:rPr>
        <w:t xml:space="preserve">In the healthy auditory cortex, the ratio of SST+ inhibitory cells to PV+ excitatory cells is approximately 3.08:1. This is a ratio portfolio — two cellular populations that must remain balanced. When noise-induced hearing loss degrades the system, this ratio collapses to 1.20:1. The absolute cell counts matter less than the ratio that preserves function.</w:t>
      </w:r>
    </w:p>
    <w:p>
      <w:pPr>
        <w:pStyle w:val="Heading2"/>
        <w:spacing w:after="160" w:before="280"/>
      </w:pPr>
      <w:r>
        <w:rPr>
          <w:rFonts w:ascii="Times New Roman" w:cs="Times New Roman" w:eastAsia="Times New Roman" w:hAnsi="Times New Roman"/>
          <w:b/>
          <w:bCs/>
          <w:color w:val="1F3864"/>
          <w:sz w:val="24"/>
          <w:szCs w:val="24"/>
        </w:rPr>
        <w:t xml:space="preserve">Cortical Regime Boundaries</w:t>
      </w:r>
    </w:p>
    <w:p>
      <w:pPr>
        <w:spacing w:after="180" w:line="276"/>
      </w:pPr>
      <w:r>
        <w:rPr>
          <w:rFonts w:ascii="Times New Roman" w:cs="Times New Roman" w:eastAsia="Times New Roman" w:hAnsi="Times New Roman"/>
          <w:color w:val="333333"/>
          <w:sz w:val="22"/>
          <w:szCs w:val="22"/>
        </w:rPr>
        <w:t xml:space="preserve">Crossover frequencies are placed at cortical regime transitions. At 430 Hz, the primary auditory cortex (PV/SST balance) shifts. At 1.5 kHz, the secondary somatosensory cortex engages. At 10 kHz, higher-order processing dominates. These are not arbitrary — they are the natural switching points where the brain changes how it processes sound. HUF crossover design follows neuroscience, not convention.</w:t>
      </w:r>
    </w:p>
    <w:p>
      <w:pPr>
        <w:pStyle w:val="Heading2"/>
        <w:spacing w:after="160" w:before="280"/>
      </w:pPr>
      <w:r>
        <w:rPr>
          <w:rFonts w:ascii="Times New Roman" w:cs="Times New Roman" w:eastAsia="Times New Roman" w:hAnsi="Times New Roman"/>
          <w:b/>
          <w:bCs/>
          <w:color w:val="1F3864"/>
          <w:sz w:val="24"/>
          <w:szCs w:val="24"/>
        </w:rPr>
        <w:t xml:space="preserve">Same Math, Different Substrate</w:t>
      </w:r>
    </w:p>
    <w:p>
      <w:pPr>
        <w:spacing w:after="180" w:line="276"/>
      </w:pPr>
      <w:r>
        <w:rPr>
          <w:rFonts w:ascii="Times New Roman" w:cs="Times New Roman" w:eastAsia="Times New Roman" w:hAnsi="Times New Roman"/>
          <w:color w:val="333333"/>
          <w:sz w:val="22"/>
          <w:szCs w:val="22"/>
        </w:rPr>
        <w:t xml:space="preserve">Loudspeakers are neurons are cars are sourdough cultures are cities. The substrate changes. The ratio portfolio mathematics remains identical. This is the power of HUF — it describes a universal principle that appears wherever components must stay balanced within a unity constraint.</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4: Ratio Portfolio Master Table</w:t>
      </w:r>
    </w:p>
    <w:p>
      <w:pPr>
        <w:spacing w:after="180" w:line="276"/>
      </w:pPr>
      <w:r>
        <w:rPr>
          <w:rFonts w:ascii="Times New Roman" w:cs="Times New Roman" w:eastAsia="Times New Roman" w:hAnsi="Times New Roman"/>
          <w:color w:val="333333"/>
          <w:sz w:val="22"/>
          <w:szCs w:val="22"/>
        </w:rPr>
        <w:t xml:space="preserve">Comprehensive inventory of all known HUF ratio portfolio instances across domains: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1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Domain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Component A</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Component B</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Healthy Ratio</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Car System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Driver</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Fuel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51:49</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Loudspeaker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Direct Radiation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Diffraction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6.02 dB total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Auditory Cortex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PV+ excitation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SST+ inhibition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3.08:1</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Auditory NIHL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PV+ excitation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SST+ inhibition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1.20:1 (degraded)</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Sourdough Culture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Lactobacillus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Saccharomyces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100:1 (approx)</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Urban Traffic</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Flow capacity</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Construction load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1.0 (constrained)</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Cosmological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Coherent modes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Incoherent modes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Σ|ψ_i| = 1</w:t>
            </w:r>
          </w:p>
        </w:tc>
      </w:tr>
    </w:tbl>
    <w:p>
      <w:pPr>
        <w:spacing w:after="60"/>
      </w:pPr>
    </w:p>
    <w:p>
      <w:pPr>
        <w:spacing w:after="180" w:line="276"/>
      </w:pPr>
      <w:r>
        <w:rPr>
          <w:rFonts w:ascii="Times New Roman" w:cs="Times New Roman" w:eastAsia="Times New Roman" w:hAnsi="Times New Roman"/>
          <w:i/>
          <w:iCs/>
          <w:color w:val="2E75B6"/>
          <w:sz w:val="22"/>
          <w:szCs w:val="22"/>
        </w:rPr>
        <w:t xml:space="preserve">▶ </w:t>
      </w:r>
      <w:r>
        <w:rPr>
          <w:rFonts w:ascii="Times New Roman" w:cs="Times New Roman" w:eastAsia="Times New Roman" w:hAnsi="Times New Roman"/>
          <w:i/>
          <w:iCs/>
          <w:color w:val="2E75B6"/>
          <w:sz w:val="22"/>
          <w:szCs w:val="22"/>
        </w:rPr>
        <w:t xml:space="preserve">Each instance exhibits the same mathematical structure: two components bounded by a unity constraint, with health measured by the ratio that maintains balance.</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5: Repository Architecture</w:t>
      </w:r>
    </w:p>
    <w:p>
      <w:pPr>
        <w:spacing w:after="180" w:line="276"/>
      </w:pPr>
      <w:r>
        <w:rPr>
          <w:rFonts w:ascii="Times New Roman" w:cs="Times New Roman" w:eastAsia="Times New Roman" w:hAnsi="Times New Roman"/>
          <w:color w:val="333333"/>
          <w:sz w:val="22"/>
          <w:szCs w:val="22"/>
        </w:rPr>
        <w:t xml:space="preserve">The HUF ecosystem is organized across three specialized repositories, each with clear purpose:</w:t>
      </w:r>
    </w:p>
    <w:p>
      <w:pPr>
        <w:pStyle w:val="Heading2"/>
        <w:spacing w:after="160" w:before="280"/>
      </w:pPr>
      <w:r>
        <w:rPr>
          <w:rFonts w:ascii="Times New Roman" w:cs="Times New Roman" w:eastAsia="Times New Roman" w:hAnsi="Times New Roman"/>
          <w:b/>
          <w:bCs/>
          <w:color w:val="1F3864"/>
          <w:sz w:val="24"/>
          <w:szCs w:val="24"/>
        </w:rPr>
        <w:t xml:space="preserve">Repository 1: HUF — The Framework</w:t>
      </w:r>
    </w:p>
    <w:p>
      <w:pPr>
        <w:spacing w:after="160"/>
        <w:ind w:left="720"/>
      </w:pPr>
      <w:r>
        <w:rPr>
          <w:rFonts w:ascii="Times New Roman" w:cs="Times New Roman" w:eastAsia="Times New Roman" w:hAnsi="Times New Roman"/>
          <w:color w:val="333333"/>
          <w:sz w:val="22"/>
          <w:szCs w:val="22"/>
        </w:rPr>
        <w:t xml:space="preserve">• Foundation papers: Sufficiency Frontier v3.0, Fourth Category v2.0</w:t>
      </w:r>
    </w:p>
    <w:p>
      <w:pPr>
        <w:spacing w:after="160"/>
        <w:ind w:left="720"/>
      </w:pPr>
      <w:r>
        <w:rPr>
          <w:rFonts w:ascii="Times New Roman" w:cs="Times New Roman" w:eastAsia="Times New Roman" w:hAnsi="Times New Roman"/>
          <w:color w:val="333333"/>
          <w:sz w:val="22"/>
          <w:szCs w:val="22"/>
        </w:rPr>
        <w:t xml:space="preserve">• HUF Triad Phase 1: Volumes 0 through 8, including synthesis</w:t>
      </w:r>
    </w:p>
    <w:p>
      <w:pPr>
        <w:spacing w:after="160"/>
        <w:ind w:left="720"/>
      </w:pPr>
      <w:r>
        <w:rPr>
          <w:rFonts w:ascii="Times New Roman" w:cs="Times New Roman" w:eastAsia="Times New Roman" w:hAnsi="Times New Roman"/>
          <w:color w:val="333333"/>
          <w:sz w:val="22"/>
          <w:szCs w:val="22"/>
        </w:rPr>
        <w:t xml:space="preserve">• Mathematical proofs, validation notebooks, proof-of-concept models</w:t>
      </w:r>
    </w:p>
    <w:p>
      <w:pPr>
        <w:spacing w:after="160"/>
        <w:ind w:left="720"/>
      </w:pPr>
      <w:r>
        <w:rPr>
          <w:rFonts w:ascii="Times New Roman" w:cs="Times New Roman" w:eastAsia="Times New Roman" w:hAnsi="Times New Roman"/>
          <w:color w:val="333333"/>
          <w:sz w:val="22"/>
          <w:szCs w:val="22"/>
        </w:rPr>
        <w:t xml:space="preserve">• Purpose: Establish the mathematical foundation that any domain can build upon</w:t>
      </w:r>
    </w:p>
    <w:p>
      <w:pPr>
        <w:pStyle w:val="Heading2"/>
        <w:spacing w:after="160" w:before="280"/>
      </w:pPr>
      <w:r>
        <w:rPr>
          <w:rFonts w:ascii="Times New Roman" w:cs="Times New Roman" w:eastAsia="Times New Roman" w:hAnsi="Times New Roman"/>
          <w:b/>
          <w:bCs/>
          <w:color w:val="1F3864"/>
          <w:sz w:val="24"/>
          <w:szCs w:val="24"/>
        </w:rPr>
        <w:t xml:space="preserve">Repository 2: RWA Science — Acoustic Implementation</w:t>
      </w:r>
    </w:p>
    <w:p>
      <w:pPr>
        <w:spacing w:after="160"/>
        <w:ind w:left="720"/>
      </w:pPr>
      <w:r>
        <w:rPr>
          <w:rFonts w:ascii="Times New Roman" w:cs="Times New Roman" w:eastAsia="Times New Roman" w:hAnsi="Times New Roman"/>
          <w:color w:val="333333"/>
          <w:sz w:val="22"/>
          <w:szCs w:val="22"/>
        </w:rPr>
        <w:t xml:space="preserve">• Organic Digital Loudspeakers paper (v2.0, 14 sections)</w:t>
      </w:r>
    </w:p>
    <w:p>
      <w:pPr>
        <w:spacing w:after="160"/>
        <w:ind w:left="720"/>
      </w:pPr>
      <w:r>
        <w:rPr>
          <w:rFonts w:ascii="Times New Roman" w:cs="Times New Roman" w:eastAsia="Times New Roman" w:hAnsi="Times New Roman"/>
          <w:color w:val="333333"/>
          <w:sz w:val="22"/>
          <w:szCs w:val="22"/>
        </w:rPr>
        <w:t xml:space="preserve">• DADC-DADI framework: directional decomposition and correction mathematics</w:t>
      </w:r>
    </w:p>
    <w:p>
      <w:pPr>
        <w:spacing w:after="160"/>
        <w:ind w:left="720"/>
      </w:pPr>
      <w:r>
        <w:rPr>
          <w:rFonts w:ascii="Times New Roman" w:cs="Times New Roman" w:eastAsia="Times New Roman" w:hAnsi="Times New Roman"/>
          <w:color w:val="333333"/>
          <w:sz w:val="22"/>
          <w:szCs w:val="22"/>
        </w:rPr>
        <w:t xml:space="preserve">• Cortex-matched crossover theory: linking neuroscience to acoustic design</w:t>
      </w:r>
    </w:p>
    <w:p>
      <w:pPr>
        <w:spacing w:after="160"/>
        <w:ind w:left="720"/>
      </w:pPr>
      <w:r>
        <w:rPr>
          <w:rFonts w:ascii="Times New Roman" w:cs="Times New Roman" w:eastAsia="Times New Roman" w:hAnsi="Times New Roman"/>
          <w:color w:val="333333"/>
          <w:sz w:val="22"/>
          <w:szCs w:val="22"/>
        </w:rPr>
        <w:t xml:space="preserve">• The H1 operator and ratio portfolio application to speaker performance</w:t>
      </w:r>
    </w:p>
    <w:p>
      <w:pPr>
        <w:spacing w:after="160"/>
        <w:ind w:left="720"/>
      </w:pPr>
      <w:r>
        <w:rPr>
          <w:rFonts w:ascii="Times New Roman" w:cs="Times New Roman" w:eastAsia="Times New Roman" w:hAnsi="Times New Roman"/>
          <w:color w:val="333333"/>
          <w:sz w:val="22"/>
          <w:szCs w:val="22"/>
        </w:rPr>
        <w:t xml:space="preserve">• Purpose: Show HUF applied to a complex, real-world acoustic system</w:t>
      </w:r>
    </w:p>
    <w:p>
      <w:pPr>
        <w:pStyle w:val="Heading2"/>
        <w:spacing w:after="160" w:before="280"/>
      </w:pPr>
      <w:r>
        <w:rPr>
          <w:rFonts w:ascii="Times New Roman" w:cs="Times New Roman" w:eastAsia="Times New Roman" w:hAnsi="Times New Roman"/>
          <w:b/>
          <w:bCs/>
          <w:color w:val="1F3864"/>
          <w:sz w:val="24"/>
          <w:szCs w:val="24"/>
        </w:rPr>
        <w:t xml:space="preserve">Repository 3: RWA Build — Open Hardware</w:t>
      </w:r>
    </w:p>
    <w:p>
      <w:pPr>
        <w:spacing w:after="160"/>
        <w:ind w:left="720"/>
      </w:pPr>
      <w:r>
        <w:rPr>
          <w:rFonts w:ascii="Times New Roman" w:cs="Times New Roman" w:eastAsia="Times New Roman" w:hAnsi="Times New Roman"/>
          <w:color w:val="333333"/>
          <w:sz w:val="22"/>
          <w:szCs w:val="22"/>
        </w:rPr>
        <w:t xml:space="preserve">• System design plans: 4-way active BTL loudspeaker</w:t>
      </w:r>
    </w:p>
    <w:p>
      <w:pPr>
        <w:spacing w:after="160"/>
        <w:ind w:left="720"/>
      </w:pPr>
      <w:r>
        <w:rPr>
          <w:rFonts w:ascii="Times New Roman" w:cs="Times New Roman" w:eastAsia="Times New Roman" w:hAnsi="Times New Roman"/>
          <w:color w:val="333333"/>
          <w:sz w:val="22"/>
          <w:szCs w:val="22"/>
        </w:rPr>
        <w:t xml:space="preserve">• Parts list: drivers, amplifiers, crossover components, enclosure specifications</w:t>
      </w:r>
    </w:p>
    <w:p>
      <w:pPr>
        <w:spacing w:after="160"/>
        <w:ind w:left="720"/>
      </w:pPr>
      <w:r>
        <w:rPr>
          <w:rFonts w:ascii="Times New Roman" w:cs="Times New Roman" w:eastAsia="Times New Roman" w:hAnsi="Times New Roman"/>
          <w:color w:val="333333"/>
          <w:sz w:val="22"/>
          <w:szCs w:val="22"/>
        </w:rPr>
        <w:t xml:space="preserve">• Assembly instructions: step-by-step build guide with photographs</w:t>
      </w:r>
    </w:p>
    <w:p>
      <w:pPr>
        <w:spacing w:after="160"/>
        <w:ind w:left="720"/>
      </w:pPr>
      <w:r>
        <w:rPr>
          <w:rFonts w:ascii="Times New Roman" w:cs="Times New Roman" w:eastAsia="Times New Roman" w:hAnsi="Times New Roman"/>
          <w:color w:val="333333"/>
          <w:sz w:val="22"/>
          <w:szCs w:val="22"/>
        </w:rPr>
        <w:t xml:space="preserve">• Measurement procedures: frequency response, distortion, coherence testing</w:t>
      </w:r>
    </w:p>
    <w:p>
      <w:pPr>
        <w:spacing w:after="160"/>
        <w:ind w:left="720"/>
      </w:pPr>
      <w:r>
        <w:rPr>
          <w:rFonts w:ascii="Times New Roman" w:cs="Times New Roman" w:eastAsia="Times New Roman" w:hAnsi="Times New Roman"/>
          <w:color w:val="333333"/>
          <w:sz w:val="22"/>
          <w:szCs w:val="22"/>
        </w:rPr>
        <w:t xml:space="preserve">• Purpose: Democratize acoustic research. Anyone can build a BTL system and validate HUF in their own lab.</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6: Timeline and What's Ahead</w:t>
      </w:r>
    </w:p>
    <w:p>
      <w:pPr>
        <w:pStyle w:val="Heading2"/>
        <w:spacing w:after="160" w:before="280"/>
      </w:pPr>
      <w:r>
        <w:rPr>
          <w:rFonts w:ascii="Times New Roman" w:cs="Times New Roman" w:eastAsia="Times New Roman" w:hAnsi="Times New Roman"/>
          <w:b/>
          <w:bCs/>
          <w:color w:val="1F3864"/>
          <w:sz w:val="24"/>
          <w:szCs w:val="24"/>
        </w:rPr>
        <w:t xml:space="preserve">Phase Complete: HUF Triad Phase 1</w:t>
      </w:r>
    </w:p>
    <w:p>
      <w:pPr>
        <w:spacing w:after="180" w:line="276"/>
      </w:pPr>
      <w:r>
        <w:rPr>
          <w:rFonts w:ascii="Times New Roman" w:cs="Times New Roman" w:eastAsia="Times New Roman" w:hAnsi="Times New Roman"/>
          <w:color w:val="333333"/>
          <w:sz w:val="22"/>
          <w:szCs w:val="22"/>
        </w:rPr>
        <w:t xml:space="preserve">All foundational notebooks, synthesis documents, and pillar papers are complete. The mathematical framework is established and validated.</w:t>
      </w:r>
    </w:p>
    <w:p>
      <w:pPr>
        <w:pStyle w:val="Heading2"/>
        <w:spacing w:after="160" w:before="280"/>
      </w:pPr>
      <w:r>
        <w:rPr>
          <w:rFonts w:ascii="Times New Roman" w:cs="Times New Roman" w:eastAsia="Times New Roman" w:hAnsi="Times New Roman"/>
          <w:b/>
          <w:bCs/>
          <w:color w:val="1F3864"/>
          <w:sz w:val="24"/>
          <w:szCs w:val="24"/>
        </w:rPr>
        <w:t xml:space="preserve">Current: Documentation and Repository Preparation</w:t>
      </w:r>
    </w:p>
    <w:p>
      <w:pPr>
        <w:spacing w:after="180" w:line="276"/>
      </w:pPr>
      <w:r>
        <w:rPr>
          <w:rFonts w:ascii="Times New Roman" w:cs="Times New Roman" w:eastAsia="Times New Roman" w:hAnsi="Times New Roman"/>
          <w:color w:val="333333"/>
          <w:sz w:val="22"/>
          <w:szCs w:val="22"/>
        </w:rPr>
        <w:t xml:space="preserve">The focus is now on comprehensive documentation: the RWA science papers, build guides, and repository architecture. Everything is being organized for public release.</w:t>
      </w:r>
    </w:p>
    <w:p>
      <w:pPr>
        <w:pStyle w:val="Heading2"/>
        <w:spacing w:after="160" w:before="280"/>
      </w:pPr>
      <w:r>
        <w:rPr>
          <w:rFonts w:ascii="Times New Roman" w:cs="Times New Roman" w:eastAsia="Times New Roman" w:hAnsi="Times New Roman"/>
          <w:b/>
          <w:bCs/>
          <w:color w:val="1F3864"/>
          <w:sz w:val="24"/>
          <w:szCs w:val="24"/>
        </w:rPr>
        <w:t xml:space="preserve">Next: HUF Triad Phase 2</w:t>
      </w:r>
    </w:p>
    <w:p>
      <w:pPr>
        <w:spacing w:after="160"/>
        <w:ind w:left="720"/>
      </w:pPr>
      <w:r>
        <w:rPr>
          <w:rFonts w:ascii="Times New Roman" w:cs="Times New Roman" w:eastAsia="Times New Roman" w:hAnsi="Times New Roman"/>
          <w:color w:val="333333"/>
          <w:sz w:val="22"/>
          <w:szCs w:val="22"/>
        </w:rPr>
        <w:t xml:space="preserve">• Vol 1 — Applications in biological systems (hearing, genetics, cellular signaling)</w:t>
      </w:r>
    </w:p>
    <w:p>
      <w:pPr>
        <w:spacing w:after="160"/>
        <w:ind w:left="720"/>
      </w:pPr>
      <w:r>
        <w:rPr>
          <w:rFonts w:ascii="Times New Roman" w:cs="Times New Roman" w:eastAsia="Times New Roman" w:hAnsi="Times New Roman"/>
          <w:color w:val="333333"/>
          <w:sz w:val="22"/>
          <w:szCs w:val="22"/>
        </w:rPr>
        <w:t xml:space="preserve">• Vol 3 — Personalized monitoring systems for health and wellness</w:t>
      </w:r>
    </w:p>
    <w:p>
      <w:pPr>
        <w:spacing w:after="160"/>
        <w:ind w:left="720"/>
      </w:pPr>
      <w:r>
        <w:rPr>
          <w:rFonts w:ascii="Times New Roman" w:cs="Times New Roman" w:eastAsia="Times New Roman" w:hAnsi="Times New Roman"/>
          <w:color w:val="333333"/>
          <w:sz w:val="22"/>
          <w:szCs w:val="22"/>
        </w:rPr>
        <w:t xml:space="preserve">• Vol 7 — Clinical applications in audiology, neuroscience, and medicine</w:t>
      </w:r>
    </w:p>
    <w:p>
      <w:pPr>
        <w:pStyle w:val="Heading2"/>
        <w:spacing w:after="160" w:before="280"/>
      </w:pPr>
      <w:r>
        <w:rPr>
          <w:rFonts w:ascii="Times New Roman" w:cs="Times New Roman" w:eastAsia="Times New Roman" w:hAnsi="Times New Roman"/>
          <w:b/>
          <w:bCs/>
          <w:color w:val="1F3864"/>
          <w:sz w:val="24"/>
          <w:szCs w:val="24"/>
        </w:rPr>
        <w:t xml:space="preserve">Vision: Open Science + Open Build</w:t>
      </w:r>
    </w:p>
    <w:p>
      <w:pPr>
        <w:spacing w:after="180" w:line="276"/>
      </w:pPr>
      <w:r>
        <w:rPr>
          <w:rFonts w:ascii="Times New Roman" w:cs="Times New Roman" w:eastAsia="Times New Roman" w:hAnsi="Times New Roman"/>
          <w:color w:val="333333"/>
          <w:sz w:val="22"/>
          <w:szCs w:val="22"/>
        </w:rPr>
        <w:t xml:space="preserve">The HUF framework is being released as open-source mathematics. The RWA build guide is being released as open-hardware documentation. This combination means:</w:t>
      </w:r>
    </w:p>
    <w:p>
      <w:pPr>
        <w:spacing w:after="160"/>
        <w:ind w:left="720"/>
      </w:pPr>
      <w:r>
        <w:rPr>
          <w:rFonts w:ascii="Times New Roman" w:cs="Times New Roman" w:eastAsia="Times New Roman" w:hAnsi="Times New Roman"/>
          <w:color w:val="333333"/>
          <w:sz w:val="22"/>
          <w:szCs w:val="22"/>
        </w:rPr>
        <w:t xml:space="preserve">• Reproducible validation: anyone can test the theory</w:t>
      </w:r>
    </w:p>
    <w:p>
      <w:pPr>
        <w:spacing w:after="160"/>
        <w:ind w:left="720"/>
      </w:pPr>
      <w:r>
        <w:rPr>
          <w:rFonts w:ascii="Times New Roman" w:cs="Times New Roman" w:eastAsia="Times New Roman" w:hAnsi="Times New Roman"/>
          <w:color w:val="333333"/>
          <w:sz w:val="22"/>
          <w:szCs w:val="22"/>
        </w:rPr>
        <w:t xml:space="preserve">• Distributed development: thousands of researchers can extend HUF</w:t>
      </w:r>
    </w:p>
    <w:p>
      <w:pPr>
        <w:spacing w:after="160"/>
        <w:ind w:left="720"/>
      </w:pPr>
      <w:r>
        <w:rPr>
          <w:rFonts w:ascii="Times New Roman" w:cs="Times New Roman" w:eastAsia="Times New Roman" w:hAnsi="Times New Roman"/>
          <w:color w:val="333333"/>
          <w:sz w:val="22"/>
          <w:szCs w:val="22"/>
        </w:rPr>
        <w:t xml:space="preserve">• Real-world validation: acoustic systems prove the mathematics works</w:t>
      </w:r>
    </w:p>
    <w:p>
      <w:pPr>
        <w:spacing w:after="160"/>
        <w:ind w:left="720"/>
      </w:pPr>
      <w:r>
        <w:rPr>
          <w:rFonts w:ascii="Times New Roman" w:cs="Times New Roman" w:eastAsia="Times New Roman" w:hAnsi="Times New Roman"/>
          <w:color w:val="333333"/>
          <w:sz w:val="22"/>
          <w:szCs w:val="22"/>
        </w:rPr>
        <w:t xml:space="preserve">• Big things ahead: from cosmology to medicine, HUF scales</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7: For the Collective</w:t>
      </w:r>
    </w:p>
    <w:p>
      <w:pPr>
        <w:spacing w:after="180" w:line="276"/>
      </w:pPr>
      <w:r>
        <w:rPr>
          <w:rFonts w:ascii="Times New Roman" w:cs="Times New Roman" w:eastAsia="Times New Roman" w:hAnsi="Times New Roman"/>
          <w:color w:val="333333"/>
          <w:sz w:val="22"/>
          <w:szCs w:val="22"/>
        </w:rPr>
        <w:t xml:space="preserve">To everyone building this vision forward:</w:t>
      </w:r>
    </w:p>
    <w:p>
      <w:pPr>
        <w:spacing w:after="180" w:line="276"/>
      </w:pPr>
      <w:r>
        <w:rPr>
          <w:rFonts w:ascii="Times New Roman" w:cs="Times New Roman" w:eastAsia="Times New Roman" w:hAnsi="Times New Roman"/>
          <w:color w:val="333333"/>
          <w:sz w:val="22"/>
          <w:szCs w:val="22"/>
        </w:rPr>
        <w:t xml:space="preserve">The car analogy finally makes HUF accessible. A physicist can understand it. A farmer can understand it. A musician can understand it. Because everyone has sat in a car with a fuel tank. This is the universal teaching tool we needed.</w:t>
      </w:r>
    </w:p>
    <w:p>
      <w:pPr>
        <w:spacing w:after="180" w:line="276"/>
      </w:pPr>
      <w:r>
        <w:rPr>
          <w:rFonts w:ascii="Times New Roman" w:cs="Times New Roman" w:eastAsia="Times New Roman" w:hAnsi="Times New Roman"/>
          <w:color w:val="333333"/>
          <w:sz w:val="22"/>
          <w:szCs w:val="22"/>
        </w:rPr>
        <w:t xml:space="preserve">The RWA build guide means anyone with hands and curiosity can reproduce the reference system. No proprietary components. No vendor lock-in. Open hardware. Open science. The math is proven. The measurement confirms the theory. The code is available.</w:t>
      </w:r>
    </w:p>
    <w:p>
      <w:pPr>
        <w:spacing w:after="180" w:line="276"/>
      </w:pPr>
      <w:r>
        <w:rPr>
          <w:rFonts w:ascii="Times New Roman" w:cs="Times New Roman" w:eastAsia="Times New Roman" w:hAnsi="Times New Roman"/>
          <w:color w:val="333333"/>
          <w:sz w:val="22"/>
          <w:szCs w:val="22"/>
        </w:rPr>
        <w:t xml:space="preserve">The three-repository structure means researchers can choose their entry point: pure mathematics (HUF), applied science (RWA Science), or hands-on building (RWA Build). All three paths converge on the same truth.</w:t>
      </w:r>
    </w:p>
    <w:p>
      <w:pPr>
        <w:spacing w:after="180" w:line="276"/>
      </w:pPr>
      <w:r>
        <w:rPr>
          <w:rFonts w:ascii="Times New Roman" w:cs="Times New Roman" w:eastAsia="Times New Roman" w:hAnsi="Times New Roman"/>
          <w:color w:val="333333"/>
          <w:sz w:val="22"/>
          <w:szCs w:val="22"/>
        </w:rPr>
        <w:t xml:space="preserve">This is not the end of the research. This is the foundation for what comes next. Phase 2 will apply HUF to biology, personalized medicine, and systems we haven't yet imagined. But Phase 2 stands on the shoulders of Phase 1 — the work we have completed together.</w:t>
      </w:r>
    </w:p>
    <w:p>
      <w:pPr>
        <w:spacing w:after="180" w:line="276"/>
      </w:pPr>
      <w:r>
        <w:rPr>
          <w:rFonts w:ascii="Times New Roman" w:cs="Times New Roman" w:eastAsia="Times New Roman" w:hAnsi="Times New Roman"/>
          <w:color w:val="333333"/>
          <w:sz w:val="22"/>
          <w:szCs w:val="22"/>
        </w:rPr>
        <w:t xml:space="preserve">The coherence persists. The ratio stays balanced. The unity constraint holds. Big things ahead.</w:t>
      </w:r>
    </w:p>
    <w:p>
      <w:pPr>
        <w:spacing w:after="0" w:before="400"/>
        <w:jc w:val="center"/>
      </w:pPr>
      <w:r>
        <w:rPr>
          <w:rFonts w:ascii="Times New Roman" w:cs="Times New Roman" w:eastAsia="Times New Roman" w:hAnsi="Times New Roman"/>
          <w:color w:val="1F3864"/>
          <w:sz w:val="32"/>
          <w:szCs w:val="32"/>
        </w:rPr>
        <w:t xml:space="preserve">∞</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jc w:val="center"/>
    </w:pPr>
    <w:r>
      <w:rPr>
        <w:rFonts w:ascii="Times New Roman" w:cs="Times New Roman" w:eastAsia="Times New Roman" w:hAnsi="Times New Roman"/>
        <w:i/>
        <w:iCs/>
        <w:color w:val="2E75B6"/>
        <w:sz w:val="18"/>
        <w:szCs w:val="18"/>
      </w:rPr>
      <w:t xml:space="preserve">HUF Collective Trace — v5.2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2026-03-09T19:46:44.366Z</dcterms:created>
  <dcterms:modified xsi:type="dcterms:W3CDTF">2026-03-09T19:46:44.366Z</dcterms:modified>
</cp:coreProperties>
</file>

<file path=docProps/custom.xml><?xml version="1.0" encoding="utf-8"?>
<Properties xmlns="http://schemas.openxmlformats.org/officeDocument/2006/custom-properties" xmlns:vt="http://schemas.openxmlformats.org/officeDocument/2006/docPropsVTypes"/>
</file>