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Times New Roman" w:cs="Times New Roman" w:eastAsia="Times New Roman" w:hAnsi="Times New Roman"/>
          <w:b/>
          <w:bCs/>
          <w:color w:val="1F3864"/>
          <w:sz w:val="44"/>
          <w:szCs w:val="44"/>
        </w:rPr>
        <w:t xml:space="preserve">THE FOURTH MONITORING CATEGORY</w:t>
      </w:r>
    </w:p>
    <w:p>
      <w:pPr>
        <w:spacing w:after="100"/>
        <w:jc w:val="center"/>
      </w:pPr>
      <w:r>
        <w:rPr>
          <w:rFonts w:ascii="Times New Roman" w:cs="Times New Roman" w:eastAsia="Times New Roman" w:hAnsi="Times New Roman"/>
          <w:color w:val="2E75B6"/>
          <w:sz w:val="28"/>
          <w:szCs w:val="28"/>
        </w:rPr>
        <w:t xml:space="preserve">Ratio State Monitoring as a Degenerate State Observer</w:t>
      </w:r>
    </w:p>
    <w:p>
      <w:pPr>
        <w:spacing w:before="400"/>
      </w:pPr>
    </w:p>
    <w:p>
      <w:pPr>
        <w:spacing w:after="80"/>
        <w:jc w:val="center"/>
      </w:pPr>
      <w:r>
        <w:rPr>
          <w:rFonts w:ascii="Times New Roman" w:cs="Times New Roman" w:eastAsia="Times New Roman" w:hAnsi="Times New Roman"/>
          <w:i/>
          <w:iCs/>
          <w:color w:val="333333"/>
          <w:sz w:val="24"/>
          <w:szCs w:val="24"/>
        </w:rPr>
        <w:t xml:space="preserve">Pillar 2 of the HUF Triad · Version 2.0</w:t>
      </w:r>
    </w:p>
    <w:p>
      <w:pPr>
        <w:spacing w:after="80"/>
        <w:jc w:val="center"/>
      </w:pPr>
      <w:r>
        <w:rPr>
          <w:rFonts w:ascii="Times New Roman" w:cs="Times New Roman" w:eastAsia="Times New Roman" w:hAnsi="Times New Roman"/>
          <w:color w:val="333333"/>
          <w:sz w:val="22"/>
          <w:szCs w:val="22"/>
        </w:rPr>
        <w:t xml:space="preserve">March 2026</w:t>
      </w:r>
    </w:p>
    <w:p>
      <w:pPr>
        <w:spacing w:before="600"/>
      </w:pPr>
    </w:p>
    <w:p>
      <w:pPr>
        <w:spacing w:after="60"/>
        <w:jc w:val="center"/>
      </w:pPr>
      <w:r>
        <w:rPr>
          <w:rFonts w:ascii="Times New Roman" w:cs="Times New Roman" w:eastAsia="Times New Roman" w:hAnsi="Times New Roman"/>
          <w:b/>
          <w:bCs/>
          <w:color w:val="333333"/>
          <w:sz w:val="22"/>
          <w:szCs w:val="22"/>
        </w:rPr>
        <w:t xml:space="preserve">Peter Higgins</w:t>
      </w:r>
    </w:p>
    <w:p>
      <w:pPr>
        <w:spacing w:after="60"/>
        <w:jc w:val="center"/>
      </w:pPr>
      <w:r>
        <w:rPr>
          <w:rFonts w:ascii="Times New Roman" w:cs="Times New Roman" w:eastAsia="Times New Roman" w:hAnsi="Times New Roman"/>
          <w:color w:val="333333"/>
          <w:sz w:val="20"/>
          <w:szCs w:val="20"/>
        </w:rPr>
        <w:t xml:space="preserve">Rogue Wave Audio, Markham, Ontario</w:t>
      </w:r>
    </w:p>
    <w:p>
      <w:pPr>
        <w:jc w:val="center"/>
      </w:pPr>
      <w:r>
        <w:rPr>
          <w:rFonts w:ascii="Times New Roman" w:cs="Times New Roman" w:eastAsia="Times New Roman" w:hAnsi="Times New Roman"/>
          <w:color w:val="999999"/>
          <w:sz w:val="20"/>
          <w:szCs w:val="20"/>
        </w:rPr>
        <w:t xml:space="preserve">HUF v1.2.0 · MIT License</w:t>
      </w:r>
    </w:p>
    <w:p>
      <w:r>
        <w:br w:type="page"/>
      </w:r>
    </w:p>
    <w:p>
      <w:pPr>
        <w:pStyle w:val="Heading1"/>
        <w:spacing w:after="200" w:before="360"/>
      </w:pPr>
      <w:r>
        <w:rPr>
          <w:rFonts w:ascii="Times New Roman" w:cs="Times New Roman" w:eastAsia="Times New Roman" w:hAnsi="Times New Roman"/>
          <w:b/>
          <w:bCs/>
          <w:color w:val="1F3864"/>
          <w:sz w:val="28"/>
          <w:szCs w:val="28"/>
        </w:rPr>
        <w:t xml:space="preserve">Abstract</w:t>
      </w:r>
    </w:p>
    <w:p>
      <w:pPr>
        <w:spacing w:after="180" w:line="276"/>
      </w:pPr>
      <w:r>
        <w:rPr>
          <w:rFonts w:ascii="Times New Roman" w:cs="Times New Roman" w:eastAsia="Times New Roman" w:hAnsi="Times New Roman"/>
          <w:color w:val="333333"/>
          <w:sz w:val="22"/>
          <w:szCs w:val="22"/>
        </w:rPr>
        <w:t xml:space="preserve">Three monitoring categories are established in the environmental and governance literature: Passive (MC-1), Mandated (MC-2), and Question-driven (MC-3). This paper introduces a fourth: Ratio State Monitoring (MC-4). MC-4 is structurally distinct from its predecessors in five properties: it is self-referential (uses the system’s own declared intent as its reference), non-invasive (reads existing outputs), model-free (requires no mathematical model), bidirectional (detects concentration and fragmentation under the same constraint), and cross-cycle (produces a traceable governance record across all reporting periods). The mathematical basis is the degenerate state observer: on the probability simplex, the state IS the output, the estimation gain is zero, and the estimation error is identically zero without requiring a dynamic model. We identify six structurally invisible failure modes, derive the Quality Factor Q that explains systematic underweighting of high-cycle elements, map the framework to Ostrom’s design principles for commons governance, and present three-domain empirical confirmation. This expanded version (v2.0) includes full data tables, Toronto King Street causal analysis, 13 open conjectures from the collective review, and cross-references to the HUF Triad.</w:t>
      </w:r>
    </w:p>
    <w:p>
      <w:r>
        <w:br w:type="page"/>
      </w:r>
    </w:p>
    <w:p>
      <w:pPr>
        <w:pStyle w:val="Heading1"/>
        <w:spacing w:after="200" w:before="360"/>
      </w:pPr>
      <w:r>
        <w:rPr>
          <w:rFonts w:ascii="Times New Roman" w:cs="Times New Roman" w:eastAsia="Times New Roman" w:hAnsi="Times New Roman"/>
          <w:b/>
          <w:bCs/>
          <w:color w:val="1F3864"/>
          <w:sz w:val="28"/>
          <w:szCs w:val="28"/>
        </w:rPr>
        <w:t xml:space="preserve">1. Introduction</w:t>
      </w:r>
    </w:p>
    <w:p>
      <w:pPr>
        <w:spacing w:after="180" w:line="276"/>
      </w:pPr>
      <w:r>
        <w:rPr>
          <w:rFonts w:ascii="Times New Roman" w:cs="Times New Roman" w:eastAsia="Times New Roman" w:hAnsi="Times New Roman"/>
          <w:color w:val="333333"/>
          <w:sz w:val="22"/>
          <w:szCs w:val="22"/>
        </w:rPr>
        <w:t xml:space="preserve">Monitoring is the systematic observation of a system’s state for the purpose of informing governance decisions. The ecological monitoring literature recognizes three categories, distinguished by their reference standard: Passive monitoring (MC-1) observes without a structured reference; Mandated monitoring (MC-2) compares against external legal thresholds; Question-driven monitoring (MC-3) tests a conceptual model [1, 2].</w:t>
      </w:r>
    </w:p>
    <w:p>
      <w:pPr>
        <w:spacing w:after="180" w:line="276"/>
      </w:pPr>
      <w:r>
        <w:rPr>
          <w:rFonts w:ascii="Times New Roman" w:cs="Times New Roman" w:eastAsia="Times New Roman" w:hAnsi="Times New Roman"/>
          <w:color w:val="333333"/>
          <w:sz w:val="22"/>
          <w:szCs w:val="22"/>
        </w:rPr>
        <w:t xml:space="preserve">Each category has a blind spot. MC-1 detects events but cannot attribute them. MC-2 detects threshold breaches but ignores structural changes below the threshold. MC-3 detects model violations but cannot see what falls outside its hypothesis frame. All three share a deeper limitation: they cannot distinguish between intentional allocation changes and silent drift in a system’s resource distribution [3].</w:t>
      </w:r>
    </w:p>
    <w:p>
      <w:pPr>
        <w:spacing w:after="180" w:line="276"/>
      </w:pPr>
      <w:r>
        <w:rPr>
          <w:rFonts w:ascii="Times New Roman" w:cs="Times New Roman" w:eastAsia="Times New Roman" w:hAnsi="Times New Roman"/>
          <w:color w:val="333333"/>
          <w:sz w:val="22"/>
          <w:szCs w:val="22"/>
        </w:rPr>
        <w:t xml:space="preserve">This paper introduces a fourth monitoring category—Ratio State Monitoring (MC-4)—that addresses this structural gap. MC-4 monitors the proportional allocation of a finite-budget system against its own declared priorities. It detects silent drift (undeclared reallocation), distinguishes it from intentional reweighting (declared reallocation), and produces a cross-cycle governance record. The instrument is the unity constraint: Σρᵢ = 1, the tautological requirement that shares of a fixed total sum to that total.</w:t>
      </w:r>
    </w:p>
    <w:p>
      <w:pPr>
        <w:spacing w:after="160" w:before="80"/>
      </w:pPr>
      <w:r>
        <w:rPr>
          <w:rFonts w:ascii="Times New Roman" w:cs="Times New Roman" w:eastAsia="Times New Roman" w:hAnsi="Times New Roman"/>
          <w:i/>
          <w:iCs/>
          <w:color w:val="2E75B6"/>
          <w:sz w:val="20"/>
          <w:szCs w:val="20"/>
        </w:rPr>
        <w:t xml:space="preserve">▶ Companion paper: Pillar 1, The Sufficiency Frontier</w:t>
      </w:r>
    </w:p>
    <w:p>
      <w:pPr>
        <w:spacing w:after="160" w:before="80"/>
      </w:pPr>
      <w:r>
        <w:rPr>
          <w:rFonts w:ascii="Times New Roman" w:cs="Times New Roman" w:eastAsia="Times New Roman" w:hAnsi="Times New Roman"/>
          <w:i/>
          <w:iCs/>
          <w:color w:val="2E75B6"/>
          <w:sz w:val="20"/>
          <w:szCs w:val="20"/>
        </w:rPr>
        <w:t xml:space="preserve">▶ Triad overview: Volume 8, The Triad Synthesis</w:t>
      </w:r>
    </w:p>
    <w:p>
      <w:pPr>
        <w:spacing w:after="160" w:before="80"/>
      </w:pPr>
      <w:r>
        <w:rPr>
          <w:rFonts w:ascii="Times New Roman" w:cs="Times New Roman" w:eastAsia="Times New Roman" w:hAnsi="Times New Roman"/>
          <w:i/>
          <w:iCs/>
          <w:color w:val="2E75B6"/>
          <w:sz w:val="20"/>
          <w:szCs w:val="20"/>
        </w:rPr>
        <w:t xml:space="preserve">▶ Operational implementation: Volume 5, Governance &amp; Operations</w:t>
      </w:r>
    </w:p>
    <w:p>
      <w:r>
        <w:br w:type="page"/>
      </w:r>
    </w:p>
    <w:p>
      <w:pPr>
        <w:pStyle w:val="Heading1"/>
        <w:spacing w:after="200" w:before="360"/>
      </w:pPr>
      <w:r>
        <w:rPr>
          <w:rFonts w:ascii="Times New Roman" w:cs="Times New Roman" w:eastAsia="Times New Roman" w:hAnsi="Times New Roman"/>
          <w:b/>
          <w:bCs/>
          <w:color w:val="1F3864"/>
          <w:sz w:val="28"/>
          <w:szCs w:val="28"/>
        </w:rPr>
        <w:t xml:space="preserve">2. Definitions</w:t>
      </w:r>
    </w:p>
    <w:p>
      <w:pPr>
        <w:spacing w:after="180" w:line="276"/>
      </w:pPr>
      <w:r>
        <w:rPr>
          <w:rFonts w:ascii="Times New Roman" w:cs="Times New Roman" w:eastAsia="Times New Roman" w:hAnsi="Times New Roman"/>
          <w:color w:val="333333"/>
          <w:sz w:val="22"/>
          <w:szCs w:val="22"/>
        </w:rPr>
        <w:t xml:space="preserve">All terms are consistent with the HUF Triad unified glossary (Volume 8, Section 8). Terms are listed in dependency order.</w:t>
      </w:r>
    </w:p>
    <w:p>
      <w:pPr>
        <w:spacing w:after="140" w:line="276"/>
        <w:ind w:left="360"/>
      </w:pPr>
      <w:r>
        <w:rPr>
          <w:rFonts w:ascii="Times New Roman" w:cs="Times New Roman" w:eastAsia="Times New Roman" w:hAnsi="Times New Roman"/>
          <w:b/>
          <w:bCs/>
          <w:i/>
          <w:iCs/>
          <w:color w:val="333333"/>
          <w:sz w:val="22"/>
          <w:szCs w:val="22"/>
        </w:rPr>
        <w:t xml:space="preserve">Budget ceiling (M)</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The total of a finite-budget system, indexed to 1.0.</w:t>
      </w:r>
    </w:p>
    <w:p>
      <w:pPr>
        <w:spacing w:after="140" w:line="276"/>
        <w:ind w:left="360"/>
      </w:pPr>
      <w:r>
        <w:rPr>
          <w:rFonts w:ascii="Times New Roman" w:cs="Times New Roman" w:eastAsia="Times New Roman" w:hAnsi="Times New Roman"/>
          <w:b/>
          <w:bCs/>
          <w:i/>
          <w:iCs/>
          <w:color w:val="333333"/>
          <w:sz w:val="22"/>
          <w:szCs w:val="22"/>
        </w:rPr>
        <w:t xml:space="preserve">Element (i)</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Any constituent holding a share of the budget ceiling. Minimum two elements.</w:t>
      </w:r>
    </w:p>
    <w:p>
      <w:pPr>
        <w:spacing w:after="140" w:line="276"/>
        <w:ind w:left="360"/>
      </w:pPr>
      <w:r>
        <w:rPr>
          <w:rFonts w:ascii="Times New Roman" w:cs="Times New Roman" w:eastAsia="Times New Roman" w:hAnsi="Times New Roman"/>
          <w:b/>
          <w:bCs/>
          <w:i/>
          <w:iCs/>
          <w:color w:val="333333"/>
          <w:sz w:val="22"/>
          <w:szCs w:val="22"/>
        </w:rPr>
        <w:t xml:space="preserve">Share (ρᵢ)</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An element’s proportion of the total: ρᵢ = mᵢ / Σmⱼ.</w:t>
      </w:r>
    </w:p>
    <w:p>
      <w:pPr>
        <w:spacing w:after="140" w:line="276"/>
        <w:ind w:left="360"/>
      </w:pPr>
      <w:r>
        <w:rPr>
          <w:rFonts w:ascii="Times New Roman" w:cs="Times New Roman" w:eastAsia="Times New Roman" w:hAnsi="Times New Roman"/>
          <w:b/>
          <w:bCs/>
          <w:i/>
          <w:iCs/>
          <w:color w:val="333333"/>
          <w:sz w:val="22"/>
          <w:szCs w:val="22"/>
        </w:rPr>
        <w:t xml:space="preserve">Unity constraint</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Σρᵢ = 1. The foundational invariant.</w:t>
      </w:r>
    </w:p>
    <w:p>
      <w:pPr>
        <w:spacing w:after="140" w:line="276"/>
        <w:ind w:left="360"/>
      </w:pPr>
      <w:r>
        <w:rPr>
          <w:rFonts w:ascii="Times New Roman" w:cs="Times New Roman" w:eastAsia="Times New Roman" w:hAnsi="Times New Roman"/>
          <w:b/>
          <w:bCs/>
          <w:i/>
          <w:iCs/>
          <w:color w:val="333333"/>
          <w:sz w:val="22"/>
          <w:szCs w:val="22"/>
        </w:rPr>
        <w:t xml:space="preserve">Declared weight (ρᵢᵈᵉᶜ)</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The share an operator states each element should hold.</w:t>
      </w:r>
    </w:p>
    <w:p>
      <w:pPr>
        <w:spacing w:after="140" w:line="276"/>
        <w:ind w:left="360"/>
      </w:pPr>
      <w:r>
        <w:rPr>
          <w:rFonts w:ascii="Times New Roman" w:cs="Times New Roman" w:eastAsia="Times New Roman" w:hAnsi="Times New Roman"/>
          <w:b/>
          <w:bCs/>
          <w:i/>
          <w:iCs/>
          <w:color w:val="333333"/>
          <w:sz w:val="22"/>
          <w:szCs w:val="22"/>
        </w:rPr>
        <w:t xml:space="preserve">Observed share (ρᵢᵒᵇˢ)</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The share an element actually holds, computed from outputs.</w:t>
      </w:r>
    </w:p>
    <w:p>
      <w:pPr>
        <w:spacing w:after="140" w:line="276"/>
        <w:ind w:left="360"/>
      </w:pPr>
      <w:r>
        <w:rPr>
          <w:rFonts w:ascii="Times New Roman" w:cs="Times New Roman" w:eastAsia="Times New Roman" w:hAnsi="Times New Roman"/>
          <w:b/>
          <w:bCs/>
          <w:i/>
          <w:iCs/>
          <w:color w:val="333333"/>
          <w:sz w:val="22"/>
          <w:szCs w:val="22"/>
        </w:rPr>
        <w:t xml:space="preserve">Silent drift</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Change in ratio state not traceable to a recorded governance decision.</w:t>
      </w:r>
    </w:p>
    <w:p>
      <w:pPr>
        <w:spacing w:after="140" w:line="276"/>
        <w:ind w:left="360"/>
      </w:pPr>
      <w:r>
        <w:rPr>
          <w:rFonts w:ascii="Times New Roman" w:cs="Times New Roman" w:eastAsia="Times New Roman" w:hAnsi="Times New Roman"/>
          <w:b/>
          <w:bCs/>
          <w:i/>
          <w:iCs/>
          <w:color w:val="333333"/>
          <w:sz w:val="22"/>
          <w:szCs w:val="22"/>
        </w:rPr>
        <w:t xml:space="preserve">Intentional reweighting</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Change traceable to a recorded governance decision.</w:t>
      </w:r>
    </w:p>
    <w:p>
      <w:pPr>
        <w:spacing w:after="140" w:line="276"/>
        <w:ind w:left="360"/>
      </w:pPr>
      <w:r>
        <w:rPr>
          <w:rFonts w:ascii="Times New Roman" w:cs="Times New Roman" w:eastAsia="Times New Roman" w:hAnsi="Times New Roman"/>
          <w:b/>
          <w:bCs/>
          <w:i/>
          <w:iCs/>
          <w:color w:val="333333"/>
          <w:sz w:val="22"/>
          <w:szCs w:val="22"/>
        </w:rPr>
        <w:t xml:space="preserve">Mean drift gap (MDG)</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(1/K)Σ|ρᵢᵈᵉᶜ − ρᵢᵒᵇˢ|. Average drift across all elements.</w:t>
      </w:r>
    </w:p>
    <w:p>
      <w:pPr>
        <w:spacing w:after="140" w:line="276"/>
        <w:ind w:left="360"/>
      </w:pPr>
      <w:r>
        <w:rPr>
          <w:rFonts w:ascii="Times New Roman" w:cs="Times New Roman" w:eastAsia="Times New Roman" w:hAnsi="Times New Roman"/>
          <w:b/>
          <w:bCs/>
          <w:i/>
          <w:iCs/>
          <w:color w:val="333333"/>
          <w:sz w:val="22"/>
          <w:szCs w:val="22"/>
        </w:rPr>
        <w:t xml:space="preserve">Leverage (1/ρᵢ)</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Reciprocal of share. Sensitivity to removal.</w:t>
      </w:r>
    </w:p>
    <w:p>
      <w:pPr>
        <w:spacing w:after="140" w:line="276"/>
        <w:ind w:left="360"/>
      </w:pPr>
      <w:r>
        <w:rPr>
          <w:rFonts w:ascii="Times New Roman" w:cs="Times New Roman" w:eastAsia="Times New Roman" w:hAnsi="Times New Roman"/>
          <w:b/>
          <w:bCs/>
          <w:i/>
          <w:iCs/>
          <w:color w:val="333333"/>
          <w:sz w:val="22"/>
          <w:szCs w:val="22"/>
        </w:rPr>
        <w:t xml:space="preserve">PROOF line</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Minimum elements for 80% of portfolio mass.</w:t>
      </w:r>
    </w:p>
    <w:p>
      <w:pPr>
        <w:spacing w:after="140" w:line="276"/>
        <w:ind w:left="360"/>
      </w:pPr>
      <w:r>
        <w:rPr>
          <w:rFonts w:ascii="Times New Roman" w:cs="Times New Roman" w:eastAsia="Times New Roman" w:hAnsi="Times New Roman"/>
          <w:b/>
          <w:bCs/>
          <w:i/>
          <w:iCs/>
          <w:color w:val="333333"/>
          <w:sz w:val="22"/>
          <w:szCs w:val="22"/>
        </w:rPr>
        <w:t xml:space="preserve">Quality factor (Q)</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T_char/T_obs. Characteristic period to observation bandwidth ratio.</w:t>
      </w:r>
    </w:p>
    <w:p>
      <w:pPr>
        <w:spacing w:after="140" w:line="276"/>
        <w:ind w:left="360"/>
      </w:pPr>
      <w:r>
        <w:rPr>
          <w:rFonts w:ascii="Times New Roman" w:cs="Times New Roman" w:eastAsia="Times New Roman" w:hAnsi="Times New Roman"/>
          <w:b/>
          <w:bCs/>
          <w:i/>
          <w:iCs/>
          <w:color w:val="333333"/>
          <w:sz w:val="22"/>
          <w:szCs w:val="22"/>
        </w:rPr>
        <w:t xml:space="preserve">Ground state</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MDG → 0. All change declared. Self-correcting feedback loop.</w:t>
      </w:r>
    </w:p>
    <w:p>
      <w:pPr>
        <w:spacing w:after="140" w:line="276"/>
        <w:ind w:left="360"/>
      </w:pPr>
      <w:r>
        <w:rPr>
          <w:rFonts w:ascii="Times New Roman" w:cs="Times New Roman" w:eastAsia="Times New Roman" w:hAnsi="Times New Roman"/>
          <w:b/>
          <w:bCs/>
          <w:i/>
          <w:iCs/>
          <w:color w:val="333333"/>
          <w:sz w:val="22"/>
          <w:szCs w:val="22"/>
        </w:rPr>
        <w:t xml:space="preserve">Degenerate observer</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State observer where y(t) = ρ(t). L = 0. Zero estimation error.</w:t>
      </w:r>
    </w:p>
    <w:p>
      <w:pPr>
        <w:spacing w:after="140" w:line="276"/>
        <w:ind w:left="360"/>
      </w:pPr>
      <w:r>
        <w:rPr>
          <w:rFonts w:ascii="Times New Roman" w:cs="Times New Roman" w:eastAsia="Times New Roman" w:hAnsi="Times New Roman"/>
          <w:b/>
          <w:bCs/>
          <w:i/>
          <w:iCs/>
          <w:color w:val="333333"/>
          <w:sz w:val="22"/>
          <w:szCs w:val="22"/>
        </w:rPr>
        <w:t xml:space="preserve">Action window</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Period during which correction is cheapest.</w:t>
      </w:r>
    </w:p>
    <w:p>
      <w:pPr>
        <w:spacing w:after="140" w:line="276"/>
        <w:ind w:left="360"/>
      </w:pPr>
      <w:r>
        <w:rPr>
          <w:rFonts w:ascii="Times New Roman" w:cs="Times New Roman" w:eastAsia="Times New Roman" w:hAnsi="Times New Roman"/>
          <w:b/>
          <w:bCs/>
          <w:i/>
          <w:iCs/>
          <w:color w:val="333333"/>
          <w:sz w:val="22"/>
          <w:szCs w:val="22"/>
        </w:rPr>
        <w:t xml:space="preserve">Orphan element</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Element present on paper but outside effective governance.</w:t>
      </w:r>
    </w:p>
    <w:p>
      <w:pPr>
        <w:spacing w:after="140" w:line="276"/>
        <w:ind w:left="360"/>
      </w:pPr>
      <w:r>
        <w:rPr>
          <w:rFonts w:ascii="Times New Roman" w:cs="Times New Roman" w:eastAsia="Times New Roman" w:hAnsi="Times New Roman"/>
          <w:b/>
          <w:bCs/>
          <w:i/>
          <w:iCs/>
          <w:color w:val="333333"/>
          <w:sz w:val="22"/>
          <w:szCs w:val="22"/>
        </w:rPr>
        <w:t xml:space="preserve">OCC 51/49</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Operator Control Contract: w_op ≥ 0.51, w_tool ≤ 0.49.</w:t>
      </w:r>
    </w:p>
    <w:p>
      <w:r>
        <w:br w:type="page"/>
      </w:r>
    </w:p>
    <w:p>
      <w:pPr>
        <w:pStyle w:val="Heading1"/>
        <w:spacing w:after="200" w:before="360"/>
      </w:pPr>
      <w:r>
        <w:rPr>
          <w:rFonts w:ascii="Times New Roman" w:cs="Times New Roman" w:eastAsia="Times New Roman" w:hAnsi="Times New Roman"/>
          <w:b/>
          <w:bCs/>
          <w:color w:val="1F3864"/>
          <w:sz w:val="28"/>
          <w:szCs w:val="28"/>
        </w:rPr>
        <w:t xml:space="preserve">3. Three Established Monitoring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2200"/>
        <w:gridCol w:w="1800"/>
        <w:gridCol w:w="2160"/>
      </w:tblGrid>
      <w:tr>
        <w:tc>
          <w:tcPr>
            <w:tcW w:type="dxa" w:w="15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Category</w:t>
            </w:r>
          </w:p>
        </w:tc>
        <w:tc>
          <w:tcPr>
            <w:tcW w:type="dxa" w:w="17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Reference</w:t>
            </w:r>
          </w:p>
        </w:tc>
        <w:tc>
          <w:tcPr>
            <w:tcW w:type="dxa" w:w="2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Primary Question</w:t>
            </w:r>
          </w:p>
        </w:tc>
        <w:tc>
          <w:tcPr>
            <w:tcW w:type="dxa" w:w="18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Intentional/Silent</w:t>
            </w:r>
          </w:p>
        </w:tc>
        <w:tc>
          <w:tcPr>
            <w:tcW w:type="dxa" w:w="21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Cross-Cycle</w:t>
            </w:r>
          </w:p>
        </w:tc>
      </w:tr>
      <w:tr>
        <w:tc>
          <w:tcPr>
            <w:tcW w:type="dxa" w:w="1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MC-1: Passive</w:t>
            </w:r>
          </w:p>
        </w:tc>
        <w:tc>
          <w:tcPr>
            <w:tcW w:type="dxa" w:w="17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None</w:t>
            </w:r>
          </w:p>
        </w:tc>
        <w:tc>
          <w:tcPr>
            <w:tcW w:type="dxa" w:w="2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What is happening?</w:t>
            </w:r>
          </w:p>
        </w:tc>
        <w:tc>
          <w:tcPr>
            <w:tcW w:type="dxa" w:w="1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Absent</w:t>
            </w:r>
          </w:p>
        </w:tc>
        <w:tc>
          <w:tcPr>
            <w:tcW w:type="dxa" w:w="21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Incidental</w:t>
            </w:r>
          </w:p>
        </w:tc>
      </w:tr>
      <w:tr>
        <w:tc>
          <w:tcPr>
            <w:tcW w:type="dxa" w:w="1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MC-2: Mandated</w:t>
            </w:r>
          </w:p>
        </w:tc>
        <w:tc>
          <w:tcPr>
            <w:tcW w:type="dxa" w:w="1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External threshold</w:t>
            </w:r>
          </w:p>
        </w:tc>
        <w:tc>
          <w:tcPr>
            <w:tcW w:type="dxa" w:w="2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Is threshold breached?</w:t>
            </w:r>
          </w:p>
        </w:tc>
        <w:tc>
          <w:tcPr>
            <w:tcW w:type="dxa" w:w="1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Absent</w:t>
            </w:r>
          </w:p>
        </w:tc>
        <w:tc>
          <w:tcPr>
            <w:tcW w:type="dxa" w:w="21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Trend only</w:t>
            </w:r>
          </w:p>
        </w:tc>
      </w:tr>
      <w:tr>
        <w:tc>
          <w:tcPr>
            <w:tcW w:type="dxa" w:w="1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MC-3: Question-driven</w:t>
            </w:r>
          </w:p>
        </w:tc>
        <w:tc>
          <w:tcPr>
            <w:tcW w:type="dxa" w:w="17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Conceptual model</w:t>
            </w:r>
          </w:p>
        </w:tc>
        <w:tc>
          <w:tcPr>
            <w:tcW w:type="dxa" w:w="2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Does the model hold?</w:t>
            </w:r>
          </w:p>
        </w:tc>
        <w:tc>
          <w:tcPr>
            <w:tcW w:type="dxa" w:w="1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Absent</w:t>
            </w:r>
          </w:p>
        </w:tc>
        <w:tc>
          <w:tcPr>
            <w:tcW w:type="dxa" w:w="21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Within hypothesis</w:t>
            </w:r>
          </w:p>
        </w:tc>
      </w:tr>
      <w:tr>
        <w:tc>
          <w:tcPr>
            <w:tcW w:type="dxa" w:w="1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MC-4: Ratio State</w:t>
            </w:r>
          </w:p>
        </w:tc>
        <w:tc>
          <w:tcPr>
            <w:tcW w:type="dxa" w:w="1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Own declared intent</w:t>
            </w:r>
          </w:p>
        </w:tc>
        <w:tc>
          <w:tcPr>
            <w:tcW w:type="dxa" w:w="2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Is intent being met?</w:t>
            </w:r>
          </w:p>
        </w:tc>
        <w:tc>
          <w:tcPr>
            <w:tcW w:type="dxa" w:w="1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Primary output</w:t>
            </w:r>
          </w:p>
        </w:tc>
        <w:tc>
          <w:tcPr>
            <w:tcW w:type="dxa" w:w="21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Structural — all cycles</w:t>
            </w:r>
          </w:p>
        </w:tc>
      </w:tr>
    </w:tbl>
    <w:p>
      <w:pPr>
        <w:spacing w:after="180" w:line="276"/>
      </w:pPr>
      <w:r>
        <w:rPr>
          <w:rFonts w:ascii="Times New Roman" w:cs="Times New Roman" w:eastAsia="Times New Roman" w:hAnsi="Times New Roman"/>
          <w:color w:val="333333"/>
          <w:sz w:val="22"/>
          <w:szCs w:val="22"/>
        </w:rPr>
        <w:t xml:space="preserve"/>
      </w:r>
    </w:p>
    <w:p>
      <w:pPr>
        <w:spacing w:after="180" w:line="276"/>
      </w:pPr>
      <w:r>
        <w:rPr>
          <w:rFonts w:ascii="Times New Roman" w:cs="Times New Roman" w:eastAsia="Times New Roman" w:hAnsi="Times New Roman"/>
          <w:color w:val="333333"/>
          <w:sz w:val="22"/>
          <w:szCs w:val="22"/>
        </w:rPr>
        <w:t xml:space="preserve">MC-4’s five defining properties distinguish it from the first three: (1) self-referential—the system’s own declared priorities serve as the reference; (2) non-invasive—reads existing outputs without new data collection; (3) model-free—requires no mathematical model of the system’s dynamics; (4) bidirectional—detects concentration and fragmentation under the same constraint; (5) cross-cycle—produces a traceable governance record across all reporting periods.</w:t>
      </w:r>
    </w:p>
    <w:p>
      <w:r>
        <w:br w:type="page"/>
      </w:r>
    </w:p>
    <w:p>
      <w:pPr>
        <w:pStyle w:val="Heading1"/>
        <w:spacing w:after="200" w:before="360"/>
      </w:pPr>
      <w:r>
        <w:rPr>
          <w:rFonts w:ascii="Times New Roman" w:cs="Times New Roman" w:eastAsia="Times New Roman" w:hAnsi="Times New Roman"/>
          <w:b/>
          <w:bCs/>
          <w:color w:val="1F3864"/>
          <w:sz w:val="28"/>
          <w:szCs w:val="28"/>
        </w:rPr>
        <w:t xml:space="preserve">4. The Degenerate State Observer</w:t>
      </w:r>
    </w:p>
    <w:p>
      <w:pPr>
        <w:spacing w:after="180" w:line="276"/>
      </w:pPr>
      <w:r>
        <w:rPr>
          <w:rFonts w:ascii="Times New Roman" w:cs="Times New Roman" w:eastAsia="Times New Roman" w:hAnsi="Times New Roman"/>
          <w:color w:val="333333"/>
          <w:sz w:val="22"/>
          <w:szCs w:val="22"/>
        </w:rPr>
        <w:t xml:space="preserve">In classical control theory, a state observer (Luenberger observer [4]) estimates internal states x(t) from outputs y(t) and a known dynamic model:</w:t>
      </w:r>
    </w:p>
    <w:p>
      <w:pPr>
        <w:spacing w:after="180" w:line="276"/>
        <w:jc w:val="center"/>
      </w:pPr>
      <w:r>
        <w:rPr>
          <w:rFonts w:ascii="Times New Roman" w:cs="Times New Roman" w:eastAsia="Times New Roman" w:hAnsi="Times New Roman"/>
          <w:color w:val="333333"/>
          <w:sz w:val="22"/>
          <w:szCs w:val="22"/>
        </w:rPr>
        <w:t xml:space="preserve">x̂’(t) = Ax̂(t) + Bu(t) + L(y(t) − Cx̂(t))</w:t>
      </w:r>
    </w:p>
    <w:p>
      <w:pPr>
        <w:spacing w:after="180" w:line="276"/>
      </w:pPr>
      <w:r>
        <w:rPr>
          <w:rFonts w:ascii="Times New Roman" w:cs="Times New Roman" w:eastAsia="Times New Roman" w:hAnsi="Times New Roman"/>
          <w:color w:val="333333"/>
          <w:sz w:val="22"/>
          <w:szCs w:val="22"/>
        </w:rPr>
        <w:t xml:space="preserve">where L is the observer gain chosen to make the estimation error e(t) = x(t) − x̂(t) converge to zero. This requires: (a) a known system model (A, B, C), (b) observability of the pair (A, C), and (c) design of the gain matrix L.</w:t>
      </w:r>
    </w:p>
    <w:p>
      <w:pPr>
        <w:spacing w:after="180" w:line="276"/>
      </w:pPr>
      <w:r>
        <w:rPr>
          <w:rFonts w:ascii="Times New Roman" w:cs="Times New Roman" w:eastAsia="Times New Roman" w:hAnsi="Times New Roman"/>
          <w:b/>
          <w:bCs/>
          <w:color w:val="333333"/>
          <w:sz w:val="22"/>
          <w:szCs w:val="22"/>
        </w:rPr>
        <w:t xml:space="preserve">Proposition 1 (Perfect Observability). </w:t>
      </w:r>
      <w:r>
        <w:rPr>
          <w:rFonts w:ascii="Times New Roman" w:cs="Times New Roman" w:eastAsia="Times New Roman" w:hAnsi="Times New Roman"/>
          <w:color w:val="333333"/>
          <w:sz w:val="22"/>
          <w:szCs w:val="22"/>
        </w:rPr>
        <w:t xml:space="preserve">On the probability simplex Sᴷ, the portfolio state ρ(t) is directly observable. The output equation is y(t) = ρ(t) (i.e., C = I, the identity). No dynamic model is required. The estimation gain L = 0, and the estimation error e(t) = 0 identically.</w:t>
      </w:r>
    </w:p>
    <w:p>
      <w:pPr>
        <w:spacing w:after="180" w:line="276"/>
      </w:pPr>
      <w:r>
        <w:rPr>
          <w:rFonts w:ascii="Times New Roman" w:cs="Times New Roman" w:eastAsia="Times New Roman" w:hAnsi="Times New Roman"/>
          <w:color w:val="333333"/>
          <w:sz w:val="22"/>
          <w:szCs w:val="22"/>
        </w:rPr>
        <w:t xml:space="preserve">Proof. Portfolio shares are defined as ρᵢ = mᵢ / Σmⱼ. The shares are computable from the system’s own declared outputs without an intermediate model. Since y(t) = ρ(t), no estimation is performed; the state is read, not estimated. The estimation error is zero not by asymptotic convergence but by construction.</w:t>
      </w:r>
    </w:p>
    <w:p>
      <w:pPr>
        <w:spacing w:after="180" w:line="276"/>
      </w:pPr>
      <w:r>
        <w:rPr>
          <w:rFonts w:ascii="Times New Roman" w:cs="Times New Roman" w:eastAsia="Times New Roman" w:hAnsi="Times New Roman"/>
          <w:color w:val="333333"/>
          <w:sz w:val="22"/>
          <w:szCs w:val="22"/>
        </w:rPr>
        <w:t xml:space="preserve">This is a degenerate case in the technical sense: the observer collapses because the problem it is designed to solve—estimating states from outputs—does not arise. On the simplex, the state IS the output. This degeneracy is not a limitation; it is the foundation of MC-4’s model-free property.</w:t>
      </w:r>
    </w:p>
    <w:p>
      <w:pPr>
        <w:spacing w:after="160" w:before="80"/>
      </w:pPr>
      <w:r>
        <w:rPr>
          <w:rFonts w:ascii="Times New Roman" w:cs="Times New Roman" w:eastAsia="Times New Roman" w:hAnsi="Times New Roman"/>
          <w:i/>
          <w:iCs/>
          <w:color w:val="2E75B6"/>
          <w:sz w:val="20"/>
          <w:szCs w:val="20"/>
        </w:rPr>
        <w:t xml:space="preserve">▶ Mathematical foundations: Vol 3, Section 3</w:t>
      </w:r>
    </w:p>
    <w:p>
      <w:r>
        <w:br w:type="page"/>
      </w:r>
    </w:p>
    <w:p>
      <w:pPr>
        <w:pStyle w:val="Heading1"/>
        <w:spacing w:after="200" w:before="360"/>
      </w:pPr>
      <w:r>
        <w:rPr>
          <w:rFonts w:ascii="Times New Roman" w:cs="Times New Roman" w:eastAsia="Times New Roman" w:hAnsi="Times New Roman"/>
          <w:b/>
          <w:bCs/>
          <w:color w:val="1F3864"/>
          <w:sz w:val="28"/>
          <w:szCs w:val="28"/>
        </w:rPr>
        <w:t xml:space="preserve">5. Six Failure Modes</w:t>
      </w:r>
    </w:p>
    <w:p>
      <w:pPr>
        <w:spacing w:after="180" w:line="276"/>
      </w:pPr>
      <w:r>
        <w:rPr>
          <w:rFonts w:ascii="Times New Roman" w:cs="Times New Roman" w:eastAsia="Times New Roman" w:hAnsi="Times New Roman"/>
          <w:color w:val="333333"/>
          <w:sz w:val="22"/>
          <w:szCs w:val="22"/>
        </w:rPr>
        <w:t xml:space="preserve">MC-4 identifies six structurally invisible failure modes. Each is invisible to MC-1 through MC-3 because they require the intentional/silent classification that only ratio state monitoring provides.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2200"/>
        <w:gridCol w:w="1800"/>
        <w:gridCol w:w="3160"/>
      </w:tblGrid>
      <w:tr>
        <w:tc>
          <w:tcPr>
            <w:tcW w:type="dxa" w:w="6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ID</w:t>
            </w:r>
          </w:p>
        </w:tc>
        <w:tc>
          <w:tcPr>
            <w:tcW w:type="dxa" w:w="16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Name</w:t>
            </w:r>
          </w:p>
        </w:tc>
        <w:tc>
          <w:tcPr>
            <w:tcW w:type="dxa" w:w="2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Root Cause</w:t>
            </w:r>
          </w:p>
        </w:tc>
        <w:tc>
          <w:tcPr>
            <w:tcW w:type="dxa" w:w="18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Detection Artifact</w:t>
            </w:r>
          </w:p>
        </w:tc>
        <w:tc>
          <w:tcPr>
            <w:tcW w:type="dxa" w:w="31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Operational Flag</w:t>
            </w:r>
          </w:p>
        </w:tc>
      </w:tr>
      <w:tr>
        <w:tc>
          <w:tcPr>
            <w:tcW w:type="dxa" w:w="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FM-1</w:t>
            </w:r>
          </w:p>
        </w:tc>
        <w:tc>
          <w:tcPr>
            <w:tcW w:type="dxa" w:w="1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Ratio Blindness</w:t>
            </w:r>
          </w:p>
        </w:tc>
        <w:tc>
          <w:tcPr>
            <w:tcW w:type="dxa" w:w="2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Using absolute metrics for proportional systems</w:t>
            </w:r>
          </w:p>
        </w:tc>
        <w:tc>
          <w:tcPr>
            <w:tcW w:type="dxa" w:w="1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Portfolio share table</w:t>
            </w:r>
          </w:p>
        </w:tc>
        <w:tc>
          <w:tcPr>
            <w:tcW w:type="dxa" w:w="31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MDG &gt; 5pp</w:t>
            </w:r>
          </w:p>
        </w:tc>
      </w:tr>
      <w:tr>
        <w:tc>
          <w:tcPr>
            <w:tcW w:type="dxa" w:w="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FM-2</w:t>
            </w:r>
          </w:p>
        </w:tc>
        <w:tc>
          <w:tcPr>
            <w:tcW w:type="dxa" w:w="1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Silent Reweighting</w:t>
            </w:r>
          </w:p>
        </w:tc>
        <w:tc>
          <w:tcPr>
            <w:tcW w:type="dxa" w:w="2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No intentional/silent classification mechanism</w:t>
            </w:r>
          </w:p>
        </w:tc>
        <w:tc>
          <w:tcPr>
            <w:tcW w:type="dxa" w:w="1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Change log</w:t>
            </w:r>
          </w:p>
        </w:tc>
        <w:tc>
          <w:tcPr>
            <w:tcW w:type="dxa" w:w="31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Unattributed shift</w:t>
            </w:r>
          </w:p>
        </w:tc>
      </w:tr>
      <w:tr>
        <w:tc>
          <w:tcPr>
            <w:tcW w:type="dxa" w:w="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FM-3</w:t>
            </w:r>
          </w:p>
        </w:tc>
        <w:tc>
          <w:tcPr>
            <w:tcW w:type="dxa" w:w="1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Snapshot Error</w:t>
            </w:r>
          </w:p>
        </w:tc>
        <w:tc>
          <w:tcPr>
            <w:tcW w:type="dxa" w:w="2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Observation window shorter than characteristic period</w:t>
            </w:r>
          </w:p>
        </w:tc>
        <w:tc>
          <w:tcPr>
            <w:tcW w:type="dxa" w:w="1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Data-age flag</w:t>
            </w:r>
          </w:p>
        </w:tc>
        <w:tc>
          <w:tcPr>
            <w:tcW w:type="dxa" w:w="31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High leverage + stale data</w:t>
            </w:r>
          </w:p>
        </w:tc>
      </w:tr>
      <w:tr>
        <w:tc>
          <w:tcPr>
            <w:tcW w:type="dxa" w:w="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FM-4</w:t>
            </w:r>
          </w:p>
        </w:tc>
        <w:tc>
          <w:tcPr>
            <w:tcW w:type="dxa" w:w="1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Concentration Trap</w:t>
            </w:r>
          </w:p>
        </w:tc>
        <w:tc>
          <w:tcPr>
            <w:tcW w:type="dxa" w:w="2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FM-2 running in concentration direction</w:t>
            </w:r>
          </w:p>
        </w:tc>
        <w:tc>
          <w:tcPr>
            <w:tcW w:type="dxa" w:w="1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PROOF line trend</w:t>
            </w:r>
          </w:p>
        </w:tc>
        <w:tc>
          <w:tcPr>
            <w:tcW w:type="dxa" w:w="31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PROOF ≤ 2 or decreasing</w:t>
            </w:r>
          </w:p>
        </w:tc>
      </w:tr>
      <w:tr>
        <w:tc>
          <w:tcPr>
            <w:tcW w:type="dxa" w:w="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FM-5</w:t>
            </w:r>
          </w:p>
        </w:tc>
        <w:tc>
          <w:tcPr>
            <w:tcW w:type="dxa" w:w="1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Fragmentation Spiral</w:t>
            </w:r>
          </w:p>
        </w:tc>
        <w:tc>
          <w:tcPr>
            <w:tcW w:type="dxa" w:w="2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FM-2 running in fragmentation direction</w:t>
            </w:r>
          </w:p>
        </w:tc>
        <w:tc>
          <w:tcPr>
            <w:tcW w:type="dxa" w:w="1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Leverage distribution</w:t>
            </w:r>
          </w:p>
        </w:tc>
        <w:tc>
          <w:tcPr>
            <w:tcW w:type="dxa" w:w="31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Many small shares clustering</w:t>
            </w:r>
          </w:p>
        </w:tc>
      </w:tr>
      <w:tr>
        <w:tc>
          <w:tcPr>
            <w:tcW w:type="dxa" w:w="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FM-6</w:t>
            </w:r>
          </w:p>
        </w:tc>
        <w:tc>
          <w:tcPr>
            <w:tcW w:type="dxa" w:w="1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Orphan Element</w:t>
            </w:r>
          </w:p>
        </w:tc>
        <w:tc>
          <w:tcPr>
            <w:tcW w:type="dxa" w:w="2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FM-4 or FM-5 carried to element endpoint</w:t>
            </w:r>
          </w:p>
        </w:tc>
        <w:tc>
          <w:tcPr>
            <w:tcW w:type="dxa" w:w="1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Coverage record</w:t>
            </w:r>
          </w:p>
        </w:tc>
        <w:tc>
          <w:tcPr>
            <w:tcW w:type="dxa" w:w="31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Declining share, no rationale</w:t>
            </w:r>
          </w:p>
        </w:tc>
      </w:tr>
    </w:tbl>
    <w:p>
      <w:pPr>
        <w:spacing w:after="180" w:line="276"/>
      </w:pPr>
      <w:r>
        <w:rPr>
          <w:rFonts w:ascii="Times New Roman" w:cs="Times New Roman" w:eastAsia="Times New Roman" w:hAnsi="Times New Roman"/>
          <w:color w:val="333333"/>
          <w:sz w:val="22"/>
          <w:szCs w:val="22"/>
        </w:rPr>
        <w:t xml:space="preserve"/>
      </w:r>
    </w:p>
    <w:p>
      <w:pPr>
        <w:spacing w:after="180" w:line="276"/>
      </w:pPr>
      <w:r>
        <w:rPr>
          <w:rFonts w:ascii="Times New Roman" w:cs="Times New Roman" w:eastAsia="Times New Roman" w:hAnsi="Times New Roman"/>
          <w:color w:val="333333"/>
          <w:sz w:val="22"/>
          <w:szCs w:val="22"/>
        </w:rPr>
        <w:t xml:space="preserve">The six modes form a progression. FM-1 (Ratio Blindness) is the enabling condition: without it, none of the others arise. FM-2 (Silent Reweighting) is the mechanism. FM-3 amplifies FM-2 by making high-Q elements look unresponsive. FM-4 and FM-5 are directional variants of FM-2. FM-6 is the terminal state for any element caught in FM-4 or FM-5.</w:t>
      </w:r>
    </w:p>
    <w:p>
      <w:pPr>
        <w:spacing w:after="160" w:before="80"/>
      </w:pPr>
      <w:r>
        <w:rPr>
          <w:rFonts w:ascii="Times New Roman" w:cs="Times New Roman" w:eastAsia="Times New Roman" w:hAnsi="Times New Roman"/>
          <w:i/>
          <w:iCs/>
          <w:color w:val="2E75B6"/>
          <w:sz w:val="20"/>
          <w:szCs w:val="20"/>
        </w:rPr>
        <w:t xml:space="preserve">▶ Operational field guide: Vol 5, Section 3</w:t>
      </w:r>
    </w:p>
    <w:p>
      <w:pPr>
        <w:spacing w:after="160" w:before="80"/>
      </w:pPr>
      <w:r>
        <w:rPr>
          <w:rFonts w:ascii="Times New Roman" w:cs="Times New Roman" w:eastAsia="Times New Roman" w:hAnsi="Times New Roman"/>
          <w:i/>
          <w:iCs/>
          <w:color w:val="2E75B6"/>
          <w:sz w:val="20"/>
          <w:szCs w:val="20"/>
        </w:rPr>
        <w:t xml:space="preserve">▶ Interactive examples: Vol 0, Notebooks 1–2 (pizza, backpack)</w:t>
      </w:r>
    </w:p>
    <w:p>
      <w:r>
        <w:br w:type="page"/>
      </w:r>
    </w:p>
    <w:p>
      <w:pPr>
        <w:pStyle w:val="Heading1"/>
        <w:spacing w:after="200" w:before="360"/>
      </w:pPr>
      <w:r>
        <w:rPr>
          <w:rFonts w:ascii="Times New Roman" w:cs="Times New Roman" w:eastAsia="Times New Roman" w:hAnsi="Times New Roman"/>
          <w:b/>
          <w:bCs/>
          <w:color w:val="1F3864"/>
          <w:sz w:val="28"/>
          <w:szCs w:val="28"/>
        </w:rPr>
        <w:t xml:space="preserve">6. The Quality Factor</w:t>
      </w:r>
    </w:p>
    <w:p>
      <w:pPr>
        <w:spacing w:after="180" w:line="276"/>
      </w:pPr>
      <w:r>
        <w:rPr>
          <w:rFonts w:ascii="Times New Roman" w:cs="Times New Roman" w:eastAsia="Times New Roman" w:hAnsi="Times New Roman"/>
          <w:color w:val="333333"/>
          <w:sz w:val="22"/>
          <w:szCs w:val="22"/>
        </w:rPr>
        <w:t xml:space="preserve">Q = T_char / T_obs quantifies an element’s vulnerability to snapshot error. High-Q elements contribute in narrow time windows relative to the observation period, making them systematically underweighted by single-cycle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300"/>
        <w:gridCol w:w="1200"/>
        <w:gridCol w:w="1200"/>
        <w:gridCol w:w="700"/>
        <w:gridCol w:w="3860"/>
      </w:tblGrid>
      <w:tr>
        <w:tc>
          <w:tcPr>
            <w:tcW w:type="dxa" w:w="11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Domain</w:t>
            </w:r>
          </w:p>
        </w:tc>
        <w:tc>
          <w:tcPr>
            <w:tcW w:type="dxa" w:w="13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Element</w:t>
            </w:r>
          </w:p>
        </w:tc>
        <w:tc>
          <w:tcPr>
            <w:tcW w:type="dxa" w:w="1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T_char</w:t>
            </w:r>
          </w:p>
        </w:tc>
        <w:tc>
          <w:tcPr>
            <w:tcW w:type="dxa" w:w="1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T_obs</w:t>
            </w:r>
          </w:p>
        </w:tc>
        <w:tc>
          <w:tcPr>
            <w:tcW w:type="dxa" w:w="7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Q</w:t>
            </w:r>
          </w:p>
        </w:tc>
        <w:tc>
          <w:tcPr>
            <w:tcW w:type="dxa" w:w="38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Governance Risk</w:t>
            </w:r>
          </w:p>
        </w:tc>
      </w:tr>
      <w:tr>
        <w:tc>
          <w:tcPr>
            <w:tcW w:type="dxa" w:w="11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Sourdough</w:t>
            </w:r>
          </w:p>
        </w:tc>
        <w:tc>
          <w:tcPr>
            <w:tcW w:type="dxa" w:w="13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Yeast</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4–12 hours</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~0.02 hours</w:t>
            </w:r>
          </w:p>
        </w:tc>
        <w:tc>
          <w:tcPr>
            <w:tcW w:type="dxa" w:w="7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~833</w:t>
            </w:r>
          </w:p>
        </w:tc>
        <w:tc>
          <w:tcPr>
            <w:tcW w:type="dxa" w:w="38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Ultra-high: removal kills the loaf</w:t>
            </w:r>
          </w:p>
        </w:tc>
      </w:tr>
      <w:tr>
        <w:tc>
          <w:tcPr>
            <w:tcW w:type="dxa" w:w="11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Ramsar</w:t>
            </w:r>
          </w:p>
        </w:tc>
        <w:tc>
          <w:tcPr>
            <w:tcW w:type="dxa" w:w="13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Crna Mlaka</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Multi-year</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~3 months</w:t>
            </w:r>
          </w:p>
        </w:tc>
        <w:tc>
          <w:tcPr>
            <w:tcW w:type="dxa" w:w="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~12</w:t>
            </w:r>
          </w:p>
        </w:tc>
        <w:tc>
          <w:tcPr>
            <w:tcW w:type="dxa" w:w="38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High: survey timing matters</w:t>
            </w:r>
          </w:p>
        </w:tc>
      </w:tr>
      <w:tr>
        <w:tc>
          <w:tcPr>
            <w:tcW w:type="dxa" w:w="11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Software</w:t>
            </w:r>
          </w:p>
        </w:tc>
        <w:tc>
          <w:tcPr>
            <w:tcW w:type="dxa" w:w="13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Archive NS</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Months</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Days–weeks</w:t>
            </w:r>
          </w:p>
        </w:tc>
        <w:tc>
          <w:tcPr>
            <w:tcW w:type="dxa" w:w="7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~5</w:t>
            </w:r>
          </w:p>
        </w:tc>
        <w:tc>
          <w:tcPr>
            <w:tcW w:type="dxa" w:w="38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Medium: research-event driven</w:t>
            </w:r>
          </w:p>
        </w:tc>
      </w:tr>
      <w:tr>
        <w:tc>
          <w:tcPr>
            <w:tcW w:type="dxa" w:w="11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Transit</w:t>
            </w:r>
          </w:p>
        </w:tc>
        <w:tc>
          <w:tcPr>
            <w:tcW w:type="dxa" w:w="13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Line 4 Sheppard</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Seasonal</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Daily counts</w:t>
            </w:r>
          </w:p>
        </w:tc>
        <w:tc>
          <w:tcPr>
            <w:tcW w:type="dxa" w:w="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~3</w:t>
            </w:r>
          </w:p>
        </w:tc>
        <w:tc>
          <w:tcPr>
            <w:tcW w:type="dxa" w:w="38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Low: broadly visible</w:t>
            </w:r>
          </w:p>
        </w:tc>
      </w:tr>
      <w:tr>
        <w:tc>
          <w:tcPr>
            <w:tcW w:type="dxa" w:w="11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Planck HFI</w:t>
            </w:r>
          </w:p>
        </w:tc>
        <w:tc>
          <w:tcPr>
            <w:tcW w:type="dxa" w:w="13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100 GHz</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Continuous</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Each OD</w:t>
            </w:r>
          </w:p>
        </w:tc>
        <w:tc>
          <w:tcPr>
            <w:tcW w:type="dxa" w:w="7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w:t>
            </w:r>
          </w:p>
        </w:tc>
        <w:tc>
          <w:tcPr>
            <w:tcW w:type="dxa" w:w="38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Low: always visible</w:t>
            </w:r>
          </w:p>
        </w:tc>
      </w:tr>
    </w:tbl>
    <w:p>
      <w:pPr>
        <w:spacing w:after="180" w:line="276"/>
      </w:pPr>
      <w:r>
        <w:rPr>
          <w:rFonts w:ascii="Times New Roman" w:cs="Times New Roman" w:eastAsia="Times New Roman" w:hAnsi="Times New Roman"/>
          <w:color w:val="333333"/>
          <w:sz w:val="22"/>
          <w:szCs w:val="22"/>
        </w:rPr>
        <w:t xml:space="preserve"/>
      </w:r>
    </w:p>
    <w:p>
      <w:pPr>
        <w:spacing w:after="180" w:line="276"/>
      </w:pPr>
      <w:r>
        <w:rPr>
          <w:rFonts w:ascii="Times New Roman" w:cs="Times New Roman" w:eastAsia="Times New Roman" w:hAnsi="Times New Roman"/>
          <w:color w:val="333333"/>
          <w:sz w:val="22"/>
          <w:szCs w:val="22"/>
        </w:rPr>
        <w:t xml:space="preserve">The Q factor explains a systematic deprioritization mechanism: high-Q elements are measured during troughs and judged unimportant, justifying further funding cuts, creating a positive feedback loop. The coverage record (Artifact A-4) is the governance instrument that breaks this loop by requiring documented rationale for any deprioritization of a high-Q element.</w:t>
      </w:r>
    </w:p>
    <w:p>
      <w:r>
        <w:br w:type="page"/>
      </w:r>
    </w:p>
    <w:p>
      <w:pPr>
        <w:pStyle w:val="Heading1"/>
        <w:spacing w:after="200" w:before="360"/>
      </w:pPr>
      <w:r>
        <w:rPr>
          <w:rFonts w:ascii="Times New Roman" w:cs="Times New Roman" w:eastAsia="Times New Roman" w:hAnsi="Times New Roman"/>
          <w:b/>
          <w:bCs/>
          <w:color w:val="1F3864"/>
          <w:sz w:val="28"/>
          <w:szCs w:val="28"/>
        </w:rPr>
        <w:t xml:space="preserve">7. Convergence to Ground State</w:t>
      </w:r>
    </w:p>
    <w:p>
      <w:pPr>
        <w:pStyle w:val="Heading2"/>
        <w:spacing w:after="160" w:before="280"/>
      </w:pPr>
      <w:r>
        <w:rPr>
          <w:rFonts w:ascii="Times New Roman" w:cs="Times New Roman" w:eastAsia="Times New Roman" w:hAnsi="Times New Roman"/>
          <w:b/>
          <w:bCs/>
          <w:color w:val="1F3864"/>
          <w:sz w:val="24"/>
          <w:szCs w:val="24"/>
        </w:rPr>
        <w:t xml:space="preserve">7.1 Four Artifacts</w:t>
      </w:r>
    </w:p>
    <w:p>
      <w:pPr>
        <w:spacing w:after="180" w:line="276"/>
      </w:pPr>
      <w:r>
        <w:rPr>
          <w:rFonts w:ascii="Times New Roman" w:cs="Times New Roman" w:eastAsia="Times New Roman" w:hAnsi="Times New Roman"/>
          <w:color w:val="333333"/>
          <w:sz w:val="22"/>
          <w:szCs w:val="22"/>
        </w:rPr>
        <w:t xml:space="preserve">MC-4 produces four standard outputs at each reporting cycle: A-1 (Portfolio Share Table) providing the instantaneous snapshot; A-2 (Trace Report) recording declared reasoning; A-3 (Portfolio Change Log) classifying each change as intentional or silent; A-4 (Coverage Record) documenting deprioritization decisions. All four are plain tabular CSV files that attach to existing governance reporting.</w:t>
      </w:r>
    </w:p>
    <w:p>
      <w:pPr>
        <w:pStyle w:val="Heading2"/>
        <w:spacing w:after="160" w:before="280"/>
      </w:pPr>
      <w:r>
        <w:rPr>
          <w:rFonts w:ascii="Times New Roman" w:cs="Times New Roman" w:eastAsia="Times New Roman" w:hAnsi="Times New Roman"/>
          <w:b/>
          <w:bCs/>
          <w:color w:val="1F3864"/>
          <w:sz w:val="24"/>
          <w:szCs w:val="24"/>
        </w:rPr>
        <w:t xml:space="preserve">7.2 The OCC Theorem</w:t>
      </w:r>
    </w:p>
    <w:p>
      <w:pPr>
        <w:spacing w:after="180" w:line="276"/>
      </w:pPr>
      <w:r>
        <w:rPr>
          <w:rFonts w:ascii="Times New Roman" w:cs="Times New Roman" w:eastAsia="Times New Roman" w:hAnsi="Times New Roman"/>
          <w:b/>
          <w:bCs/>
          <w:color w:val="333333"/>
          <w:sz w:val="22"/>
          <w:szCs w:val="22"/>
        </w:rPr>
        <w:t xml:space="preserve">Theorem 1 (Operator Control). </w:t>
      </w:r>
      <w:r>
        <w:rPr>
          <w:rFonts w:ascii="Times New Roman" w:cs="Times New Roman" w:eastAsia="Times New Roman" w:hAnsi="Times New Roman"/>
          <w:color w:val="333333"/>
          <w:sz w:val="22"/>
          <w:szCs w:val="22"/>
        </w:rPr>
        <w:t xml:space="preserve">Under the OCC 51/49, every governance decision requires w_op ≥ 0.51 operator weight. The tool (HUF) provides diagnostic information with w_tool ≤ 0.49. No automated action is taken without operator declaration. The governance record attributes every decision to a named authority.</w:t>
      </w:r>
    </w:p>
    <w:p>
      <w:pPr>
        <w:pStyle w:val="Heading2"/>
        <w:spacing w:after="160" w:before="280"/>
      </w:pPr>
      <w:r>
        <w:rPr>
          <w:rFonts w:ascii="Times New Roman" w:cs="Times New Roman" w:eastAsia="Times New Roman" w:hAnsi="Times New Roman"/>
          <w:b/>
          <w:bCs/>
          <w:color w:val="1F3864"/>
          <w:sz w:val="24"/>
          <w:szCs w:val="24"/>
        </w:rPr>
        <w:t xml:space="preserve">7.3 Convergence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800"/>
        <w:gridCol w:w="3500"/>
        <w:gridCol w:w="3560"/>
      </w:tblGrid>
      <w:tr>
        <w:tc>
          <w:tcPr>
            <w:tcW w:type="dxa" w:w="15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Stage</w:t>
            </w:r>
          </w:p>
        </w:tc>
        <w:tc>
          <w:tcPr>
            <w:tcW w:type="dxa" w:w="8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Cycle</w:t>
            </w:r>
          </w:p>
        </w:tc>
        <w:tc>
          <w:tcPr>
            <w:tcW w:type="dxa" w:w="35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Observable Properties</w:t>
            </w:r>
          </w:p>
        </w:tc>
        <w:tc>
          <w:tcPr>
            <w:tcW w:type="dxa" w:w="35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Governance Posture</w:t>
            </w:r>
          </w:p>
        </w:tc>
      </w:tr>
      <w:tr>
        <w:tc>
          <w:tcPr>
            <w:tcW w:type="dxa" w:w="1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Baseline</w:t>
            </w:r>
          </w:p>
        </w:tc>
        <w:tc>
          <w:tcPr>
            <w:tcW w:type="dxa" w:w="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w:t>
            </w:r>
          </w:p>
        </w:tc>
        <w:tc>
          <w:tcPr>
            <w:tcW w:type="dxa" w:w="3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First share table; no change log</w:t>
            </w:r>
          </w:p>
        </w:tc>
        <w:tc>
          <w:tcPr>
            <w:tcW w:type="dxa" w:w="3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Establish declared weights</w:t>
            </w:r>
          </w:p>
        </w:tc>
      </w:tr>
      <w:tr>
        <w:tc>
          <w:tcPr>
            <w:tcW w:type="dxa" w:w="1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Trajectory</w:t>
            </w:r>
          </w:p>
        </w:tc>
        <w:tc>
          <w:tcPr>
            <w:tcW w:type="dxa" w:w="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2–3</w:t>
            </w:r>
          </w:p>
        </w:tc>
        <w:tc>
          <w:tcPr>
            <w:tcW w:type="dxa" w:w="3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First inter-cycle comparison; trend visible</w:t>
            </w:r>
          </w:p>
        </w:tc>
        <w:tc>
          <w:tcPr>
            <w:tcW w:type="dxa" w:w="3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Begin classifying changes</w:t>
            </w:r>
          </w:p>
        </w:tc>
      </w:tr>
      <w:tr>
        <w:tc>
          <w:tcPr>
            <w:tcW w:type="dxa" w:w="1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Q-characterization</w:t>
            </w:r>
          </w:p>
        </w:tc>
        <w:tc>
          <w:tcPr>
            <w:tcW w:type="dxa" w:w="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4–6</w:t>
            </w:r>
          </w:p>
        </w:tc>
        <w:tc>
          <w:tcPr>
            <w:tcW w:type="dxa" w:w="3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Element cycles identified; orphan alerts</w:t>
            </w:r>
          </w:p>
        </w:tc>
        <w:tc>
          <w:tcPr>
            <w:tcW w:type="dxa" w:w="3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Phase-aware allocation</w:t>
            </w:r>
          </w:p>
        </w:tc>
      </w:tr>
      <w:tr>
        <w:tc>
          <w:tcPr>
            <w:tcW w:type="dxa" w:w="1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Ground approach</w:t>
            </w:r>
          </w:p>
        </w:tc>
        <w:tc>
          <w:tcPr>
            <w:tcW w:type="dxa" w:w="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7+</w:t>
            </w:r>
          </w:p>
        </w:tc>
        <w:tc>
          <w:tcPr>
            <w:tcW w:type="dxa" w:w="3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MDG declining; PROOF stable</w:t>
            </w:r>
          </w:p>
        </w:tc>
        <w:tc>
          <w:tcPr>
            <w:tcW w:type="dxa" w:w="3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Self-correcting feedback</w:t>
            </w:r>
          </w:p>
        </w:tc>
      </w:tr>
      <w:tr>
        <w:tc>
          <w:tcPr>
            <w:tcW w:type="dxa" w:w="1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Ground state</w:t>
            </w:r>
          </w:p>
        </w:tc>
        <w:tc>
          <w:tcPr>
            <w:tcW w:type="dxa" w:w="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Variable</w:t>
            </w:r>
          </w:p>
        </w:tc>
        <w:tc>
          <w:tcPr>
            <w:tcW w:type="dxa" w:w="3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MDG ≈ 0; all change declared</w:t>
            </w:r>
          </w:p>
        </w:tc>
        <w:tc>
          <w:tcPr>
            <w:tcW w:type="dxa" w:w="3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Self-governing</w:t>
            </w:r>
          </w:p>
        </w:tc>
      </w:tr>
    </w:tbl>
    <w:p>
      <w:pPr>
        <w:spacing w:after="180" w:line="276"/>
      </w:pPr>
      <w:r>
        <w:rPr>
          <w:rFonts w:ascii="Times New Roman" w:cs="Times New Roman" w:eastAsia="Times New Roman" w:hAnsi="Times New Roman"/>
          <w:color w:val="333333"/>
          <w:sz w:val="22"/>
          <w:szCs w:val="22"/>
        </w:rPr>
        <w:t xml:space="preserve"/>
      </w:r>
    </w:p>
    <w:p>
      <w:pPr>
        <w:pStyle w:val="Heading2"/>
        <w:spacing w:after="160" w:before="280"/>
      </w:pPr>
      <w:r>
        <w:rPr>
          <w:rFonts w:ascii="Times New Roman" w:cs="Times New Roman" w:eastAsia="Times New Roman" w:hAnsi="Times New Roman"/>
          <w:b/>
          <w:bCs/>
          <w:color w:val="1F3864"/>
          <w:sz w:val="24"/>
          <w:szCs w:val="24"/>
        </w:rPr>
        <w:t xml:space="preserve">7.4 Institutional Memory (New in v2.0)</w:t>
      </w:r>
    </w:p>
    <w:p>
      <w:pPr>
        <w:spacing w:after="180" w:line="276"/>
      </w:pPr>
      <w:r>
        <w:rPr>
          <w:rFonts w:ascii="Times New Roman" w:cs="Times New Roman" w:eastAsia="Times New Roman" w:hAnsi="Times New Roman"/>
          <w:b/>
          <w:bCs/>
          <w:color w:val="333333"/>
          <w:sz w:val="22"/>
          <w:szCs w:val="22"/>
        </w:rPr>
        <w:t xml:space="preserve">Proposition 7.5. </w:t>
      </w:r>
      <w:r>
        <w:rPr>
          <w:rFonts w:ascii="Times New Roman" w:cs="Times New Roman" w:eastAsia="Times New Roman" w:hAnsi="Times New Roman"/>
          <w:color w:val="333333"/>
          <w:sz w:val="22"/>
          <w:szCs w:val="22"/>
        </w:rPr>
        <w:t xml:space="preserve">A governance system operating under MC-4 accumulates institutional memory at the rate of one portfolio state per reporting cycle, permanently and without additional effort. After n cycles, the institution holds an n-period governance trajectory that is independent of personnel turnover, organizational restructuring, or administrative disruption.</w:t>
      </w:r>
    </w:p>
    <w:p>
      <w:pPr>
        <w:spacing w:after="180" w:line="276"/>
      </w:pPr>
      <w:r>
        <w:rPr>
          <w:rFonts w:ascii="Times New Roman" w:cs="Times New Roman" w:eastAsia="Times New Roman" w:hAnsi="Times New Roman"/>
          <w:color w:val="333333"/>
          <w:sz w:val="22"/>
          <w:szCs w:val="22"/>
        </w:rPr>
        <w:t xml:space="preserve">The value of the institutional memory is non-linear with cycle count. The first two or three cycles provide thin context. By cycle six or seven, the trajectory becomes the most valuable governance document the institution possesses. The record captures not just what happened, but what was declared, what was detected, and what was done about it.</w:t>
      </w:r>
    </w:p>
    <w:p>
      <w:pPr>
        <w:spacing w:after="160" w:before="80"/>
      </w:pPr>
      <w:r>
        <w:rPr>
          <w:rFonts w:ascii="Times New Roman" w:cs="Times New Roman" w:eastAsia="Times New Roman" w:hAnsi="Times New Roman"/>
          <w:i/>
          <w:iCs/>
          <w:color w:val="2E75B6"/>
          <w:sz w:val="20"/>
          <w:szCs w:val="20"/>
        </w:rPr>
        <w:t xml:space="preserve">▶ Proof: Vol 3, Mathematical Foundations</w:t>
      </w:r>
    </w:p>
    <w:p>
      <w:pPr>
        <w:spacing w:after="160" w:before="80"/>
      </w:pPr>
      <w:r>
        <w:rPr>
          <w:rFonts w:ascii="Times New Roman" w:cs="Times New Roman" w:eastAsia="Times New Roman" w:hAnsi="Times New Roman"/>
          <w:i/>
          <w:iCs/>
          <w:color w:val="2E75B6"/>
          <w:sz w:val="20"/>
          <w:szCs w:val="20"/>
        </w:rPr>
        <w:t xml:space="preserve">▶ Operational deployment: Vol 5, Sections 3–5</w:t>
      </w:r>
    </w:p>
    <w:p>
      <w:r>
        <w:br w:type="page"/>
      </w:r>
    </w:p>
    <w:p>
      <w:pPr>
        <w:pStyle w:val="Heading1"/>
        <w:spacing w:after="200" w:before="360"/>
      </w:pPr>
      <w:r>
        <w:rPr>
          <w:rFonts w:ascii="Times New Roman" w:cs="Times New Roman" w:eastAsia="Times New Roman" w:hAnsi="Times New Roman"/>
          <w:b/>
          <w:bCs/>
          <w:color w:val="1F3864"/>
          <w:sz w:val="28"/>
          <w:szCs w:val="28"/>
        </w:rPr>
        <w:t xml:space="preserve">8. Three-Domain Empirical Validation (Expanded in v2.0)</w:t>
      </w:r>
    </w:p>
    <w:p>
      <w:pPr>
        <w:pStyle w:val="Heading2"/>
        <w:spacing w:after="160" w:before="280"/>
      </w:pPr>
      <w:r>
        <w:rPr>
          <w:rFonts w:ascii="Times New Roman" w:cs="Times New Roman" w:eastAsia="Times New Roman" w:hAnsi="Times New Roman"/>
          <w:b/>
          <w:bCs/>
          <w:color w:val="1F3864"/>
          <w:sz w:val="24"/>
          <w:szCs w:val="24"/>
        </w:rPr>
        <w:t xml:space="preserve">8.1 System A: Sourdough Fermentation</w:t>
      </w:r>
    </w:p>
    <w:p>
      <w:pPr>
        <w:spacing w:after="180" w:line="276"/>
      </w:pPr>
      <w:r>
        <w:rPr>
          <w:rFonts w:ascii="Times New Roman" w:cs="Times New Roman" w:eastAsia="Times New Roman" w:hAnsi="Times New Roman"/>
          <w:color w:val="333333"/>
          <w:sz w:val="22"/>
          <w:szCs w:val="22"/>
        </w:rPr>
        <w:t xml:space="preserve">Budget ceiling: 1,000g. Five elements: flour (50.0%), water (35.0%), starter (13.0%), salt (1.8%), yeast (0.12%). Pettitt changepoint test applied to MDG time series across 12 baking cycles: p = 0.021. Yeast leverage 833 (ultra-high Q) confirms that the smallest element carries the highest governance significance. Near ground state: MDG = 1.4pp.</w:t>
      </w:r>
    </w:p>
    <w:p>
      <w:pPr>
        <w:pStyle w:val="Heading2"/>
        <w:spacing w:after="160" w:before="280"/>
      </w:pPr>
      <w:r>
        <w:rPr>
          <w:rFonts w:ascii="Times New Roman" w:cs="Times New Roman" w:eastAsia="Times New Roman" w:hAnsi="Times New Roman"/>
          <w:b/>
          <w:bCs/>
          <w:color w:val="1F3864"/>
          <w:sz w:val="24"/>
          <w:szCs w:val="24"/>
        </w:rPr>
        <w:t xml:space="preserve">8.2 System B: Croatia Ramsar Wetlands</w:t>
      </w:r>
    </w:p>
    <w:p>
      <w:pPr>
        <w:spacing w:after="180" w:line="276"/>
      </w:pPr>
      <w:r>
        <w:rPr>
          <w:rFonts w:ascii="Times New Roman" w:cs="Times New Roman" w:eastAsia="Times New Roman" w:hAnsi="Times New Roman"/>
          <w:color w:val="333333"/>
          <w:sz w:val="22"/>
          <w:szCs w:val="22"/>
        </w:rPr>
        <w:t xml:space="preserve">Budget ceiling: 93,000 hectares. Five Ramsar sites: Lonjsko Polje (55.6%), Kopački rit (24.0%), Neretva Delta (12.0%), Crna Mlaka (0.67%), Vransko jezero (7.7%). Interrupted Time Series analysis: p &lt; 0.0027. Crna Mlaka leverage 149 (high Q). Action window open: MDG = 4.8pp.</w:t>
      </w:r>
    </w:p>
    <w:p>
      <w:pPr>
        <w:spacing w:after="180" w:line="276"/>
      </w:pPr>
      <w:r>
        <w:rPr>
          <w:rFonts w:ascii="Times New Roman" w:cs="Times New Roman" w:eastAsia="Times New Roman" w:hAnsi="Times New Roman"/>
          <w:color w:val="333333"/>
          <w:sz w:val="22"/>
          <w:szCs w:val="22"/>
        </w:rPr>
        <w:t xml:space="preserve">The Croatia analysis provides the policy-relevant case. Crna Mlaka—the smallest site by area—has the highest leverage. Under absolute-metric governance (FM-1), it would be deprioritized as "small." Under ratio state monitoring, its high leverage flags it for governance attention. The coverage record (A-4) would require documented rationale for any reduction in its share.</w:t>
      </w:r>
    </w:p>
    <w:p>
      <w:pPr>
        <w:pStyle w:val="Heading2"/>
        <w:spacing w:after="160" w:before="280"/>
      </w:pPr>
      <w:r>
        <w:rPr>
          <w:rFonts w:ascii="Times New Roman" w:cs="Times New Roman" w:eastAsia="Times New Roman" w:hAnsi="Times New Roman"/>
          <w:b/>
          <w:bCs/>
          <w:color w:val="1F3864"/>
          <w:sz w:val="24"/>
          <w:szCs w:val="24"/>
        </w:rPr>
        <w:t xml:space="preserve">8.3 System C: Software CI/CD Pipeline</w:t>
      </w:r>
    </w:p>
    <w:p>
      <w:pPr>
        <w:spacing w:after="180" w:line="276"/>
      </w:pPr>
      <w:r>
        <w:rPr>
          <w:rFonts w:ascii="Times New Roman" w:cs="Times New Roman" w:eastAsia="Times New Roman" w:hAnsi="Times New Roman"/>
          <w:color w:val="333333"/>
          <w:sz w:val="22"/>
          <w:szCs w:val="22"/>
        </w:rPr>
        <w:t xml:space="preserve">Budget ceiling: total query volume (30-day window). Four namespaces. Fisher exact test: p &lt; 0.0001. Active drift: MDG = 10.0pp. This system operates at completely different temporal and structural scales from Systems A and B, confirming the domain-agnostic claim.</w:t>
      </w:r>
    </w:p>
    <w:p>
      <w:pPr>
        <w:pStyle w:val="Heading2"/>
        <w:spacing w:after="160" w:before="280"/>
      </w:pPr>
      <w:r>
        <w:rPr>
          <w:rFonts w:ascii="Times New Roman" w:cs="Times New Roman" w:eastAsia="Times New Roman" w:hAnsi="Times New Roman"/>
          <w:b/>
          <w:bCs/>
          <w:color w:val="1F3864"/>
          <w:sz w:val="24"/>
          <w:szCs w:val="24"/>
        </w:rPr>
        <w:t xml:space="preserve">8.4 Toronto King Street Pilot (New in v2.0)</w:t>
      </w:r>
    </w:p>
    <w:p>
      <w:pPr>
        <w:spacing w:after="180" w:line="276"/>
      </w:pPr>
      <w:r>
        <w:rPr>
          <w:rFonts w:ascii="Times New Roman" w:cs="Times New Roman" w:eastAsia="Times New Roman" w:hAnsi="Times New Roman"/>
          <w:color w:val="333333"/>
          <w:sz w:val="22"/>
          <w:szCs w:val="22"/>
        </w:rPr>
        <w:t xml:space="preserve">The Toronto TTC King Street Transit Priority Pilot (November 2017) provides a causal validation. ITS analysis of ridership share detected a significant level change at the intervention point (5/5 confirmatory tests passing). The portfolio analysis detected a differential effect that absolute ridership counts obscured—a direct demonstration of FM-1 (Ratio Blindness) in urban planning.</w:t>
      </w:r>
    </w:p>
    <w:p>
      <w:pPr>
        <w:pStyle w:val="Heading2"/>
        <w:spacing w:after="160" w:before="280"/>
      </w:pPr>
      <w:r>
        <w:rPr>
          <w:rFonts w:ascii="Times New Roman" w:cs="Times New Roman" w:eastAsia="Times New Roman" w:hAnsi="Times New Roman"/>
          <w:b/>
          <w:bCs/>
          <w:color w:val="1F3864"/>
          <w:sz w:val="24"/>
          <w:szCs w:val="24"/>
        </w:rPr>
        <w:t xml:space="preserve">8.5 ESA Planck HFI (New in v2.0)</w:t>
      </w:r>
    </w:p>
    <w:p>
      <w:pPr>
        <w:spacing w:after="180" w:line="276"/>
      </w:pPr>
      <w:r>
        <w:rPr>
          <w:rFonts w:ascii="Times New Roman" w:cs="Times New Roman" w:eastAsia="Times New Roman" w:hAnsi="Times New Roman"/>
          <w:color w:val="333333"/>
          <w:sz w:val="22"/>
          <w:szCs w:val="22"/>
        </w:rPr>
        <w:t xml:space="preserve">Pettitt changepoint on the Planck HFI frequency portfolio MDG series returned OD 975 (p &lt; 0.001). ESA’s engineering records document He-4 cryogen exhaustion on January 14, 2012 = OD 975. The HUF analysis identified the exact day of a known physical event from portfolio share data alone. This external validation confirms that the ratio state captures genuine physical information.</w:t>
      </w:r>
    </w:p>
    <w:p>
      <w:pPr>
        <w:spacing w:after="160" w:before="80"/>
      </w:pPr>
      <w:r>
        <w:rPr>
          <w:rFonts w:ascii="Times New Roman" w:cs="Times New Roman" w:eastAsia="Times New Roman" w:hAnsi="Times New Roman"/>
          <w:i/>
          <w:iCs/>
          <w:color w:val="2E75B6"/>
          <w:sz w:val="20"/>
          <w:szCs w:val="20"/>
        </w:rPr>
        <w:t xml:space="preserve">▶ Full Planck analysis: HUF_External_Validation_v1.0.docx</w:t>
      </w:r>
    </w:p>
    <w:p>
      <w:pPr>
        <w:spacing w:after="160" w:before="80"/>
      </w:pPr>
      <w:r>
        <w:rPr>
          <w:rFonts w:ascii="Times New Roman" w:cs="Times New Roman" w:eastAsia="Times New Roman" w:hAnsi="Times New Roman"/>
          <w:i/>
          <w:iCs/>
          <w:color w:val="2E75B6"/>
          <w:sz w:val="20"/>
          <w:szCs w:val="20"/>
        </w:rPr>
        <w:t xml:space="preserve">▶ Full case studies: Vol 2</w:t>
      </w:r>
    </w:p>
    <w:p>
      <w:r>
        <w:br w:type="page"/>
      </w:r>
    </w:p>
    <w:p>
      <w:pPr>
        <w:pStyle w:val="Heading1"/>
        <w:spacing w:after="200" w:before="360"/>
      </w:pPr>
      <w:r>
        <w:rPr>
          <w:rFonts w:ascii="Times New Roman" w:cs="Times New Roman" w:eastAsia="Times New Roman" w:hAnsi="Times New Roman"/>
          <w:b/>
          <w:bCs/>
          <w:color w:val="1F3864"/>
          <w:sz w:val="28"/>
          <w:szCs w:val="28"/>
        </w:rPr>
        <w:t xml:space="preserve">9. Ostrom Design Principles Mapping</w:t>
      </w:r>
    </w:p>
    <w:p>
      <w:pPr>
        <w:spacing w:after="180" w:line="276"/>
      </w:pPr>
      <w:r>
        <w:rPr>
          <w:rFonts w:ascii="Times New Roman" w:cs="Times New Roman" w:eastAsia="Times New Roman" w:hAnsi="Times New Roman"/>
          <w:color w:val="333333"/>
          <w:sz w:val="22"/>
          <w:szCs w:val="22"/>
        </w:rPr>
        <w:t xml:space="preserve">Elinor Ostrom’s eight design principles for long-enduring commons governance [5] provide an independent benchmark for evaluating MC-4. The mapping below shows which HUF mechanisms satisfy each principle: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3200"/>
        <w:gridCol w:w="3060"/>
      </w:tblGrid>
      <w:tr>
        <w:tc>
          <w:tcPr>
            <w:tcW w:type="dxa" w:w="5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DP</w:t>
            </w:r>
          </w:p>
        </w:tc>
        <w:tc>
          <w:tcPr>
            <w:tcW w:type="dxa" w:w="26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Ostrom Principle</w:t>
            </w:r>
          </w:p>
        </w:tc>
        <w:tc>
          <w:tcPr>
            <w:tcW w:type="dxa" w:w="3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HUF Mechanism</w:t>
            </w:r>
          </w:p>
        </w:tc>
        <w:tc>
          <w:tcPr>
            <w:tcW w:type="dxa" w:w="30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Artifact</w:t>
            </w:r>
          </w:p>
        </w:tc>
      </w:tr>
      <w:tr>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w:t>
            </w:r>
          </w:p>
        </w:tc>
        <w:tc>
          <w:tcPr>
            <w:tcW w:type="dxa" w:w="2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Clearly defined boundaries</w:t>
            </w:r>
          </w:p>
        </w:tc>
        <w:tc>
          <w:tcPr>
            <w:tcW w:type="dxa" w:w="3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Budget ceiling; element enumeration</w:t>
            </w:r>
          </w:p>
        </w:tc>
        <w:tc>
          <w:tcPr>
            <w:tcW w:type="dxa" w:w="30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A-1</w:t>
            </w:r>
          </w:p>
        </w:tc>
      </w:tr>
      <w:tr>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w:t>
            </w:r>
          </w:p>
        </w:tc>
        <w:tc>
          <w:tcPr>
            <w:tcW w:type="dxa" w:w="2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Proportional allocation</w:t>
            </w:r>
          </w:p>
        </w:tc>
        <w:tc>
          <w:tcPr>
            <w:tcW w:type="dxa" w:w="3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Unity constraint; share computation</w:t>
            </w:r>
          </w:p>
        </w:tc>
        <w:tc>
          <w:tcPr>
            <w:tcW w:type="dxa" w:w="30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A-1, A-2</w:t>
            </w:r>
          </w:p>
        </w:tc>
      </w:tr>
      <w:tr>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3</w:t>
            </w:r>
          </w:p>
        </w:tc>
        <w:tc>
          <w:tcPr>
            <w:tcW w:type="dxa" w:w="2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Collective-choice arrangements</w:t>
            </w:r>
          </w:p>
        </w:tc>
        <w:tc>
          <w:tcPr>
            <w:tcW w:type="dxa" w:w="3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OCC 51/49; operator declaration</w:t>
            </w:r>
          </w:p>
        </w:tc>
        <w:tc>
          <w:tcPr>
            <w:tcW w:type="dxa" w:w="30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A-2</w:t>
            </w:r>
          </w:p>
        </w:tc>
      </w:tr>
      <w:tr>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4</w:t>
            </w:r>
          </w:p>
        </w:tc>
        <w:tc>
          <w:tcPr>
            <w:tcW w:type="dxa" w:w="2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Monitoring by accountable parties</w:t>
            </w:r>
          </w:p>
        </w:tc>
        <w:tc>
          <w:tcPr>
            <w:tcW w:type="dxa" w:w="3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Change log; drift classification</w:t>
            </w:r>
          </w:p>
        </w:tc>
        <w:tc>
          <w:tcPr>
            <w:tcW w:type="dxa" w:w="30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A-3</w:t>
            </w:r>
          </w:p>
        </w:tc>
      </w:tr>
      <w:tr>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5</w:t>
            </w:r>
          </w:p>
        </w:tc>
        <w:tc>
          <w:tcPr>
            <w:tcW w:type="dxa" w:w="2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Graduated sanctions</w:t>
            </w:r>
          </w:p>
        </w:tc>
        <w:tc>
          <w:tcPr>
            <w:tcW w:type="dxa" w:w="3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MDG thresholds; escalation pathway</w:t>
            </w:r>
          </w:p>
        </w:tc>
        <w:tc>
          <w:tcPr>
            <w:tcW w:type="dxa" w:w="30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A-3</w:t>
            </w:r>
          </w:p>
        </w:tc>
      </w:tr>
      <w:tr>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6</w:t>
            </w:r>
          </w:p>
        </w:tc>
        <w:tc>
          <w:tcPr>
            <w:tcW w:type="dxa" w:w="2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Conflict resolution mechanisms</w:t>
            </w:r>
          </w:p>
        </w:tc>
        <w:tc>
          <w:tcPr>
            <w:tcW w:type="dxa" w:w="3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Trace report; declared rationale</w:t>
            </w:r>
          </w:p>
        </w:tc>
        <w:tc>
          <w:tcPr>
            <w:tcW w:type="dxa" w:w="30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A-2, A-4</w:t>
            </w:r>
          </w:p>
        </w:tc>
      </w:tr>
      <w:tr>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7</w:t>
            </w:r>
          </w:p>
        </w:tc>
        <w:tc>
          <w:tcPr>
            <w:tcW w:type="dxa" w:w="2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Recognition of self-governance</w:t>
            </w:r>
          </w:p>
        </w:tc>
        <w:tc>
          <w:tcPr>
            <w:tcW w:type="dxa" w:w="3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Ground state convergence</w:t>
            </w:r>
          </w:p>
        </w:tc>
        <w:tc>
          <w:tcPr>
            <w:tcW w:type="dxa" w:w="30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All four</w:t>
            </w:r>
          </w:p>
        </w:tc>
      </w:tr>
      <w:tr>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8</w:t>
            </w:r>
          </w:p>
        </w:tc>
        <w:tc>
          <w:tcPr>
            <w:tcW w:type="dxa" w:w="2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Nested enterprises</w:t>
            </w:r>
          </w:p>
        </w:tc>
        <w:tc>
          <w:tcPr>
            <w:tcW w:type="dxa" w:w="3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CDN cross-domain normalization</w:t>
            </w:r>
          </w:p>
        </w:tc>
        <w:tc>
          <w:tcPr>
            <w:tcW w:type="dxa" w:w="30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A-1</w:t>
            </w:r>
          </w:p>
        </w:tc>
      </w:tr>
    </w:tbl>
    <w:p>
      <w:pPr>
        <w:spacing w:after="180" w:line="276"/>
      </w:pPr>
      <w:r>
        <w:rPr>
          <w:rFonts w:ascii="Times New Roman" w:cs="Times New Roman" w:eastAsia="Times New Roman" w:hAnsi="Times New Roman"/>
          <w:color w:val="333333"/>
          <w:sz w:val="22"/>
          <w:szCs w:val="22"/>
        </w:rPr>
        <w:t xml:space="preserve"/>
      </w:r>
    </w:p>
    <w:p>
      <w:pPr>
        <w:spacing w:after="180" w:line="276"/>
      </w:pPr>
      <w:r>
        <w:rPr>
          <w:rFonts w:ascii="Times New Roman" w:cs="Times New Roman" w:eastAsia="Times New Roman" w:hAnsi="Times New Roman"/>
          <w:color w:val="333333"/>
          <w:sz w:val="22"/>
          <w:szCs w:val="22"/>
        </w:rPr>
        <w:t xml:space="preserve">HUF satisfies Design Principles 1 through 7 through its standard artifacts and governance mechanisms. Principle 8 (nested enterprises) is addressed through CDN, which enables comparison across governance levels and domains.</w:t>
      </w:r>
    </w:p>
    <w:p>
      <w:r>
        <w:br w:type="page"/>
      </w:r>
    </w:p>
    <w:p>
      <w:pPr>
        <w:pStyle w:val="Heading1"/>
        <w:spacing w:after="200" w:before="360"/>
      </w:pPr>
      <w:r>
        <w:rPr>
          <w:rFonts w:ascii="Times New Roman" w:cs="Times New Roman" w:eastAsia="Times New Roman" w:hAnsi="Times New Roman"/>
          <w:b/>
          <w:bCs/>
          <w:color w:val="1F3864"/>
          <w:sz w:val="28"/>
          <w:szCs w:val="28"/>
        </w:rPr>
        <w:t xml:space="preserve">10. Open Conjectures from the Collective Review (New in v2.0)</w:t>
      </w:r>
    </w:p>
    <w:p>
      <w:pPr>
        <w:spacing w:after="180" w:line="276"/>
      </w:pPr>
      <w:r>
        <w:rPr>
          <w:rFonts w:ascii="Times New Roman" w:cs="Times New Roman" w:eastAsia="Times New Roman" w:hAnsi="Times New Roman"/>
          <w:color w:val="333333"/>
          <w:sz w:val="22"/>
          <w:szCs w:val="22"/>
        </w:rPr>
        <w:t xml:space="preserve">The Five-AI Collective review (February 2026) produced 13 conjectures that extend the MC-4 framework. Each is labeled [CONJECTURE], indicating it has not been formally proved within the HUF framework. These are candidates for future proof or refutation.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6200"/>
        <w:gridCol w:w="2660"/>
      </w:tblGrid>
      <w:tr>
        <w:tc>
          <w:tcPr>
            <w:tcW w:type="dxa" w:w="5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ID</w:t>
            </w:r>
          </w:p>
        </w:tc>
        <w:tc>
          <w:tcPr>
            <w:tcW w:type="dxa" w:w="6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Conjecture</w:t>
            </w:r>
          </w:p>
        </w:tc>
        <w:tc>
          <w:tcPr>
            <w:tcW w:type="dxa" w:w="26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Status</w:t>
            </w:r>
          </w:p>
        </w:tc>
      </w:tr>
      <w:tr>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G.1</w:t>
            </w:r>
          </w:p>
        </w:tc>
        <w:tc>
          <w:tcPr>
            <w:tcW w:type="dxa" w:w="6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Boundary entropy is maximized at uniform distribution, minimized at full concentration</w:t>
            </w:r>
          </w:p>
        </w:tc>
        <w:tc>
          <w:tcPr>
            <w:tcW w:type="dxa" w:w="26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Open</w:t>
            </w:r>
          </w:p>
        </w:tc>
      </w:tr>
      <w:tr>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G.2</w:t>
            </w:r>
          </w:p>
        </w:tc>
        <w:tc>
          <w:tcPr>
            <w:tcW w:type="dxa" w:w="6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Lyapunov stability: declared-weight fixed point attracts under governance correction</w:t>
            </w:r>
          </w:p>
        </w:tc>
        <w:tc>
          <w:tcPr>
            <w:tcW w:type="dxa" w:w="26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Open</w:t>
            </w:r>
          </w:p>
        </w:tc>
      </w:tr>
      <w:tr>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G.3</w:t>
            </w:r>
          </w:p>
        </w:tc>
        <w:tc>
          <w:tcPr>
            <w:tcW w:type="dxa" w:w="6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MC-4 portfolios show lower variance in site scores than unmonitored portfolios</w:t>
            </w:r>
          </w:p>
        </w:tc>
        <w:tc>
          <w:tcPr>
            <w:tcW w:type="dxa" w:w="26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Testable</w:t>
            </w:r>
          </w:p>
        </w:tc>
      </w:tr>
      <w:tr>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G.4</w:t>
            </w:r>
          </w:p>
        </w:tc>
        <w:tc>
          <w:tcPr>
            <w:tcW w:type="dxa" w:w="6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Every finite collective-action resource with a budget ceiling is a valid HUF domain</w:t>
            </w:r>
          </w:p>
        </w:tc>
        <w:tc>
          <w:tcPr>
            <w:tcW w:type="dxa" w:w="26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Broad claim</w:t>
            </w:r>
          </w:p>
        </w:tc>
      </w:tr>
      <w:tr>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G.5</w:t>
            </w:r>
          </w:p>
        </w:tc>
        <w:tc>
          <w:tcPr>
            <w:tcW w:type="dxa" w:w="6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HUF artifacts satisfy Ostrom DP 1, 2, 4, and 7</w:t>
            </w:r>
          </w:p>
        </w:tc>
        <w:tc>
          <w:tcPr>
            <w:tcW w:type="dxa" w:w="26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Partially mapped</w:t>
            </w:r>
          </w:p>
        </w:tc>
      </w:tr>
      <w:tr>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G.6</w:t>
            </w:r>
          </w:p>
        </w:tc>
        <w:tc>
          <w:tcPr>
            <w:tcW w:type="dxa" w:w="6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Silent drift (FM-2) is the computational analogue of Ostrom monitoring failure</w:t>
            </w:r>
          </w:p>
        </w:tc>
        <w:tc>
          <w:tcPr>
            <w:tcW w:type="dxa" w:w="26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Strong argument</w:t>
            </w:r>
          </w:p>
        </w:tc>
      </w:tr>
      <w:tr>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G.7</w:t>
            </w:r>
          </w:p>
        </w:tc>
        <w:tc>
          <w:tcPr>
            <w:tcW w:type="dxa" w:w="6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Change log is a sufficient implementation of Ostrom DP 4</w:t>
            </w:r>
          </w:p>
        </w:tc>
        <w:tc>
          <w:tcPr>
            <w:tcW w:type="dxa" w:w="26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Plausible</w:t>
            </w:r>
          </w:p>
        </w:tc>
      </w:tr>
      <w:tr>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G.8</w:t>
            </w:r>
          </w:p>
        </w:tc>
        <w:tc>
          <w:tcPr>
            <w:tcW w:type="dxa" w:w="6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Ground state satisfies Ostrom self-governing commons conditions</w:t>
            </w:r>
          </w:p>
        </w:tc>
        <w:tc>
          <w:tcPr>
            <w:tcW w:type="dxa" w:w="26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Connects to convergence</w:t>
            </w:r>
          </w:p>
        </w:tc>
      </w:tr>
      <w:tr>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G.9</w:t>
            </w:r>
          </w:p>
        </w:tc>
        <w:tc>
          <w:tcPr>
            <w:tcW w:type="dxa" w:w="6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Sensitivity parameter s scales as ~1/Q</w:t>
            </w:r>
          </w:p>
        </w:tc>
        <w:tc>
          <w:tcPr>
            <w:tcW w:type="dxa" w:w="26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Operational link</w:t>
            </w:r>
          </w:p>
        </w:tc>
      </w:tr>
      <w:tr>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G.10</w:t>
            </w:r>
          </w:p>
        </w:tc>
        <w:tc>
          <w:tcPr>
            <w:tcW w:type="dxa" w:w="6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Per-cycle drift rate d scales as ~1 − 1/Q</w:t>
            </w:r>
          </w:p>
        </w:tc>
        <w:tc>
          <w:tcPr>
            <w:tcW w:type="dxa" w:w="26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Drift dynamics</w:t>
            </w:r>
          </w:p>
        </w:tc>
      </w:tr>
      <w:tr>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G.11</w:t>
            </w:r>
          </w:p>
        </w:tc>
        <w:tc>
          <w:tcPr>
            <w:tcW w:type="dxa" w:w="6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Non-linear Lyapunov function exists for governance correction map</w:t>
            </w:r>
          </w:p>
        </w:tc>
        <w:tc>
          <w:tcPr>
            <w:tcW w:type="dxa" w:w="26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Hardest open problem</w:t>
            </w:r>
          </w:p>
        </w:tc>
      </w:tr>
      <w:tr>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G.12</w:t>
            </w:r>
          </w:p>
        </w:tc>
        <w:tc>
          <w:tcPr>
            <w:tcW w:type="dxa" w:w="6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HUF detects silent supplier concentration in procurement portfolios</w:t>
            </w:r>
          </w:p>
        </w:tc>
        <w:tc>
          <w:tcPr>
            <w:tcW w:type="dxa" w:w="26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Testable</w:t>
            </w:r>
          </w:p>
        </w:tc>
      </w:tr>
      <w:tr>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G.13</w:t>
            </w:r>
          </w:p>
        </w:tc>
        <w:tc>
          <w:tcPr>
            <w:tcW w:type="dxa" w:w="6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HUF detects silent model-capability concentration in AI portfolios</w:t>
            </w:r>
          </w:p>
        </w:tc>
        <w:tc>
          <w:tcPr>
            <w:tcW w:type="dxa" w:w="26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Proposed by Grok</w:t>
            </w:r>
          </w:p>
        </w:tc>
      </w:tr>
    </w:tbl>
    <w:p>
      <w:r>
        <w:br w:type="page"/>
      </w:r>
    </w:p>
    <w:p>
      <w:pPr>
        <w:pStyle w:val="Heading1"/>
        <w:spacing w:after="200" w:before="360"/>
      </w:pPr>
      <w:r>
        <w:rPr>
          <w:rFonts w:ascii="Times New Roman" w:cs="Times New Roman" w:eastAsia="Times New Roman" w:hAnsi="Times New Roman"/>
          <w:b/>
          <w:bCs/>
          <w:color w:val="1F3864"/>
          <w:sz w:val="28"/>
          <w:szCs w:val="28"/>
        </w:rPr>
        <w:t xml:space="preserve">11. Discussion</w:t>
      </w:r>
    </w:p>
    <w:p>
      <w:pPr>
        <w:pStyle w:val="Heading2"/>
        <w:spacing w:after="160" w:before="280"/>
      </w:pPr>
      <w:r>
        <w:rPr>
          <w:rFonts w:ascii="Times New Roman" w:cs="Times New Roman" w:eastAsia="Times New Roman" w:hAnsi="Times New Roman"/>
          <w:b/>
          <w:bCs/>
          <w:color w:val="1F3864"/>
          <w:sz w:val="24"/>
          <w:szCs w:val="24"/>
        </w:rPr>
        <w:t xml:space="preserve">11.1 What MC-4 Is Not</w:t>
      </w:r>
    </w:p>
    <w:p>
      <w:pPr>
        <w:spacing w:after="180" w:line="276"/>
      </w:pPr>
      <w:r>
        <w:rPr>
          <w:rFonts w:ascii="Times New Roman" w:cs="Times New Roman" w:eastAsia="Times New Roman" w:hAnsi="Times New Roman"/>
          <w:color w:val="333333"/>
          <w:sz w:val="22"/>
          <w:szCs w:val="22"/>
        </w:rPr>
        <w:t xml:space="preserve">MC-4 does not replace domain-specific assessment. It does not provide ecological, engineering, or financial expertise. It does not independently verify the accuracy of declared data. It does not compel corrective action. MC-4 is a governance diagnostic: it makes the gap between declared intent and observed allocation visible, attributable, and traceable across reporting cycles.</w:t>
      </w:r>
    </w:p>
    <w:p>
      <w:pPr>
        <w:pStyle w:val="Heading2"/>
        <w:spacing w:after="160" w:before="280"/>
      </w:pPr>
      <w:r>
        <w:rPr>
          <w:rFonts w:ascii="Times New Roman" w:cs="Times New Roman" w:eastAsia="Times New Roman" w:hAnsi="Times New Roman"/>
          <w:b/>
          <w:bCs/>
          <w:color w:val="1F3864"/>
          <w:sz w:val="24"/>
          <w:szCs w:val="24"/>
        </w:rPr>
        <w:t xml:space="preserve">11.2 Limitations</w:t>
      </w:r>
    </w:p>
    <w:p>
      <w:pPr>
        <w:spacing w:after="180" w:line="276"/>
      </w:pPr>
      <w:r>
        <w:rPr>
          <w:rFonts w:ascii="Times New Roman" w:cs="Times New Roman" w:eastAsia="Times New Roman" w:hAnsi="Times New Roman"/>
          <w:color w:val="333333"/>
          <w:sz w:val="22"/>
          <w:szCs w:val="22"/>
        </w:rPr>
        <w:t xml:space="preserve">The framework assumes: (a) a well-defined budget ceiling exists, (b) element shares can be computed from available data, (c) declared weights are provided in good faith, and (d) the governance system has the capacity to respond to detected drift. When any of these assumptions fails, MC-4’s diagnostic value degrades. In particular, fabricated declarations would produce an accurate record of a false history—the institutional memory theorem records what was declared, not whether it was true.</w:t>
      </w:r>
    </w:p>
    <w:p>
      <w:pPr>
        <w:pStyle w:val="Heading2"/>
        <w:spacing w:after="160" w:before="280"/>
      </w:pPr>
      <w:r>
        <w:rPr>
          <w:rFonts w:ascii="Times New Roman" w:cs="Times New Roman" w:eastAsia="Times New Roman" w:hAnsi="Times New Roman"/>
          <w:b/>
          <w:bCs/>
          <w:color w:val="1F3864"/>
          <w:sz w:val="24"/>
          <w:szCs w:val="24"/>
        </w:rPr>
        <w:t xml:space="preserve">11.3 Relationship to Companion Work</w:t>
      </w:r>
    </w:p>
    <w:p>
      <w:pPr>
        <w:spacing w:after="180" w:line="276"/>
      </w:pPr>
      <w:r>
        <w:rPr>
          <w:rFonts w:ascii="Times New Roman" w:cs="Times New Roman" w:eastAsia="Times New Roman" w:hAnsi="Times New Roman"/>
          <w:color w:val="333333"/>
          <w:sz w:val="22"/>
          <w:szCs w:val="22"/>
        </w:rPr>
        <w:t xml:space="preserve">This paper (Pillar 2) addresses HOW HUF observes. The companion paper (Pillar 1: The Sufficiency Frontier) addresses WHAT HUF extracts from data. The nine volumes of the HUF Triad address operational implementation, empirical evidence, mathematical foundations, and domain-specific applications. Together, the three structures form a complete framework.</w:t>
      </w:r>
    </w:p>
    <w:p>
      <w:pPr>
        <w:spacing w:after="160" w:before="80"/>
      </w:pPr>
      <w:r>
        <w:rPr>
          <w:rFonts w:ascii="Times New Roman" w:cs="Times New Roman" w:eastAsia="Times New Roman" w:hAnsi="Times New Roman"/>
          <w:i/>
          <w:iCs/>
          <w:color w:val="2E75B6"/>
          <w:sz w:val="20"/>
          <w:szCs w:val="20"/>
        </w:rPr>
        <w:t xml:space="preserve">▶ Companion paper: Pillar 1, The Sufficiency Frontier</w:t>
      </w:r>
    </w:p>
    <w:p>
      <w:pPr>
        <w:spacing w:after="160" w:before="80"/>
      </w:pPr>
      <w:r>
        <w:rPr>
          <w:rFonts w:ascii="Times New Roman" w:cs="Times New Roman" w:eastAsia="Times New Roman" w:hAnsi="Times New Roman"/>
          <w:i/>
          <w:iCs/>
          <w:color w:val="2E75B6"/>
          <w:sz w:val="20"/>
          <w:szCs w:val="20"/>
        </w:rPr>
        <w:t xml:space="preserve">▶ Triad overview: Vol 8, The Triad Synthesis</w:t>
      </w:r>
    </w:p>
    <w:p>
      <w:pPr>
        <w:pStyle w:val="Heading1"/>
        <w:spacing w:after="200" w:before="360"/>
      </w:pPr>
      <w:r>
        <w:rPr>
          <w:rFonts w:ascii="Times New Roman" w:cs="Times New Roman" w:eastAsia="Times New Roman" w:hAnsi="Times New Roman"/>
          <w:b/>
          <w:bCs/>
          <w:color w:val="1F3864"/>
          <w:sz w:val="28"/>
          <w:szCs w:val="28"/>
        </w:rPr>
        <w:t xml:space="preserve">12. Conclusion</w:t>
      </w:r>
    </w:p>
    <w:p>
      <w:pPr>
        <w:spacing w:after="180" w:line="276"/>
      </w:pPr>
      <w:r>
        <w:rPr>
          <w:rFonts w:ascii="Times New Roman" w:cs="Times New Roman" w:eastAsia="Times New Roman" w:hAnsi="Times New Roman"/>
          <w:color w:val="333333"/>
          <w:sz w:val="22"/>
          <w:szCs w:val="22"/>
        </w:rPr>
        <w:t xml:space="preserve">Ratio State Monitoring (MC-4) is a structurally distinct monitoring category that detects silent drift in finite-budget systems by comparing observed allocation against declared intent. Its mathematical basis—the degenerate state observer on the probability simplex—requires no dynamic model, no external threshold, and no domain-specific calibration. Its practical output—four standard artifacts attached to existing governance reporting—provides an institutional memory that accumulates at one state per cycle, permanently.</w:t>
      </w:r>
    </w:p>
    <w:p>
      <w:pPr>
        <w:spacing w:after="180" w:line="276"/>
      </w:pPr>
      <w:r>
        <w:rPr>
          <w:rFonts w:ascii="Times New Roman" w:cs="Times New Roman" w:eastAsia="Times New Roman" w:hAnsi="Times New Roman"/>
          <w:color w:val="333333"/>
          <w:sz w:val="22"/>
          <w:szCs w:val="22"/>
        </w:rPr>
        <w:t xml:space="preserve">Three-domain confirmation across biological, ecological, and digital systems demonstrates domain-agnostic applicability. External validation on ESA Planck satellite data demonstrates that the ratio state carries genuine physical information. Thirteen open conjectures define the research frontier for formal extension.</w:t>
      </w:r>
    </w:p>
    <w:p>
      <w:pPr>
        <w:spacing w:after="180" w:line="276"/>
      </w:pPr>
      <w:r>
        <w:rPr>
          <w:rFonts w:ascii="Times New Roman" w:cs="Times New Roman" w:eastAsia="Times New Roman" w:hAnsi="Times New Roman"/>
          <w:color w:val="333333"/>
          <w:sz w:val="22"/>
          <w:szCs w:val="22"/>
        </w:rPr>
        <w:t xml:space="preserve">MC-4 does not decide; it makes visible. The operator retains majority control (OCC 51/49). The governance record attributes every detection, every response, and every non-response to a named authority. What was invisible becomes traceable. What was silent becomes documented.</w:t>
      </w:r>
    </w:p>
    <w:p>
      <w:pPr>
        <w:spacing w:after="180" w:line="276"/>
      </w:pPr>
      <w:r>
        <w:rPr>
          <w:rFonts w:ascii="Times New Roman" w:cs="Times New Roman" w:eastAsia="Times New Roman" w:hAnsi="Times New Roman"/>
          <w:color w:val="333333"/>
          <w:sz w:val="22"/>
          <w:szCs w:val="22"/>
        </w:rPr>
        <w:t xml:space="preserve"/>
      </w:r>
    </w:p>
    <w:p>
      <w:pPr>
        <w:spacing w:after="180" w:line="276"/>
      </w:pPr>
      <w:r>
        <w:rPr>
          <w:rFonts w:ascii="Times New Roman" w:cs="Times New Roman" w:eastAsia="Times New Roman" w:hAnsi="Times New Roman"/>
          <w:i/>
          <w:iCs/>
          <w:color w:val="333333"/>
          <w:sz w:val="22"/>
          <w:szCs w:val="22"/>
        </w:rPr>
        <w:t xml:space="preserve">Nothing claims more than the artifacts support.</w:t>
      </w:r>
    </w:p>
    <w:p>
      <w:r>
        <w:br w:type="page"/>
      </w:r>
    </w:p>
    <w:p>
      <w:pPr>
        <w:pStyle w:val="Heading1"/>
        <w:spacing w:after="200" w:before="360"/>
      </w:pPr>
      <w:r>
        <w:rPr>
          <w:rFonts w:ascii="Times New Roman" w:cs="Times New Roman" w:eastAsia="Times New Roman" w:hAnsi="Times New Roman"/>
          <w:b/>
          <w:bCs/>
          <w:color w:val="1F3864"/>
          <w:sz w:val="28"/>
          <w:szCs w:val="28"/>
        </w:rPr>
        <w:t xml:space="preserve">References</w:t>
      </w:r>
    </w:p>
    <w:p>
      <w:pPr>
        <w:spacing w:after="180" w:line="276"/>
      </w:pPr>
      <w:r>
        <w:rPr>
          <w:rFonts w:ascii="Times New Roman" w:cs="Times New Roman" w:eastAsia="Times New Roman" w:hAnsi="Times New Roman"/>
          <w:color w:val="333333"/>
          <w:sz w:val="22"/>
          <w:szCs w:val="22"/>
        </w:rPr>
        <w:t xml:space="preserve">[1] A. Spellerberg, "Monitoring ecological change," 2nd ed. Cambridge University Press, 2005.</w:t>
      </w:r>
    </w:p>
    <w:p>
      <w:pPr>
        <w:spacing w:after="180" w:line="276"/>
      </w:pPr>
      <w:r>
        <w:rPr>
          <w:rFonts w:ascii="Times New Roman" w:cs="Times New Roman" w:eastAsia="Times New Roman" w:hAnsi="Times New Roman"/>
          <w:color w:val="333333"/>
          <w:sz w:val="22"/>
          <w:szCs w:val="22"/>
        </w:rPr>
        <w:t xml:space="preserve">[2] D. Lindenmayer and G. Likens, "Effective ecological monitoring," CSIRO Publishing, 2010.</w:t>
      </w:r>
    </w:p>
    <w:p>
      <w:pPr>
        <w:spacing w:after="180" w:line="276"/>
      </w:pPr>
      <w:r>
        <w:rPr>
          <w:rFonts w:ascii="Times New Roman" w:cs="Times New Roman" w:eastAsia="Times New Roman" w:hAnsi="Times New Roman"/>
          <w:color w:val="333333"/>
          <w:sz w:val="22"/>
          <w:szCs w:val="22"/>
        </w:rPr>
        <w:t xml:space="preserve">[3] P. Higgins, "HUF Handbook v1.2.0," Rogue Wave Audio, 2026.</w:t>
      </w:r>
    </w:p>
    <w:p>
      <w:pPr>
        <w:spacing w:after="180" w:line="276"/>
      </w:pPr>
      <w:r>
        <w:rPr>
          <w:rFonts w:ascii="Times New Roman" w:cs="Times New Roman" w:eastAsia="Times New Roman" w:hAnsi="Times New Roman"/>
          <w:color w:val="333333"/>
          <w:sz w:val="22"/>
          <w:szCs w:val="22"/>
        </w:rPr>
        <w:t xml:space="preserve">[4] D. Luenberger, "Observing the state of a linear system," IEEE Trans. Mil. Electron., vol. 8, pp. 74–80, 1964.</w:t>
      </w:r>
    </w:p>
    <w:p>
      <w:pPr>
        <w:spacing w:after="180" w:line="276"/>
      </w:pPr>
      <w:r>
        <w:rPr>
          <w:rFonts w:ascii="Times New Roman" w:cs="Times New Roman" w:eastAsia="Times New Roman" w:hAnsi="Times New Roman"/>
          <w:color w:val="333333"/>
          <w:sz w:val="22"/>
          <w:szCs w:val="22"/>
        </w:rPr>
        <w:t xml:space="preserve">[5] E. Ostrom, "Governing the Commons," Cambridge University Press, 1990.</w:t>
      </w:r>
    </w:p>
    <w:p>
      <w:pPr>
        <w:spacing w:after="180" w:line="276"/>
      </w:pPr>
      <w:r>
        <w:rPr>
          <w:rFonts w:ascii="Times New Roman" w:cs="Times New Roman" w:eastAsia="Times New Roman" w:hAnsi="Times New Roman"/>
          <w:color w:val="333333"/>
          <w:sz w:val="22"/>
          <w:szCs w:val="22"/>
        </w:rPr>
        <w:t xml:space="preserve">[6] J. Aitchison, "The statistical analysis of compositional data," J.R. Stat. Soc. B, vol. 44, pp. 139–177, 1982.</w:t>
      </w:r>
    </w:p>
    <w:p>
      <w:pPr>
        <w:spacing w:after="180" w:line="276"/>
      </w:pPr>
      <w:r>
        <w:rPr>
          <w:rFonts w:ascii="Times New Roman" w:cs="Times New Roman" w:eastAsia="Times New Roman" w:hAnsi="Times New Roman"/>
          <w:color w:val="333333"/>
          <w:sz w:val="22"/>
          <w:szCs w:val="22"/>
        </w:rPr>
        <w:t xml:space="preserve">[7] R.A. Fisher, "On the mathematical foundations of theoretical statistics," Phil. Trans. R. Soc. A, vol. 222, pp. 309–368, 1922.</w:t>
      </w:r>
    </w:p>
    <w:p>
      <w:pPr>
        <w:spacing w:after="180" w:line="276"/>
      </w:pPr>
      <w:r>
        <w:rPr>
          <w:rFonts w:ascii="Times New Roman" w:cs="Times New Roman" w:eastAsia="Times New Roman" w:hAnsi="Times New Roman"/>
          <w:color w:val="333333"/>
          <w:sz w:val="22"/>
          <w:szCs w:val="22"/>
        </w:rPr>
        <w:t xml:space="preserve">[8] W.A. Shewhart, "Economic Control of Quality of Manufactured Product," Van Nostrand, 1931.</w:t>
      </w:r>
    </w:p>
    <w:p>
      <w:pPr>
        <w:spacing w:after="180" w:line="276"/>
      </w:pPr>
      <w:r>
        <w:rPr>
          <w:rFonts w:ascii="Times New Roman" w:cs="Times New Roman" w:eastAsia="Times New Roman" w:hAnsi="Times New Roman"/>
          <w:color w:val="333333"/>
          <w:sz w:val="22"/>
          <w:szCs w:val="22"/>
        </w:rPr>
        <w:t xml:space="preserve">[9] Planck Collaboration, "Planck 2013 results. I. Overview," Astron. Astrophys., vol. 571, A1, 2014.</w:t>
      </w:r>
    </w:p>
    <w:p>
      <w:pPr>
        <w:spacing w:after="180" w:line="276"/>
      </w:pPr>
      <w:r>
        <w:rPr>
          <w:rFonts w:ascii="Times New Roman" w:cs="Times New Roman" w:eastAsia="Times New Roman" w:hAnsi="Times New Roman"/>
          <w:color w:val="333333"/>
          <w:sz w:val="22"/>
          <w:szCs w:val="22"/>
        </w:rPr>
        <w:t xml:space="preserve">[10] A.N. Pettitt, "A non-parametric approach to the change-point problem," Appl. Stat., vol. 28, pp. 126–135, 1979.</w:t>
      </w:r>
    </w:p>
    <w:p>
      <w:pPr>
        <w:spacing w:after="180" w:line="276"/>
      </w:pPr>
      <w:r>
        <w:rPr>
          <w:rFonts w:ascii="Times New Roman" w:cs="Times New Roman" w:eastAsia="Times New Roman" w:hAnsi="Times New Roman"/>
          <w:color w:val="333333"/>
          <w:sz w:val="22"/>
          <w:szCs w:val="22"/>
        </w:rPr>
        <w:t xml:space="preserve">[11] P. Higgins, "The Sufficiency Frontier," HUF Triad Pillar 1, v3.0, 2026.</w:t>
      </w:r>
    </w:p>
    <w:p>
      <w:pPr>
        <w:spacing w:after="180" w:line="276"/>
      </w:pPr>
      <w:r>
        <w:rPr>
          <w:rFonts w:ascii="Times New Roman" w:cs="Times New Roman" w:eastAsia="Times New Roman" w:hAnsi="Times New Roman"/>
          <w:color w:val="333333"/>
          <w:sz w:val="22"/>
          <w:szCs w:val="22"/>
        </w:rPr>
        <w:t xml:space="preserve">[12] P. Higgins, "The HUF Triad: Volume 8, Synthesis," v1.0, 2026.</w:t>
      </w:r>
    </w:p>
    <w:p>
      <w:pPr>
        <w:spacing w:after="180" w:line="276"/>
      </w:pPr>
      <w:r>
        <w:rPr>
          <w:rFonts w:ascii="Times New Roman" w:cs="Times New Roman" w:eastAsia="Times New Roman" w:hAnsi="Times New Roman"/>
          <w:color w:val="333333"/>
          <w:sz w:val="22"/>
          <w:szCs w:val="22"/>
        </w:rPr>
        <w:t xml:space="preserve">[13] R.E. Kalman, "A new approach to linear filtering and prediction problems," J. Basic Eng., vol. 82, pp. 35–45, 1960.</w:t>
      </w:r>
    </w:p>
    <w:p>
      <w:pPr>
        <w:spacing w:after="180" w:line="276"/>
      </w:pPr>
      <w:r>
        <w:rPr>
          <w:rFonts w:ascii="Times New Roman" w:cs="Times New Roman" w:eastAsia="Times New Roman" w:hAnsi="Times New Roman"/>
          <w:color w:val="333333"/>
          <w:sz w:val="22"/>
          <w:szCs w:val="22"/>
        </w:rPr>
        <w:t xml:space="preserve">[14] J.L. Fleiss et al., "Statistical Methods for Rates and Proportions," 3rd ed. Wiley, 2003.</w:t>
      </w:r>
    </w:p>
    <w:p>
      <w:pPr>
        <w:spacing w:after="180" w:line="276"/>
      </w:pPr>
      <w:r>
        <w:rPr>
          <w:rFonts w:ascii="Times New Roman" w:cs="Times New Roman" w:eastAsia="Times New Roman" w:hAnsi="Times New Roman"/>
          <w:color w:val="333333"/>
          <w:sz w:val="22"/>
          <w:szCs w:val="22"/>
        </w:rPr>
        <w:t xml:space="preserve">[15] T.M. Cover and J.A. Thomas, "Elements of Information Theory," 2nd ed. Wiley, 2006.</w:t>
      </w:r>
    </w:p>
    <w:p>
      <w:pPr>
        <w:spacing w:after="180" w:line="276"/>
      </w:pPr>
      <w:r>
        <w:rPr>
          <w:rFonts w:ascii="Times New Roman" w:cs="Times New Roman" w:eastAsia="Times New Roman" w:hAnsi="Times New Roman"/>
          <w:color w:val="333333"/>
          <w:sz w:val="22"/>
          <w:szCs w:val="22"/>
        </w:rPr>
        <w:t xml:space="preserve">[16] D.L. Donoho, "Compressed sensing," IEEE Trans. Inf. Theory, vol. 52, pp. 1289–1306, 2006.</w:t>
      </w:r>
    </w:p>
    <w:p>
      <w:pPr>
        <w:spacing w:after="180" w:line="276"/>
      </w:pPr>
      <w:r>
        <w:rPr>
          <w:rFonts w:ascii="Times New Roman" w:cs="Times New Roman" w:eastAsia="Times New Roman" w:hAnsi="Times New Roman"/>
          <w:color w:val="333333"/>
          <w:sz w:val="22"/>
          <w:szCs w:val="22"/>
        </w:rPr>
        <w:t xml:space="preserve">[17] L. Boltzmann, "Weitere Studien über das Wärmegleichgewicht," Sitzungsber. Akad. Wiss. Wien, vol. 66, pp. 275–370, 1872.</w:t>
      </w:r>
    </w:p>
    <w:p>
      <w:pPr>
        <w:spacing w:after="180" w:line="276"/>
      </w:pPr>
      <w:r>
        <w:rPr>
          <w:rFonts w:ascii="Times New Roman" w:cs="Times New Roman" w:eastAsia="Times New Roman" w:hAnsi="Times New Roman"/>
          <w:color w:val="333333"/>
          <w:sz w:val="22"/>
          <w:szCs w:val="22"/>
        </w:rPr>
        <w:t xml:space="preserve">[18] J. Aitchison and J.A.C. Brown, "The Lognormal Distribution," Cambridge University Press, 1957.</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Times New Roman" w:cs="Times New Roman" w:eastAsia="Times New Roman" w:hAnsi="Times New Roman"/>
        <w:color w:val="999999"/>
        <w:sz w:val="16"/>
        <w:szCs w:val="16"/>
      </w:rPr>
      <w:t xml:space="preserve">HUF v1.2.0 · MIT License · </w:t>
    </w:r>
    <w:r>
      <w:rPr>
        <w:rFonts w:ascii="Times New Roman" w:cs="Times New Roman" w:eastAsia="Times New Roman" w:hAnsi="Times New Roman"/>
        <w:color w:val="999999"/>
        <w:sz w:val="16"/>
        <w:szCs w:val="16"/>
      </w:rPr>
      <w:t xml:space="preserve">Page </w:t>
    </w:r>
    <w:r>
      <w:rPr>
        <w:rFonts w:ascii="Times New Roman" w:cs="Times New Roman" w:eastAsia="Times New Roman" w:hAnsi="Times New Roman"/>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jc w:val="center"/>
    </w:pPr>
    <w:r>
      <w:rPr>
        <w:rFonts w:ascii="Times New Roman" w:cs="Times New Roman" w:eastAsia="Times New Roman" w:hAnsi="Times New Roman"/>
        <w:color w:val="2E75B6"/>
        <w:sz w:val="18"/>
        <w:szCs w:val="18"/>
      </w:rPr>
      <w:t xml:space="preserve">HUF Triad — Pillar 2</w:t>
    </w:r>
    <w:r>
      <w:rPr>
        <w:rFonts w:ascii="Times New Roman" w:cs="Times New Roman" w:eastAsia="Times New Roman" w:hAnsi="Times New Roman"/>
        <w:i/>
        <w:iCs/>
        <w:color w:val="2E75B6"/>
        <w:sz w:val="18"/>
        <w:szCs w:val="18"/>
      </w:rPr>
      <w:t xml:space="preserve">	The Fourth Monitoring Category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color w:val="1F3864"/>
      <w:sz w:val="28"/>
      <w:szCs w:val="28"/>
    </w:rPr>
  </w:style>
  <w:style w:type="paragraph" w:styleId="Heading2">
    <w:name w:val="Heading 2"/>
    <w:basedOn w:val="Normal"/>
    <w:next w:val="Normal"/>
    <w:qFormat/>
    <w:pPr>
      <w:spacing w:after="160" w:before="280"/>
      <w:outlineLvl w:val="1"/>
    </w:pPr>
    <w:rPr>
      <w:rFonts w:ascii="Times New Roman" w:cs="Times New Roman" w:eastAsia="Times New Roman" w:hAnsi="Times New Roman"/>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2026-03-09T06:28:15.758Z</dcterms:created>
  <dcterms:modified xsi:type="dcterms:W3CDTF">2026-03-09T06:28:15.759Z</dcterms:modified>
</cp:coreProperties>
</file>

<file path=docProps/custom.xml><?xml version="1.0" encoding="utf-8"?>
<Properties xmlns="http://schemas.openxmlformats.org/officeDocument/2006/custom-properties" xmlns:vt="http://schemas.openxmlformats.org/officeDocument/2006/docPropsVTypes"/>
</file>