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FOURTH MONITORING CATEGORY</w:t>
      </w:r>
    </w:p>
    <w:p>
      <w:pPr>
        <w:spacing w:after="100"/>
        <w:jc w:val="center"/>
      </w:pPr>
      <w:r>
        <w:rPr>
          <w:rFonts w:ascii="Times New Roman" w:cs="Times New Roman" w:eastAsia="Times New Roman" w:hAnsi="Times New Roman"/>
          <w:color w:val="2E75B6"/>
          <w:sz w:val="28"/>
          <w:szCs w:val="28"/>
        </w:rPr>
        <w:t xml:space="preserve">Ratio State Monitoring as a Degenerate State Observer</w:t>
      </w:r>
    </w:p>
    <w:p>
      <w:pPr>
        <w:spacing w:before="400"/>
      </w:pPr>
    </w:p>
    <w:p>
      <w:pPr>
        <w:spacing w:after="80"/>
        <w:jc w:val="center"/>
      </w:pPr>
      <w:r>
        <w:rPr>
          <w:rFonts w:ascii="Times New Roman" w:cs="Times New Roman" w:eastAsia="Times New Roman" w:hAnsi="Times New Roman"/>
          <w:i/>
          <w:iCs/>
          <w:color w:val="333333"/>
          <w:sz w:val="24"/>
          <w:szCs w:val="24"/>
        </w:rPr>
        <w:t xml:space="preserve">Pillar 2 of the HUF Triad · Version 2.2</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Three monitoring categories are established in the environmental and governance literature: Passive (MC-1), Mandated (MC-2), and Question-driven (MC-3). This paper introduces a fourth: Ratio State Monitoring (MC-4). MC-4 is structurally distinct from its predecessors in five properties: it is self-referential (uses the system’s own declared intent as its reference), non-invasive (reads existing outputs), model-free (requires no mathematical model), bidirectional (detects concentration and fragmentation under the same constraint), and cross-cycle (produces a traceable governance record across all reporting periods). The mathematical basis is the degenerate state observer: on the probability simplex, the state IS the output, the estimation gain is zero, and the estimation error is identically zero without requiring a dynamic model. We identify six structurally invisible failure modes, derive the Quality Factor Q that explains systematic underweighting of high-cycle elements, map the framework to Ostrom’s design principles for commons governance, and present three-domain empirical confirmation. This expanded version (v2.1) includes the Car/Fuel Dashboard analogy for intuitive understanding of MC-4 monitoring, plus full data tables, Toronto King Street causal analysis, 13 open conjectures from the collective review, and cross-references to the HUF Triad.</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Monitoring is the systematic observation of a system’s state for the purpose of informing governance decisions. The ecological monitoring literature recognizes three categories, distinguished by their reference standard: Passive monitoring (MC-1) observes without a structured reference; Mandated monitoring (MC-2) compares against external legal thresholds; Question-driven monitoring (MC-3) tests a conceptual model [1, 2].</w:t>
      </w:r>
    </w:p>
    <w:p>
      <w:pPr>
        <w:spacing w:after="180" w:line="276"/>
      </w:pPr>
      <w:r>
        <w:rPr>
          <w:rFonts w:ascii="Times New Roman" w:cs="Times New Roman" w:eastAsia="Times New Roman" w:hAnsi="Times New Roman"/>
          <w:color w:val="333333"/>
          <w:sz w:val="22"/>
          <w:szCs w:val="22"/>
        </w:rPr>
        <w:t xml:space="preserve">Each category has a blind spot. MC-1 detects events but cannot attribute them. MC-2 detects threshold breaches but ignores structural changes below the threshold. MC-3 detects model violations but cannot see what falls outside its hypothesis frame. All three share a deeper limitation: they cannot distinguish between intentional allocation changes and silent drift in a system’s resource distribution [3].</w:t>
      </w:r>
    </w:p>
    <w:p>
      <w:pPr>
        <w:spacing w:after="180" w:line="276"/>
      </w:pPr>
      <w:r>
        <w:rPr>
          <w:rFonts w:ascii="Times New Roman" w:cs="Times New Roman" w:eastAsia="Times New Roman" w:hAnsi="Times New Roman"/>
          <w:color w:val="333333"/>
          <w:sz w:val="22"/>
          <w:szCs w:val="22"/>
        </w:rPr>
        <w:t xml:space="preserve">This paper introduces a fourth monitoring category—Ratio State Monitoring (MC-4)—that addresses this structural gap. MC-4 monitors the proportional allocation of a finite-budget system against its own declared priorities. It detects silent drift (undeclared reallocation), distinguishes it from intentional reweighting (declared reallocation), and produces a cross-cycle governance record. The instrument is the unity constraint: Σρᵢ = 1, the tautological requirement that shares of a fixed total sum to that total.</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Operational implementation: Volume 5, Governance &amp; Operations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w:t>
      </w:r>
    </w:p>
    <w:p>
      <w:pPr>
        <w:spacing w:after="180" w:line="276"/>
      </w:pPr>
      <w:r>
        <w:rPr>
          <w:rFonts w:ascii="Times New Roman" w:cs="Times New Roman" w:eastAsia="Times New Roman" w:hAnsi="Times New Roman"/>
          <w:color w:val="333333"/>
          <w:sz w:val="22"/>
          <w:szCs w:val="22"/>
        </w:rPr>
        <w:t xml:space="preserve">All terms are consistent with the HUF Triad unified glossary (Volume 8, Section 8). Terms are listed in dependency order.</w:t>
      </w:r>
    </w:p>
    <w:p>
      <w:pPr>
        <w:spacing w:after="140" w:line="276"/>
        <w:ind w:left="360"/>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w:t>
      </w:r>
    </w:p>
    <w:p>
      <w:pPr>
        <w:spacing w:after="140" w:line="276"/>
        <w:ind w:left="360"/>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holding a share of the budget ceiling. Minimum two elements.</w:t>
      </w:r>
    </w:p>
    <w:p>
      <w:pPr>
        <w:spacing w:after="140" w:line="276"/>
        <w:ind w:left="360"/>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 of the total: ρᵢ = mᵢ / Σmⱼ.</w:t>
      </w:r>
    </w:p>
    <w:p>
      <w:pPr>
        <w:spacing w:after="140" w:line="276"/>
        <w:ind w:left="360"/>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The foundational invariant.</w:t>
      </w:r>
    </w:p>
    <w:p>
      <w:pPr>
        <w:spacing w:after="140" w:line="276"/>
        <w:ind w:left="360"/>
      </w:pPr>
      <w:r>
        <w:rPr>
          <w:rFonts w:ascii="Times New Roman" w:cs="Times New Roman" w:eastAsia="Times New Roman" w:hAnsi="Times New Roman"/>
          <w:b/>
          <w:bCs/>
          <w:i/>
          <w:iCs/>
          <w:color w:val="333333"/>
          <w:sz w:val="22"/>
          <w:szCs w:val="22"/>
        </w:rPr>
        <w:t xml:space="preserve">Declared weight (ρᵢᵈᵉᶜ)</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operator states each element should hold.</w:t>
      </w:r>
    </w:p>
    <w:p>
      <w:pPr>
        <w:spacing w:after="140" w:line="276"/>
        <w:ind w:left="360"/>
      </w:pPr>
      <w:r>
        <w:rPr>
          <w:rFonts w:ascii="Times New Roman" w:cs="Times New Roman" w:eastAsia="Times New Roman" w:hAnsi="Times New Roman"/>
          <w:b/>
          <w:bCs/>
          <w:i/>
          <w:iCs/>
          <w:color w:val="333333"/>
          <w:sz w:val="22"/>
          <w:szCs w:val="22"/>
        </w:rPr>
        <w:t xml:space="preserve">Observed share (ρᵢᵒᵇˢ)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element actually holds, computed from outputs.</w:t>
      </w:r>
    </w:p>
    <w:p>
      <w:pPr>
        <w:spacing w:after="140" w:line="276"/>
        <w:ind w:left="360"/>
      </w:pPr>
      <w:r>
        <w:rPr>
          <w:rFonts w:ascii="Times New Roman" w:cs="Times New Roman" w:eastAsia="Times New Roman" w:hAnsi="Times New Roman"/>
          <w:b/>
          <w:bCs/>
          <w:i/>
          <w:iCs/>
          <w:color w:val="333333"/>
          <w:sz w:val="22"/>
          <w:szCs w:val="22"/>
        </w:rPr>
        <w:t xml:space="preserve">Silent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in ratio state not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Intentional reweighting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(1/K)Σ|ρᵢᵈᵉᶜ − ρᵢᵒᵇˢ|. Average drift across all elements.</w:t>
      </w:r>
    </w:p>
    <w:p>
      <w:pPr>
        <w:spacing w:after="140" w:line="276"/>
        <w:ind w:left="360"/>
      </w:pPr>
      <w:r>
        <w:rPr>
          <w:rFonts w:ascii="Times New Roman" w:cs="Times New Roman" w:eastAsia="Times New Roman" w:hAnsi="Times New Roman"/>
          <w:b/>
          <w:bCs/>
          <w:i/>
          <w:iCs/>
          <w:color w:val="333333"/>
          <w:sz w:val="22"/>
          <w:szCs w:val="22"/>
        </w:rPr>
        <w:t xml:space="preserve">Leverage (1/ρᵢ)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Reciprocal of share. Sensitivity to removal.</w:t>
      </w:r>
    </w:p>
    <w:p>
      <w:pPr>
        <w:spacing w:after="140" w:line="276"/>
        <w:ind w:left="360"/>
      </w:pPr>
      <w:r>
        <w:rPr>
          <w:rFonts w:ascii="Times New Roman" w:cs="Times New Roman" w:eastAsia="Times New Roman" w:hAnsi="Times New Roman"/>
          <w:b/>
          <w:bCs/>
          <w:i/>
          <w:iCs/>
          <w:color w:val="333333"/>
          <w:sz w:val="22"/>
          <w:szCs w:val="22"/>
        </w:rPr>
        <w:t xml:space="preserve">PROOF line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Minimum elements for 80% of portfolio mass.</w:t>
      </w:r>
    </w:p>
    <w:p>
      <w:pPr>
        <w:spacing w:after="140" w:line="276"/>
        <w:ind w:left="360"/>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T_char/T_obs. Characteristic period to observation bandwidth ratio.</w:t>
      </w:r>
    </w:p>
    <w:p>
      <w:pPr>
        <w:spacing w:after="140" w:line="276"/>
        <w:ind w:left="360"/>
      </w:pPr>
      <w:r>
        <w:rPr>
          <w:rFonts w:ascii="Times New Roman" w:cs="Times New Roman" w:eastAsia="Times New Roman" w:hAnsi="Times New Roman"/>
          <w:b/>
          <w:bCs/>
          <w:i/>
          <w:iCs/>
          <w:color w:val="333333"/>
          <w:sz w:val="22"/>
          <w:szCs w:val="22"/>
        </w:rPr>
        <w:t xml:space="preserve">Ground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MDG → 0. All change declared. Self-correcting feedback loop.</w:t>
      </w:r>
    </w:p>
    <w:p>
      <w:pPr>
        <w:spacing w:after="140" w:line="276"/>
        <w:ind w:left="360"/>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State observer where y(t) = ρ(t). L = 0. Zero estimation error.</w:t>
      </w:r>
    </w:p>
    <w:p>
      <w:pPr>
        <w:spacing w:after="140" w:line="276"/>
        <w:ind w:left="360"/>
      </w:pPr>
      <w:r>
        <w:rPr>
          <w:rFonts w:ascii="Times New Roman" w:cs="Times New Roman" w:eastAsia="Times New Roman" w:hAnsi="Times New Roman"/>
          <w:b/>
          <w:bCs/>
          <w:i/>
          <w:iCs/>
          <w:color w:val="333333"/>
          <w:sz w:val="22"/>
          <w:szCs w:val="22"/>
        </w:rPr>
        <w:t xml:space="preserve">Action window</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Period during which correction is cheapest.</w:t>
      </w:r>
    </w:p>
    <w:p>
      <w:pPr>
        <w:spacing w:after="140" w:line="276"/>
        <w:ind w:left="360"/>
      </w:pPr>
      <w:r>
        <w:rPr>
          <w:rFonts w:ascii="Times New Roman" w:cs="Times New Roman" w:eastAsia="Times New Roman" w:hAnsi="Times New Roman"/>
          <w:b/>
          <w:bCs/>
          <w:i/>
          <w:iCs/>
          <w:color w:val="333333"/>
          <w:sz w:val="22"/>
          <w:szCs w:val="22"/>
        </w:rPr>
        <w:t xml:space="preserve">Orphan 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 present on paper but outside effective governance.</w:t>
      </w:r>
    </w:p>
    <w:p>
      <w:pPr>
        <w:spacing w:after="140" w:line="276"/>
        <w:ind w:left="360"/>
      </w:pPr>
      <w:r>
        <w:rPr>
          <w:rFonts w:ascii="Times New Roman" w:cs="Times New Roman" w:eastAsia="Times New Roman" w:hAnsi="Times New Roman"/>
          <w:b/>
          <w:bCs/>
          <w:i/>
          <w:iCs/>
          <w:color w:val="333333"/>
          <w:sz w:val="22"/>
          <w:szCs w:val="22"/>
        </w:rPr>
        <w:t xml:space="preserve">OCC 51/49</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Operator Control Contract: w_op ≥ 0.51, w_tool ≤ 0.49.</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Three Established Monitoring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800"/>
        <w:gridCol w:w="21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Category</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Reference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Question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Intentional/Silent</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Cross-Cycle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Passive</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happening?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Incidental</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MC-2: Mandated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External threshold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threshold breached?</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Trend only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MC-3: Question-driven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Conceptual model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model hold?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Within hypothesis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Own declared intent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intent being met?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 output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 all cycles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MC-4’s five defining properties distinguish it from the first three: (1) self-referential—the system’s own declared priorities serve as the reference; (2) non-invasive—reads existing outputs without new data collection; (3) model-free—requires no mathematical model of the system’s dynamics; (4) bidirectional—detects concentration and fragmentation under the same constraint; (5) cross-cycle—produces a traceable governance record across all reporting periods.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Degenerate State Observer</w:t>
      </w:r>
    </w:p>
    <w:p>
      <w:pPr>
        <w:spacing w:after="180" w:line="276"/>
      </w:pPr>
      <w:r>
        <w:rPr>
          <w:rFonts w:ascii="Times New Roman" w:cs="Times New Roman" w:eastAsia="Times New Roman" w:hAnsi="Times New Roman"/>
          <w:color w:val="333333"/>
          <w:sz w:val="22"/>
          <w:szCs w:val="22"/>
        </w:rPr>
        <w:t xml:space="preserve">In classical control theory, a state observer (Luenberger observer [4]) estimates internal states x(t) from outputs y(t) and a known dynamic model:</w:t>
      </w:r>
    </w:p>
    <w:p>
      <w:pPr>
        <w:spacing w:after="180" w:line="276"/>
        <w:jc w:val="center"/>
      </w:pPr>
      <w:r>
        <w:rPr>
          <w:rFonts w:ascii="Times New Roman" w:cs="Times New Roman" w:eastAsia="Times New Roman" w:hAnsi="Times New Roman"/>
          <w:color w:val="333333"/>
          <w:sz w:val="22"/>
          <w:szCs w:val="22"/>
        </w:rPr>
        <w:t xml:space="preserve">x̂’(t) = Ax̂(t) + Bu(t) + L(y(t) − Cx̂(t))</w:t>
      </w:r>
    </w:p>
    <w:p>
      <w:pPr>
        <w:spacing w:after="180" w:line="276"/>
      </w:pPr>
      <w:r>
        <w:rPr>
          <w:rFonts w:ascii="Times New Roman" w:cs="Times New Roman" w:eastAsia="Times New Roman" w:hAnsi="Times New Roman"/>
          <w:color w:val="333333"/>
          <w:sz w:val="22"/>
          <w:szCs w:val="22"/>
        </w:rPr>
        <w:t xml:space="preserve">where L is the observer gain chosen to make the estimation error e(t) = x(t) − x̂(t) converge to zero. This requires: (a) a known system model (A, B, C), (b) observability of the pair (A, C), and (c) design of the gain matrix L.</w:t>
      </w:r>
    </w:p>
    <w:p>
      <w:pPr>
        <w:spacing w:after="180" w:line="276"/>
      </w:pPr>
      <w:r>
        <w:rPr>
          <w:rFonts w:ascii="Times New Roman" w:cs="Times New Roman" w:eastAsia="Times New Roman" w:hAnsi="Times New Roman"/>
          <w:b/>
          <w:bCs/>
          <w:color w:val="333333"/>
          <w:sz w:val="22"/>
          <w:szCs w:val="22"/>
        </w:rPr>
        <w:t xml:space="preserve">Proposition 1 (Perfect Observability). </w:t>
      </w:r>
      <w:r>
        <w:rPr>
          <w:rFonts w:ascii="Times New Roman" w:cs="Times New Roman" w:eastAsia="Times New Roman" w:hAnsi="Times New Roman"/>
          <w:color w:val="333333"/>
          <w:sz w:val="22"/>
          <w:szCs w:val="22"/>
        </w:rPr>
        <w:t xml:space="preserve">On the probability simplex Sᴷ, the portfolio state ρ(t) is directly observable. The output equation is y(t) = ρ(t) (i.e., C = I, the identity). No dynamic model is required. The estimation gain L = 0, and the estimation error e(t) = 0 identically.</w:t>
      </w:r>
    </w:p>
    <w:p>
      <w:pPr>
        <w:spacing w:after="180" w:line="276"/>
      </w:pPr>
      <w:r>
        <w:rPr>
          <w:rFonts w:ascii="Times New Roman" w:cs="Times New Roman" w:eastAsia="Times New Roman" w:hAnsi="Times New Roman"/>
          <w:color w:val="333333"/>
          <w:sz w:val="22"/>
          <w:szCs w:val="22"/>
        </w:rPr>
        <w:t xml:space="preserve">Proof. Portfolio shares are defined as ρᵢ = mᵢ / Σmⱼ. The shares are computable from the system’s own declared outputs without an intermediate model. Since y(t) = ρ(t), no estimation is performed; the state is read, not estimated. The estimation error is zero not by asymptotic convergence but by construction.</w:t>
      </w:r>
    </w:p>
    <w:p>
      <w:pPr>
        <w:spacing w:after="180" w:line="276"/>
      </w:pPr>
      <w:r>
        <w:rPr>
          <w:rFonts w:ascii="Times New Roman" w:cs="Times New Roman" w:eastAsia="Times New Roman" w:hAnsi="Times New Roman"/>
          <w:color w:val="333333"/>
          <w:sz w:val="22"/>
          <w:szCs w:val="22"/>
        </w:rPr>
        <w:t xml:space="preserve">This is a degenerate case in the technical sense: the observer collapses because the problem it is designed to solve—estimating states from outputs—does not arise. On the simplex, the state IS the output. This degeneracy is not a limitation; it is the foundation of MC-4’s model-free property.</w:t>
      </w:r>
    </w:p>
    <w:p>
      <w:pPr>
        <w:spacing w:after="160" w:before="80"/>
      </w:pPr>
      <w:r>
        <w:rPr>
          <w:rFonts w:ascii="Times New Roman" w:cs="Times New Roman" w:eastAsia="Times New Roman" w:hAnsi="Times New Roman"/>
          <w:i/>
          <w:iCs/>
          <w:color w:val="2E75B6"/>
          <w:sz w:val="20"/>
          <w:szCs w:val="20"/>
        </w:rPr>
        <w:t xml:space="preserve">▶ Mathematical foundations: Vol 3, Section 3</w:t>
      </w:r>
    </w:p>
    <w:p>
      <w:r>
        <w:br w:type="page"/>
      </w:r>
    </w:p>
    <w:p>
      <w:pPr>
        <w:pStyle w:val="Heading1"/>
        <w:spacing w:after="200" w:before="360"/>
      </w:pPr>
      <w:r>
        <w:rPr>
          <w:rFonts w:ascii="Times New Roman" w:cs="Times New Roman" w:eastAsia="Times New Roman" w:hAnsi="Times New Roman"/>
          <w:b/>
          <w:bCs/>
          <w:color w:val="1F3864"/>
          <w:sz w:val="28"/>
          <w:szCs w:val="28"/>
        </w:rPr>
        <w:t xml:space="preserve">5. Six Failure Modes</w:t>
      </w:r>
    </w:p>
    <w:p>
      <w:pPr>
        <w:spacing w:after="180" w:line="276"/>
      </w:pPr>
      <w:r>
        <w:rPr>
          <w:rFonts w:ascii="Times New Roman" w:cs="Times New Roman" w:eastAsia="Times New Roman" w:hAnsi="Times New Roman"/>
          <w:color w:val="333333"/>
          <w:sz w:val="22"/>
          <w:szCs w:val="22"/>
        </w:rPr>
        <w:t xml:space="preserve">MC-4 identifies six structurally invisible failure modes. Each is invisible to MC-1 through MC-3 because they require the intentional/silent classification that only ratio state monitoring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1800"/>
        <w:gridCol w:w="31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Root Cause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Detection Artifact</w:t>
            </w:r>
          </w:p>
        </w:tc>
        <w:tc>
          <w:tcPr>
            <w:tcW w:type="dxa" w:w="3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Operational Flag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Using absolute metrics for proportional systems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share table</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&gt; 5pp</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intentional/silent classification mechanism</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Unattributed shift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window shorter than characteristic period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Data-age flag</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leverage + stale data</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concentration direction</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 trend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 2 or decreasing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fragmentation direction</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distribution</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Many small shares clustering</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 or FM-5 carried to element endpoint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Coverage record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Declining share, no rationale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six modes form a progression. FM-1 (Ratio Blindness) is the enabling condition: without it, none of the others arise. FM-2 (Silent Reweighting) is the mechanism. FM-3 amplifies FM-2 by making high-Q elements look unresponsive. FM-4 and FM-5 are directional variants of FM-2. FM-6 is the terminal state for any element caught in FM-4 or FM-5.</w:t>
      </w:r>
    </w:p>
    <w:p>
      <w:pPr>
        <w:spacing w:after="160" w:before="80"/>
      </w:pPr>
      <w:r>
        <w:rPr>
          <w:rFonts w:ascii="Times New Roman" w:cs="Times New Roman" w:eastAsia="Times New Roman" w:hAnsi="Times New Roman"/>
          <w:i/>
          <w:iCs/>
          <w:color w:val="2E75B6"/>
          <w:sz w:val="20"/>
          <w:szCs w:val="20"/>
        </w:rPr>
        <w:t xml:space="preserve">▶ Operational field guide: Vol 5, Section 3</w:t>
      </w:r>
    </w:p>
    <w:p>
      <w:pPr>
        <w:spacing w:after="160" w:before="80"/>
      </w:pPr>
      <w:r>
        <w:rPr>
          <w:rFonts w:ascii="Times New Roman" w:cs="Times New Roman" w:eastAsia="Times New Roman" w:hAnsi="Times New Roman"/>
          <w:i/>
          <w:iCs/>
          <w:color w:val="2E75B6"/>
          <w:sz w:val="20"/>
          <w:szCs w:val="20"/>
        </w:rPr>
        <w:t xml:space="preserve">▶ Interactive examples: Vol 0, Notebooks 1–2 (pizza, backpack)</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Quality Factor</w:t>
      </w:r>
    </w:p>
    <w:p>
      <w:pPr>
        <w:spacing w:after="180" w:line="276"/>
      </w:pPr>
      <w:r>
        <w:rPr>
          <w:rFonts w:ascii="Times New Roman" w:cs="Times New Roman" w:eastAsia="Times New Roman" w:hAnsi="Times New Roman"/>
          <w:color w:val="333333"/>
          <w:sz w:val="22"/>
          <w:szCs w:val="22"/>
        </w:rPr>
        <w:t xml:space="preserve">Q = T_char / T_obs quantifies an element’s vulnerability to snapshot error. High-Q elements contribute in narrow time windows relative to the observation period, making them systematically underweighted by single-cycle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200"/>
        <w:gridCol w:w="700"/>
        <w:gridCol w:w="386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T_char</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T_obs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w:t>
            </w:r>
          </w:p>
        </w:tc>
        <w:tc>
          <w:tcPr>
            <w:tcW w:type="dxa" w:w="3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Risk</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Yeast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4–12 hours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~0.02 hours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~833</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Ultra-high: removal kills the loaf</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Multi-year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months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survey timing matters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Archive 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Months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Days–weeks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Medium: research-event driven</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Transit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 4 Sheppard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Seasonal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Daily counts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broadly visible</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GHz</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Continuous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OD</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always visible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Q factor explains a systematic deprioritization mechanism: high-Q elements are measured during troughs and judged unimportant, justifying further funding cuts, creating a positive feedback loop. The coverage record (Artifact A-4) is the governance instrument that breaks this loop by requiring documented rationale for any deprioritization of a high-Q element.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Convergence to Ground State</w:t>
      </w:r>
    </w:p>
    <w:p>
      <w:pPr>
        <w:pStyle w:val="Heading2"/>
        <w:spacing w:after="160" w:before="280"/>
      </w:pPr>
      <w:r>
        <w:rPr>
          <w:rFonts w:ascii="Times New Roman" w:cs="Times New Roman" w:eastAsia="Times New Roman" w:hAnsi="Times New Roman"/>
          <w:b/>
          <w:bCs/>
          <w:color w:val="1F3864"/>
          <w:sz w:val="24"/>
          <w:szCs w:val="24"/>
        </w:rPr>
        <w:t xml:space="preserve">7.1 Four Artifacts</w:t>
      </w:r>
    </w:p>
    <w:p>
      <w:pPr>
        <w:spacing w:after="180" w:line="276"/>
      </w:pPr>
      <w:r>
        <w:rPr>
          <w:rFonts w:ascii="Times New Roman" w:cs="Times New Roman" w:eastAsia="Times New Roman" w:hAnsi="Times New Roman"/>
          <w:color w:val="333333"/>
          <w:sz w:val="22"/>
          <w:szCs w:val="22"/>
        </w:rPr>
        <w:t xml:space="preserve">MC-4 produces four standard outputs at each reporting cycle: A-1 (Portfolio Share Table) providing the instantaneous snapshot; A-2 (Trace Report) recording declared reasoning; A-3 (Portfolio Change Log) classifying each change as intentional or silent; A-4 (Coverage Record) documenting deprioritization decisions. All four are plain tabular CSV files that attach to existing governance reporting.</w:t>
      </w:r>
    </w:p>
    <w:p>
      <w:pPr>
        <w:pStyle w:val="Heading2"/>
        <w:spacing w:after="160" w:before="280"/>
      </w:pPr>
      <w:r>
        <w:rPr>
          <w:rFonts w:ascii="Times New Roman" w:cs="Times New Roman" w:eastAsia="Times New Roman" w:hAnsi="Times New Roman"/>
          <w:b/>
          <w:bCs/>
          <w:color w:val="1F3864"/>
          <w:sz w:val="24"/>
          <w:szCs w:val="24"/>
        </w:rPr>
        <w:t xml:space="preserve">7.2 The OCC Theorem</w:t>
      </w:r>
    </w:p>
    <w:p>
      <w:pPr>
        <w:spacing w:after="180" w:line="276"/>
      </w:pPr>
      <w:r>
        <w:rPr>
          <w:rFonts w:ascii="Times New Roman" w:cs="Times New Roman" w:eastAsia="Times New Roman" w:hAnsi="Times New Roman"/>
          <w:b/>
          <w:bCs/>
          <w:color w:val="333333"/>
          <w:sz w:val="22"/>
          <w:szCs w:val="22"/>
        </w:rPr>
        <w:t xml:space="preserve">Theorem 1 (Operator Control). </w:t>
      </w:r>
      <w:r>
        <w:rPr>
          <w:rFonts w:ascii="Times New Roman" w:cs="Times New Roman" w:eastAsia="Times New Roman" w:hAnsi="Times New Roman"/>
          <w:color w:val="333333"/>
          <w:sz w:val="22"/>
          <w:szCs w:val="22"/>
        </w:rPr>
        <w:t xml:space="preserve">Under the OCC 51/49, every governance decision requires w_op ≥ 0.51 operator weight. The tool (HUF) provides diagnostic information with w_tool ≤ 0.49. No automated action is taken without operator declaration. The governance record attributes every decision to a named authority.</w:t>
      </w:r>
    </w:p>
    <w:p>
      <w:pPr>
        <w:pStyle w:val="Heading2"/>
        <w:spacing w:after="160" w:before="280"/>
      </w:pPr>
      <w:r>
        <w:rPr>
          <w:rFonts w:ascii="Times New Roman" w:cs="Times New Roman" w:eastAsia="Times New Roman" w:hAnsi="Times New Roman"/>
          <w:b/>
          <w:bCs/>
          <w:color w:val="1F3864"/>
          <w:sz w:val="24"/>
          <w:szCs w:val="24"/>
        </w:rPr>
        <w:t xml:space="preserve">7.3 Convergence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Stage</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Cycle</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Observable Properties</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Posture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share table; no change log</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 declared weights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Trajectory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inter-cycle comparison; trend visible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Begin classifying changes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Q-characterization</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4–6</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cycles identified; orphan alerts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Phase-aware allocation</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approach</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declining; PROOF stable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Self-correcting feedback</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Variable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Self-governing</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7.4 Institutional Memory (New in v2.0)</w:t>
      </w:r>
    </w:p>
    <w:p>
      <w:pPr>
        <w:spacing w:after="180" w:line="276"/>
      </w:pPr>
      <w:r>
        <w:rPr>
          <w:rFonts w:ascii="Times New Roman" w:cs="Times New Roman" w:eastAsia="Times New Roman" w:hAnsi="Times New Roman"/>
          <w:b/>
          <w:bCs/>
          <w:color w:val="333333"/>
          <w:sz w:val="22"/>
          <w:szCs w:val="22"/>
        </w:rPr>
        <w:t xml:space="preserve">Proposition 7.5. </w:t>
      </w:r>
      <w:r>
        <w:rPr>
          <w:rFonts w:ascii="Times New Roman" w:cs="Times New Roman" w:eastAsia="Times New Roman" w:hAnsi="Times New Roman"/>
          <w:color w:val="333333"/>
          <w:sz w:val="22"/>
          <w:szCs w:val="22"/>
        </w:rPr>
        <w:t xml:space="preserve">A governance system operating under MC-4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after="180" w:line="276"/>
      </w:pPr>
      <w:r>
        <w:rPr>
          <w:rFonts w:ascii="Times New Roman" w:cs="Times New Roman" w:eastAsia="Times New Roman" w:hAnsi="Times New Roman"/>
          <w:color w:val="333333"/>
          <w:sz w:val="22"/>
          <w:szCs w:val="22"/>
        </w:rPr>
        <w:t xml:space="preserve">The value of the institutional memory is non-linear with cycle count. The first two or three cycles provide thin context. By cycle six or seven, the trajectory becomes the most valuable governance document the institution possesses. The record captures not just what happened, but what was declared, what was detected, and what was done about it.</w:t>
      </w:r>
    </w:p>
    <w:p>
      <w:pPr>
        <w:spacing w:after="160" w:before="80"/>
      </w:pPr>
      <w:r>
        <w:rPr>
          <w:rFonts w:ascii="Times New Roman" w:cs="Times New Roman" w:eastAsia="Times New Roman" w:hAnsi="Times New Roman"/>
          <w:i/>
          <w:iCs/>
          <w:color w:val="2E75B6"/>
          <w:sz w:val="20"/>
          <w:szCs w:val="20"/>
        </w:rPr>
        <w:t xml:space="preserve">▶ Proof: Vol 3, Mathematical Foundations</w:t>
      </w:r>
    </w:p>
    <w:p>
      <w:pPr>
        <w:spacing w:after="160" w:before="80"/>
      </w:pPr>
      <w:r>
        <w:rPr>
          <w:rFonts w:ascii="Times New Roman" w:cs="Times New Roman" w:eastAsia="Times New Roman" w:hAnsi="Times New Roman"/>
          <w:i/>
          <w:iCs/>
          <w:color w:val="2E75B6"/>
          <w:sz w:val="20"/>
          <w:szCs w:val="20"/>
        </w:rPr>
        <w:t xml:space="preserve">▶ Operational deployment: Vol 5, Sections 3–5</w:t>
      </w:r>
    </w:p>
    <w:p>
      <w:r>
        <w:br w:type="page"/>
      </w:r>
    </w:p>
    <w:p>
      <w:pPr>
        <w:pStyle w:val="Heading1"/>
        <w:spacing w:after="200" w:before="360"/>
      </w:pPr>
      <w:r>
        <w:rPr>
          <w:rFonts w:ascii="Times New Roman" w:cs="Times New Roman" w:eastAsia="Times New Roman" w:hAnsi="Times New Roman"/>
          <w:b/>
          <w:bCs/>
          <w:color w:val="1F3864"/>
          <w:sz w:val="28"/>
          <w:szCs w:val="28"/>
        </w:rPr>
        <w:t xml:space="preserve">8. Three-Domain Empirical Validation (Expanded in v2.0)</w:t>
      </w:r>
    </w:p>
    <w:p>
      <w:pPr>
        <w:pStyle w:val="Heading2"/>
        <w:spacing w:after="160" w:before="280"/>
      </w:pPr>
      <w:r>
        <w:rPr>
          <w:rFonts w:ascii="Times New Roman" w:cs="Times New Roman" w:eastAsia="Times New Roman" w:hAnsi="Times New Roman"/>
          <w:b/>
          <w:bCs/>
          <w:color w:val="1F3864"/>
          <w:sz w:val="24"/>
          <w:szCs w:val="24"/>
        </w:rPr>
        <w:t xml:space="preserve">8.1 System A: Sourdough Fermentation</w:t>
      </w:r>
    </w:p>
    <w:p>
      <w:pPr>
        <w:spacing w:after="180" w:line="276"/>
      </w:pPr>
      <w:r>
        <w:rPr>
          <w:rFonts w:ascii="Times New Roman" w:cs="Times New Roman" w:eastAsia="Times New Roman" w:hAnsi="Times New Roman"/>
          <w:color w:val="333333"/>
          <w:sz w:val="22"/>
          <w:szCs w:val="22"/>
        </w:rPr>
        <w:t xml:space="preserve">Budget ceiling: 1,000g. Five elements: flour (50.0%), water (35.0%), starter (13.0%), salt (1.8%), yeast (0.12%). Pettitt changepoint test applied to MDG time series across 12 baking cycles: p = 0.021. Yeast leverage 833 (ultra-high Q) confirms that the smallest element carries the highest governance significance. Near ground state: MDG = 1.4pp.</w:t>
      </w:r>
    </w:p>
    <w:p>
      <w:pPr>
        <w:pStyle w:val="Heading2"/>
        <w:spacing w:after="160" w:before="280"/>
      </w:pPr>
      <w:r>
        <w:rPr>
          <w:rFonts w:ascii="Times New Roman" w:cs="Times New Roman" w:eastAsia="Times New Roman" w:hAnsi="Times New Roman"/>
          <w:b/>
          <w:bCs/>
          <w:color w:val="1F3864"/>
          <w:sz w:val="24"/>
          <w:szCs w:val="24"/>
        </w:rPr>
        <w:t xml:space="preserve">8.2 System B: Croatia Ramsar Wetlands</w:t>
      </w:r>
    </w:p>
    <w:p>
      <w:pPr>
        <w:spacing w:after="180" w:line="276"/>
      </w:pPr>
      <w:r>
        <w:rPr>
          <w:rFonts w:ascii="Times New Roman" w:cs="Times New Roman" w:eastAsia="Times New Roman" w:hAnsi="Times New Roman"/>
          <w:color w:val="333333"/>
          <w:sz w:val="22"/>
          <w:szCs w:val="22"/>
        </w:rPr>
        <w:t xml:space="preserve">Budget ceiling: 93,000 hectares. Five Ramsar sites: Lonjsko Polje (55.6%), Kopački rit (24.0%), Neretva Delta (12.0%), Crna Mlaka (0.67%), Vransko jezero (7.7%). Interrupted Time Series analysis: p &lt; 0.0027. Crna Mlaka leverage 149 (high Q). Action window open: MDG = 4.8pp.</w:t>
      </w:r>
    </w:p>
    <w:p>
      <w:pPr>
        <w:spacing w:after="180" w:line="276"/>
      </w:pPr>
      <w:r>
        <w:rPr>
          <w:rFonts w:ascii="Times New Roman" w:cs="Times New Roman" w:eastAsia="Times New Roman" w:hAnsi="Times New Roman"/>
          <w:color w:val="333333"/>
          <w:sz w:val="22"/>
          <w:szCs w:val="22"/>
        </w:rPr>
        <w:t xml:space="preserve">The Croatia analysis provides the policy-relevant case. Crna Mlaka—the smallest site by area—has the highest leverage. Under absolute-metric governance (FM-1), it would be deprioritized as "small." Under ratio state monitoring, its high leverage flags it for governance attention. The coverage record (A-4) would require documented rationale for any reduction in its share.</w:t>
      </w:r>
    </w:p>
    <w:p>
      <w:pPr>
        <w:pStyle w:val="Heading2"/>
        <w:spacing w:after="160" w:before="280"/>
      </w:pPr>
      <w:r>
        <w:rPr>
          <w:rFonts w:ascii="Times New Roman" w:cs="Times New Roman" w:eastAsia="Times New Roman" w:hAnsi="Times New Roman"/>
          <w:b/>
          <w:bCs/>
          <w:color w:val="1F3864"/>
          <w:sz w:val="24"/>
          <w:szCs w:val="24"/>
        </w:rPr>
        <w:t xml:space="preserve">8.3 System C: Software CI/CD Pipeline</w:t>
      </w:r>
    </w:p>
    <w:p>
      <w:pPr>
        <w:spacing w:after="180" w:line="276"/>
      </w:pPr>
      <w:r>
        <w:rPr>
          <w:rFonts w:ascii="Times New Roman" w:cs="Times New Roman" w:eastAsia="Times New Roman" w:hAnsi="Times New Roman"/>
          <w:color w:val="333333"/>
          <w:sz w:val="22"/>
          <w:szCs w:val="22"/>
        </w:rPr>
        <w:t xml:space="preserve">Budget ceiling: total query volume (30-day window). Four namespaces. Fisher exact test: p &lt; 0.0001. Active drift: MDG = 10.0pp. This system operates at completely different temporal and structural scales from Systems A and B, confirming the domain-agnostic claim.</w:t>
      </w:r>
    </w:p>
    <w:p>
      <w:pPr>
        <w:pStyle w:val="Heading2"/>
        <w:spacing w:after="160" w:before="280"/>
      </w:pPr>
      <w:r>
        <w:rPr>
          <w:rFonts w:ascii="Times New Roman" w:cs="Times New Roman" w:eastAsia="Times New Roman" w:hAnsi="Times New Roman"/>
          <w:b/>
          <w:bCs/>
          <w:color w:val="1F3864"/>
          <w:sz w:val="24"/>
          <w:szCs w:val="24"/>
        </w:rPr>
        <w:t xml:space="preserve">8.4 Toronto King Street Pilot (New in v2.0)</w:t>
      </w:r>
    </w:p>
    <w:p>
      <w:pPr>
        <w:spacing w:after="180" w:line="276"/>
      </w:pPr>
      <w:r>
        <w:rPr>
          <w:rFonts w:ascii="Times New Roman" w:cs="Times New Roman" w:eastAsia="Times New Roman" w:hAnsi="Times New Roman"/>
          <w:color w:val="333333"/>
          <w:sz w:val="22"/>
          <w:szCs w:val="22"/>
        </w:rPr>
        <w:t xml:space="preserve">The Toronto TTC King Street Transit Priority Pilot (November 2017) provides a causal validation. ITS analysis of ridership share detected a significant level change at the intervention point (5/5 confirmatory tests passing). The portfolio analysis detected a differential effect that absolute ridership counts obscured—a direct demonstration of FM-1 (Ratio Blindness) in urban planning.</w:t>
      </w:r>
    </w:p>
    <w:p>
      <w:pPr>
        <w:pStyle w:val="Heading2"/>
        <w:spacing w:after="160" w:before="280"/>
      </w:pPr>
      <w:r>
        <w:rPr>
          <w:rFonts w:ascii="Times New Roman" w:cs="Times New Roman" w:eastAsia="Times New Roman" w:hAnsi="Times New Roman"/>
          <w:b/>
          <w:bCs/>
          <w:color w:val="1F3864"/>
          <w:sz w:val="24"/>
          <w:szCs w:val="24"/>
        </w:rPr>
        <w:t xml:space="preserve">8.5 ESA Planck HFI (New in v2.0)</w:t>
      </w:r>
    </w:p>
    <w:p>
      <w:pPr>
        <w:spacing w:after="180" w:line="276"/>
      </w:pPr>
      <w:r>
        <w:rPr>
          <w:rFonts w:ascii="Times New Roman" w:cs="Times New Roman" w:eastAsia="Times New Roman" w:hAnsi="Times New Roman"/>
          <w:color w:val="333333"/>
          <w:sz w:val="22"/>
          <w:szCs w:val="22"/>
        </w:rPr>
        <w:t xml:space="preserve">Pettitt changepoint on the Planck HFI frequency portfolio MDG series returned OD 975 (p &lt; 0.001). ESA’s engineering records document He-4 cryogen exhaustion on January 14, 2012 = OD 975. The HUF analysis identified the exact day of a known physical event from portfolio share data alone. This external validation confirms that the ratio state captures genuine physical information.</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Full case studies: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9. Ostrom Design Principles Mapping</w:t>
      </w:r>
    </w:p>
    <w:p>
      <w:pPr>
        <w:spacing w:after="180" w:line="276"/>
      </w:pPr>
      <w:r>
        <w:rPr>
          <w:rFonts w:ascii="Times New Roman" w:cs="Times New Roman" w:eastAsia="Times New Roman" w:hAnsi="Times New Roman"/>
          <w:color w:val="333333"/>
          <w:sz w:val="22"/>
          <w:szCs w:val="22"/>
        </w:rPr>
        <w:t xml:space="preserve">Elinor Ostrom’s eight design principles for long-enduring commons governance [5] provide an independent benchmark for evaluating MC-4. The mapping below shows which HUF mechanisms satisfy each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DP</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Ostrom Principle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Mechanism</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Artifact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Clearly defined boundaries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element enumeration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Proportional allocation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 share computation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 A-2</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Collective-choice arrangements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 operator declaration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Monitoring by accountable parties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drift classification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Graduated sanctions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thresholds; escalation pathway</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Conflict resolution mechanisms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report; declared rationale</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 A-4</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Recognition of self-governance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convergence</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four</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Nested enterprises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cross-domain normalization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HUF satisfies Design Principles 1 through 7 through its standard artifacts and governance mechanisms. Principle 8 (nested enterprises) is addressed through CDN, which enables comparison across governance levels and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MC-4 in Everyday Experience: The Car Dashboard (New in v2.1)</w:t>
      </w:r>
    </w:p>
    <w:p>
      <w:pPr>
        <w:spacing w:after="180" w:line="276"/>
      </w:pPr>
      <w:r>
        <w:rPr>
          <w:rFonts w:ascii="Times New Roman" w:cs="Times New Roman" w:eastAsia="Times New Roman" w:hAnsi="Times New Roman"/>
          <w:color w:val="333333"/>
          <w:sz w:val="22"/>
          <w:szCs w:val="22"/>
        </w:rPr>
        <w:t xml:space="preserve">The Fourth Monitoring Category can be understood through the analogy of a car’s fuel system and its monitoring instruments. This section explains MC-4 by mapping it to the dashboard metrics drivers use every day.</w:t>
      </w:r>
    </w:p>
    <w:p>
      <w:pPr>
        <w:pStyle w:val="Heading2"/>
        <w:spacing w:after="160" w:before="280"/>
      </w:pPr>
      <w:r>
        <w:rPr>
          <w:rFonts w:ascii="Times New Roman" w:cs="Times New Roman" w:eastAsia="Times New Roman" w:hAnsi="Times New Roman"/>
          <w:b/>
          <w:bCs/>
          <w:color w:val="1F3864"/>
          <w:sz w:val="24"/>
          <w:szCs w:val="24"/>
        </w:rPr>
        <w:t xml:space="preserve">10.1 Traditional Monitoring (MC-1, MC-2, MC-3) as Absolute Metrics</w:t>
      </w:r>
    </w:p>
    <w:p>
      <w:pPr>
        <w:spacing w:after="180" w:line="276"/>
      </w:pPr>
      <w:r>
        <w:rPr>
          <w:rFonts w:ascii="Times New Roman" w:cs="Times New Roman" w:eastAsia="Times New Roman" w:hAnsi="Times New Roman"/>
          <w:color w:val="333333"/>
          <w:sz w:val="22"/>
          <w:szCs w:val="22"/>
        </w:rPr>
        <w:t xml:space="preserve">Consider the fuel gauge and engine temperature gauge on a car dashboard. These are absolute metrics:</w:t>
      </w:r>
    </w:p>
    <w:p>
      <w:pPr>
        <w:spacing w:after="180" w:line="276"/>
      </w:pPr>
      <w:r>
        <w:rPr>
          <w:rFonts w:ascii="Times New Roman" w:cs="Times New Roman" w:eastAsia="Times New Roman" w:hAnsi="Times New Roman"/>
          <w:color w:val="333333"/>
          <w:sz w:val="22"/>
          <w:szCs w:val="22"/>
        </w:rPr>
        <w:t xml:space="preserve">MC-1 (Passive): The fuel gauge simply reads "you have 3 gallons." It observes the absolute level without a structured reference. A driver might see the needle move but cannot distinguish between a slow leak, a broken pump, or normal consumption.</w:t>
      </w:r>
    </w:p>
    <w:p>
      <w:pPr>
        <w:spacing w:after="180" w:line="276"/>
      </w:pPr>
      <w:r>
        <w:rPr>
          <w:rFonts w:ascii="Times New Roman" w:cs="Times New Roman" w:eastAsia="Times New Roman" w:hAnsi="Times New Roman"/>
          <w:color w:val="333333"/>
          <w:sz w:val="22"/>
          <w:szCs w:val="22"/>
        </w:rPr>
        <w:t xml:space="preserve">MC-2 (Mandated): A warning light triggers at a threshold—e.g., "low fuel" when below 1 gallon. The car obeys an external standard (legal fuel reserve requirements) without explaining structural change.</w:t>
      </w:r>
    </w:p>
    <w:p>
      <w:pPr>
        <w:spacing w:after="180" w:line="276"/>
      </w:pPr>
      <w:r>
        <w:rPr>
          <w:rFonts w:ascii="Times New Roman" w:cs="Times New Roman" w:eastAsia="Times New Roman" w:hAnsi="Times New Roman"/>
          <w:color w:val="333333"/>
          <w:sz w:val="22"/>
          <w:szCs w:val="22"/>
        </w:rPr>
        <w:t xml:space="preserve">MC-3 (Question-driven): A question-driven system might ask "If I drive at 65 mph, will I reach the gas station at mile 52?" This tests a specific model without seeing broader patterns.</w:t>
      </w:r>
    </w:p>
    <w:p>
      <w:pPr>
        <w:spacing w:after="180" w:line="276"/>
      </w:pPr>
      <w:r>
        <w:rPr>
          <w:rFonts w:ascii="Times New Roman" w:cs="Times New Roman" w:eastAsia="Times New Roman" w:hAnsi="Times New Roman"/>
          <w:color w:val="333333"/>
          <w:sz w:val="22"/>
          <w:szCs w:val="22"/>
        </w:rPr>
        <w:t xml:space="preserve">All three focus on </w:t>
      </w:r>
    </w:p>
    <w:p>
      <w:pPr>
        <w:pStyle w:val="Heading2"/>
        <w:spacing w:after="160" w:before="280"/>
      </w:pPr>
      <w:r>
        <w:rPr>
          <w:rFonts w:ascii="Times New Roman" w:cs="Times New Roman" w:eastAsia="Times New Roman" w:hAnsi="Times New Roman"/>
          <w:b/>
          <w:bCs/>
          <w:color w:val="1F3864"/>
          <w:sz w:val="24"/>
          <w:szCs w:val="24"/>
        </w:rPr>
        <w:t xml:space="preserve">10.2 The Ratio: Driver + Fuel</w:t>
      </w:r>
    </w:p>
    <w:p>
      <w:pPr>
        <w:spacing w:after="180" w:line="276"/>
      </w:pPr>
      <w:r>
        <w:rPr>
          <w:rFonts w:ascii="Times New Roman" w:cs="Times New Roman" w:eastAsia="Times New Roman" w:hAnsi="Times New Roman"/>
          <w:color w:val="333333"/>
          <w:sz w:val="22"/>
          <w:szCs w:val="22"/>
        </w:rPr>
        <w:t xml:space="preserve">Now introduce MC-4. Instead of asking "How much fuel?", ask "What is the ratio of driver to fuel in the system?"</w:t>
      </w:r>
    </w:p>
    <w:p>
      <w:pPr>
        <w:spacing w:after="180" w:line="276"/>
      </w:pPr>
      <w:r>
        <w:rPr>
          <w:rFonts w:ascii="Times New Roman" w:cs="Times New Roman" w:eastAsia="Times New Roman" w:hAnsi="Times New Roman"/>
          <w:color w:val="333333"/>
          <w:sz w:val="22"/>
          <w:szCs w:val="22"/>
        </w:rPr>
        <w:t xml:space="preserve">When you fill your tank: driver 51 gallons, fuel 49 gallons. Ratio = 1.04 (roughly 51/49). This is your system’s declared weight—the proportion between driver and fuel.</w:t>
      </w:r>
    </w:p>
    <w:p>
      <w:pPr>
        <w:spacing w:after="180" w:line="276"/>
      </w:pPr>
      <w:r>
        <w:rPr>
          <w:rFonts w:ascii="Times New Roman" w:cs="Times New Roman" w:eastAsia="Times New Roman" w:hAnsi="Times New Roman"/>
          <w:color w:val="333333"/>
          <w:sz w:val="22"/>
          <w:szCs w:val="22"/>
        </w:rPr>
        <w:t xml:space="preserve">As you drive:</w:t>
      </w:r>
    </w:p>
    <w:p>
      <w:pPr>
        <w:spacing w:after="180" w:line="276"/>
      </w:pPr>
      <w:r>
        <w:rPr>
          <w:rFonts w:ascii="Times New Roman" w:cs="Times New Roman" w:eastAsia="Times New Roman" w:hAnsi="Times New Roman"/>
          <w:color w:val="333333"/>
          <w:sz w:val="22"/>
          <w:szCs w:val="22"/>
        </w:rPr>
        <w:t xml:space="preserve">Cycle 1: Driver 55 gallons, Fuel 45 gallons. Ratio = 1.22 (55/45). Fuel share dropped from 49% to 45%.</w:t>
      </w:r>
    </w:p>
    <w:p>
      <w:pPr>
        <w:spacing w:after="180" w:line="276"/>
      </w:pPr>
      <w:r>
        <w:rPr>
          <w:rFonts w:ascii="Times New Roman" w:cs="Times New Roman" w:eastAsia="Times New Roman" w:hAnsi="Times New Roman"/>
          <w:color w:val="333333"/>
          <w:sz w:val="22"/>
          <w:szCs w:val="22"/>
        </w:rPr>
        <w:t xml:space="preserve">Cycle 2: Driver 70 gallons, Fuel 30 gallons. Ratio = 2.33 (70/30). Fuel share dropped from 45% to 30%.</w:t>
      </w:r>
    </w:p>
    <w:p>
      <w:pPr>
        <w:spacing w:after="180" w:line="276"/>
      </w:pPr>
      <w:r>
        <w:rPr>
          <w:rFonts w:ascii="Times New Roman" w:cs="Times New Roman" w:eastAsia="Times New Roman" w:hAnsi="Times New Roman"/>
          <w:color w:val="333333"/>
          <w:sz w:val="22"/>
          <w:szCs w:val="22"/>
        </w:rPr>
        <w:t xml:space="preserve">Cycle 3: Driver 85 gallons, Fuel 15 gallons. Ratio = 5.67 (85/15). Fuel share is now 15%.</w:t>
      </w:r>
    </w:p>
    <w:p>
      <w:pPr>
        <w:spacing w:after="180" w:line="276"/>
      </w:pPr>
      <w:r>
        <w:rPr>
          <w:rFonts w:ascii="Times New Roman" w:cs="Times New Roman" w:eastAsia="Times New Roman" w:hAnsi="Times New Roman"/>
          <w:color w:val="333333"/>
          <w:sz w:val="22"/>
          <w:szCs w:val="22"/>
        </w:rPr>
        <w:t xml:space="preserve">The fuel </w:t>
      </w:r>
    </w:p>
    <w:p>
      <w:pPr>
        <w:spacing w:after="180" w:line="276"/>
      </w:pPr>
      <w:r>
        <w:rPr>
          <w:rFonts w:ascii="Times New Roman" w:cs="Times New Roman" w:eastAsia="Times New Roman" w:hAnsi="Times New Roman"/>
          <w:color w:val="333333"/>
          <w:sz w:val="22"/>
          <w:szCs w:val="22"/>
        </w:rPr>
        <w:t xml:space="preserve">MC-4 says something different: "Your driver/fuel ratio has </w:t>
      </w:r>
    </w:p>
    <w:p>
      <w:pPr>
        <w:pStyle w:val="Heading2"/>
        <w:spacing w:after="160" w:before="280"/>
      </w:pPr>
      <w:r>
        <w:rPr>
          <w:rFonts w:ascii="Times New Roman" w:cs="Times New Roman" w:eastAsia="Times New Roman" w:hAnsi="Times New Roman"/>
          <w:b/>
          <w:bCs/>
          <w:color w:val="1F3864"/>
          <w:sz w:val="24"/>
          <w:szCs w:val="24"/>
        </w:rPr>
        <w:t xml:space="preserve">10.3 MC-4 Detects Drift Before Absolutes Alarm</w:t>
      </w:r>
    </w:p>
    <w:p>
      <w:pPr>
        <w:spacing w:after="180" w:line="276"/>
      </w:pPr>
      <w:r>
        <w:rPr>
          <w:rFonts w:ascii="Times New Roman" w:cs="Times New Roman" w:eastAsia="Times New Roman" w:hAnsi="Times New Roman"/>
          <w:color w:val="333333"/>
          <w:sz w:val="22"/>
          <w:szCs w:val="22"/>
        </w:rPr>
        <w:t xml:space="preserve">Here is MC-4’s critical advantage: </w:t>
      </w:r>
    </w:p>
    <w:p>
      <w:pPr>
        <w:spacing w:after="180" w:line="276"/>
      </w:pPr>
      <w:r>
        <w:rPr>
          <w:rFonts w:ascii="Times New Roman" w:cs="Times New Roman" w:eastAsia="Times New Roman" w:hAnsi="Times New Roman"/>
          <w:color w:val="333333"/>
          <w:sz w:val="22"/>
          <w:szCs w:val="22"/>
        </w:rPr>
        <w:t xml:space="preserve">Imagine a slow leak in your fuel tank. After one hour:</w:t>
      </w:r>
    </w:p>
    <w:p>
      <w:pPr>
        <w:spacing w:after="180" w:line="276"/>
      </w:pPr>
      <w:r>
        <w:rPr>
          <w:rFonts w:ascii="Times New Roman" w:cs="Times New Roman" w:eastAsia="Times New Roman" w:hAnsi="Times New Roman"/>
          <w:color w:val="333333"/>
          <w:sz w:val="22"/>
          <w:szCs w:val="22"/>
        </w:rPr>
        <w:t xml:space="preserve">- MC-1 fuel gauge: 48 gallons (down from 49). Still green. Unremarkable.</w:t>
      </w:r>
    </w:p>
    <w:p>
      <w:pPr>
        <w:spacing w:after="180" w:line="276"/>
      </w:pPr>
      <w:r>
        <w:rPr>
          <w:rFonts w:ascii="Times New Roman" w:cs="Times New Roman" w:eastAsia="Times New Roman" w:hAnsi="Times New Roman"/>
          <w:color w:val="333333"/>
          <w:sz w:val="22"/>
          <w:szCs w:val="22"/>
        </w:rPr>
        <w:t xml:space="preserve">- MC-4 ratio: Fuel share dropped from 49% to 48%. Driver/fuel ratio is now 1.08 instead of 1.04. Drift detected.</w:t>
      </w:r>
    </w:p>
    <w:p>
      <w:pPr>
        <w:spacing w:after="180" w:line="276"/>
      </w:pPr>
      <w:r>
        <w:rPr>
          <w:rFonts w:ascii="Times New Roman" w:cs="Times New Roman" w:eastAsia="Times New Roman" w:hAnsi="Times New Roman"/>
          <w:color w:val="333333"/>
          <w:sz w:val="22"/>
          <w:szCs w:val="22"/>
        </w:rPr>
        <w:t xml:space="preserve">After six hours:</w:t>
      </w:r>
    </w:p>
    <w:p>
      <w:pPr>
        <w:spacing w:after="180" w:line="276"/>
      </w:pPr>
      <w:r>
        <w:rPr>
          <w:rFonts w:ascii="Times New Roman" w:cs="Times New Roman" w:eastAsia="Times New Roman" w:hAnsi="Times New Roman"/>
          <w:color w:val="333333"/>
          <w:sz w:val="22"/>
          <w:szCs w:val="22"/>
        </w:rPr>
        <w:t xml:space="preserve">- MC-1 fuel gauge: 43 gallons. Still usable. Driver can ignore it.</w:t>
      </w:r>
    </w:p>
    <w:p>
      <w:pPr>
        <w:spacing w:after="180" w:line="276"/>
      </w:pPr>
      <w:r>
        <w:rPr>
          <w:rFonts w:ascii="Times New Roman" w:cs="Times New Roman" w:eastAsia="Times New Roman" w:hAnsi="Times New Roman"/>
          <w:color w:val="333333"/>
          <w:sz w:val="22"/>
          <w:szCs w:val="22"/>
        </w:rPr>
        <w:t xml:space="preserve">- MC-4 ratio: Fuel share is now 43/51 = 0.45. Driver/fuel ratio is 1.19. Compositional shift of 14% from baseline. Early warning: "The system is drifting."</w:t>
      </w:r>
    </w:p>
    <w:p>
      <w:pPr>
        <w:spacing w:after="180" w:line="276"/>
      </w:pPr>
      <w:r>
        <w:rPr>
          <w:rFonts w:ascii="Times New Roman" w:cs="Times New Roman" w:eastAsia="Times New Roman" w:hAnsi="Times New Roman"/>
          <w:color w:val="333333"/>
          <w:sz w:val="22"/>
          <w:szCs w:val="22"/>
        </w:rPr>
        <w:t xml:space="preserve">After 12 hours:</w:t>
      </w:r>
    </w:p>
    <w:p>
      <w:pPr>
        <w:spacing w:after="180" w:line="276"/>
      </w:pPr>
      <w:r>
        <w:rPr>
          <w:rFonts w:ascii="Times New Roman" w:cs="Times New Roman" w:eastAsia="Times New Roman" w:hAnsi="Times New Roman"/>
          <w:color w:val="333333"/>
          <w:sz w:val="22"/>
          <w:szCs w:val="22"/>
        </w:rPr>
        <w:t xml:space="preserve">- MC-1 fuel gauge: 37 gallons. "Low fuel" warning triggers.</w:t>
      </w:r>
    </w:p>
    <w:p>
      <w:pPr>
        <w:spacing w:after="180" w:line="276"/>
      </w:pPr>
      <w:r>
        <w:rPr>
          <w:rFonts w:ascii="Times New Roman" w:cs="Times New Roman" w:eastAsia="Times New Roman" w:hAnsi="Times New Roman"/>
          <w:color w:val="333333"/>
          <w:sz w:val="22"/>
          <w:szCs w:val="22"/>
        </w:rPr>
        <w:t xml:space="preserve">- MC-4 ratio: Fuel share = 37/51 = 0.42. Driver/fuel ratio = 1.38. Drift of 33%. MC-4 flagged the problem hours ago.</w:t>
      </w:r>
    </w:p>
    <w:p>
      <w:pPr>
        <w:spacing w:after="180" w:line="276"/>
      </w:pPr>
      <w:r>
        <w:rPr>
          <w:rFonts w:ascii="Times New Roman" w:cs="Times New Roman" w:eastAsia="Times New Roman" w:hAnsi="Times New Roman"/>
          <w:color w:val="333333"/>
          <w:sz w:val="22"/>
          <w:szCs w:val="22"/>
        </w:rPr>
        <w:t xml:space="preserve">MC-4’s power is simple: </w:t>
      </w:r>
    </w:p>
    <w:p>
      <w:pPr>
        <w:pStyle w:val="Heading2"/>
        <w:spacing w:after="160" w:before="280"/>
      </w:pPr>
      <w:r>
        <w:rPr>
          <w:rFonts w:ascii="Times New Roman" w:cs="Times New Roman" w:eastAsia="Times New Roman" w:hAnsi="Times New Roman"/>
          <w:b/>
          <w:bCs/>
          <w:color w:val="1F3864"/>
          <w:sz w:val="24"/>
          <w:szCs w:val="24"/>
        </w:rPr>
        <w:t xml:space="preserve">10.4 The Deceptive Drift: OCC Budget Depletion</w:t>
      </w:r>
    </w:p>
    <w:p>
      <w:pPr>
        <w:spacing w:after="180" w:line="276"/>
      </w:pPr>
      <w:r>
        <w:rPr>
          <w:rFonts w:ascii="Times New Roman" w:cs="Times New Roman" w:eastAsia="Times New Roman" w:hAnsi="Times New Roman"/>
          <w:color w:val="333333"/>
          <w:sz w:val="22"/>
          <w:szCs w:val="22"/>
        </w:rPr>
        <w:t xml:space="preserve">MC-4 watches the driver/fuel ratio. As fuel depletes: 51/49 → 55/45 → 70/30 → 85/15 → 95/5.</w:t>
      </w:r>
    </w:p>
    <w:p>
      <w:pPr>
        <w:spacing w:after="180" w:line="276"/>
      </w:pPr>
      <w:r>
        <w:rPr>
          <w:rFonts w:ascii="Times New Roman" w:cs="Times New Roman" w:eastAsia="Times New Roman" w:hAnsi="Times New Roman"/>
          <w:color w:val="333333"/>
          <w:sz w:val="22"/>
          <w:szCs w:val="22"/>
        </w:rPr>
        <w:t xml:space="preserve">At each step, the operator’s share of the system is </w:t>
      </w:r>
    </w:p>
    <w:p>
      <w:pPr>
        <w:spacing w:after="180" w:line="276"/>
      </w:pPr>
      <w:r>
        <w:rPr>
          <w:rFonts w:ascii="Times New Roman" w:cs="Times New Roman" w:eastAsia="Times New Roman" w:hAnsi="Times New Roman"/>
          <w:color w:val="333333"/>
          <w:sz w:val="22"/>
          <w:szCs w:val="22"/>
        </w:rPr>
        <w:t xml:space="preserve">The operator did not gain resources. The tool lost them. The rising operator share is the signature of OCC drift—the tool’s budget running out. The operator cannot control what the tool cannot provide. As the tool’s allocation shrinks from 49% to 5%, the system approaches collapse.</w:t>
      </w:r>
    </w:p>
    <w:p>
      <w:pPr>
        <w:spacing w:after="180" w:line="276"/>
      </w:pPr>
      <w:r>
        <w:rPr>
          <w:rFonts w:ascii="Times New Roman" w:cs="Times New Roman" w:eastAsia="Times New Roman" w:hAnsi="Times New Roman"/>
          <w:color w:val="333333"/>
          <w:sz w:val="22"/>
          <w:szCs w:val="22"/>
        </w:rPr>
        <w:t xml:space="preserve">If the operator is not watching MC-4’s ratio reports, the first indication of failure is the "abrupt inform"—the engine stops, the car is on the side of the road. No gradual warning. MC-4’s entire purpose is to prevent abrupt inform by making the drift trajectory visible </w:t>
      </w:r>
    </w:p>
    <w:p>
      <w:pPr>
        <w:spacing w:after="180" w:line="276"/>
      </w:pPr>
      <w:r>
        <w:rPr>
          <w:rFonts w:ascii="Times New Roman" w:cs="Times New Roman" w:eastAsia="Times New Roman" w:hAnsi="Times New Roman"/>
          <w:color w:val="333333"/>
          <w:sz w:val="22"/>
          <w:szCs w:val="22"/>
        </w:rPr>
        <w:t xml:space="preserve">The ratio moving from 51/49 toward 100/0 is the signal. The absolute tool capacity is noise. In governance: when one stakeholder’s share grows while others diminish, it is not a sign of that stakeholder’s strength—it is a sign of system collapse. The department whose budget share grows because other departments are being cut looks like it is thriving. The organization is dying. MC-4 makes the composition shift visible before the resource depletion becomes irreversible.</w:t>
      </w:r>
    </w:p>
    <w:p>
      <w:pPr>
        <w:pStyle w:val="Heading2"/>
        <w:spacing w:after="160" w:before="280"/>
      </w:pPr>
      <w:r>
        <w:rPr>
          <w:rFonts w:ascii="Times New Roman" w:cs="Times New Roman" w:eastAsia="Times New Roman" w:hAnsi="Times New Roman"/>
          <w:b/>
          <w:bCs/>
          <w:color w:val="1F3864"/>
          <w:sz w:val="24"/>
          <w:szCs w:val="24"/>
        </w:rPr>
        <w:t xml:space="preserve">10.5 The Car Dashboard as MC-4 Instrument</w:t>
      </w:r>
    </w:p>
    <w:p>
      <w:pPr>
        <w:spacing w:after="180" w:line="276"/>
      </w:pPr>
      <w:r>
        <w:rPr>
          <w:rFonts w:ascii="Times New Roman" w:cs="Times New Roman" w:eastAsia="Times New Roman" w:hAnsi="Times New Roman"/>
          <w:color w:val="333333"/>
          <w:sz w:val="22"/>
          <w:szCs w:val="22"/>
        </w:rPr>
        <w:t xml:space="preserve">Modern cars have an onboard diagnostics computer (OBD). It tracks:</w:t>
      </w:r>
    </w:p>
    <w:p>
      <w:pPr>
        <w:spacing w:after="180" w:line="276"/>
      </w:pPr>
      <w:r>
        <w:rPr>
          <w:rFonts w:ascii="Times New Roman" w:cs="Times New Roman" w:eastAsia="Times New Roman" w:hAnsi="Times New Roman"/>
          <w:color w:val="333333"/>
          <w:sz w:val="22"/>
          <w:szCs w:val="22"/>
        </w:rPr>
        <w:t xml:space="preserve">- Fuel level (MC-1): absolute gauge reading.</w:t>
      </w:r>
    </w:p>
    <w:p>
      <w:pPr>
        <w:spacing w:after="180" w:line="276"/>
      </w:pPr>
      <w:r>
        <w:rPr>
          <w:rFonts w:ascii="Times New Roman" w:cs="Times New Roman" w:eastAsia="Times New Roman" w:hAnsi="Times New Roman"/>
          <w:color w:val="333333"/>
          <w:sz w:val="22"/>
          <w:szCs w:val="22"/>
        </w:rPr>
        <w:t xml:space="preserve">- Fuel consumption rate (MC-3): question-driven model—"If I drive 50 miles, how much fuel remains?"</w:t>
      </w:r>
    </w:p>
    <w:p>
      <w:pPr>
        <w:spacing w:after="180" w:line="276"/>
      </w:pPr>
      <w:r>
        <w:rPr>
          <w:rFonts w:ascii="Times New Roman" w:cs="Times New Roman" w:eastAsia="Times New Roman" w:hAnsi="Times New Roman"/>
          <w:color w:val="333333"/>
          <w:sz w:val="22"/>
          <w:szCs w:val="22"/>
        </w:rPr>
        <w:t xml:space="preserve">- Efficiency ratio (MC-4): miles-per-gallon, or more directly, the ratio of distance to fuel burned.</w:t>
      </w:r>
    </w:p>
    <w:p>
      <w:pPr>
        <w:spacing w:after="180" w:line="276"/>
      </w:pPr>
      <w:r>
        <w:rPr>
          <w:rFonts w:ascii="Times New Roman" w:cs="Times New Roman" w:eastAsia="Times New Roman" w:hAnsi="Times New Roman"/>
          <w:color w:val="333333"/>
          <w:sz w:val="22"/>
          <w:szCs w:val="22"/>
        </w:rPr>
        <w:t xml:space="preserve">The OBD screen shows: "MPG: 24.3. Avg: 23.8. Trend: declining."</w:t>
      </w:r>
    </w:p>
    <w:p>
      <w:pPr>
        <w:spacing w:after="180" w:line="276"/>
      </w:pPr>
      <w:r>
        <w:rPr>
          <w:rFonts w:ascii="Times New Roman" w:cs="Times New Roman" w:eastAsia="Times New Roman" w:hAnsi="Times New Roman"/>
          <w:color w:val="333333"/>
          <w:sz w:val="22"/>
          <w:szCs w:val="22"/>
        </w:rPr>
        <w:t xml:space="preserve">That trend line is MC-4. It says: "Your distance-to-fuel ratio is shifting away from your baseline. Something is changing in the system’s composition—engine efficiency, driving pattern, or fuel quality. The ratio drift appeared before any absolute metric alarmed."</w:t>
      </w:r>
    </w:p>
    <w:p>
      <w:pPr>
        <w:pStyle w:val="Heading2"/>
        <w:spacing w:after="160" w:before="280"/>
      </w:pPr>
      <w:r>
        <w:rPr>
          <w:rFonts w:ascii="Times New Roman" w:cs="Times New Roman" w:eastAsia="Times New Roman" w:hAnsi="Times New Roman"/>
          <w:b/>
          <w:bCs/>
          <w:color w:val="1F3864"/>
          <w:sz w:val="24"/>
          <w:szCs w:val="24"/>
        </w:rPr>
        <w:t xml:space="preserve">10.6 Mapping to Real Domains</w:t>
      </w:r>
    </w:p>
    <w:p>
      <w:pPr>
        <w:spacing w:after="180" w:line="276"/>
      </w:pPr>
      <w:r>
        <w:rPr>
          <w:rFonts w:ascii="Times New Roman" w:cs="Times New Roman" w:eastAsia="Times New Roman" w:hAnsi="Times New Roman"/>
          <w:color w:val="333333"/>
          <w:sz w:val="22"/>
          <w:szCs w:val="22"/>
        </w:rPr>
        <w:t xml:space="preserve">In the car analogy:</w:t>
      </w:r>
    </w:p>
    <w:p>
      <w:pPr>
        <w:spacing w:after="180" w:line="276"/>
      </w:pPr>
      <w:r>
        <w:rPr>
          <w:rFonts w:ascii="Times New Roman" w:cs="Times New Roman" w:eastAsia="Times New Roman" w:hAnsi="Times New Roman"/>
          <w:color w:val="333333"/>
          <w:sz w:val="22"/>
          <w:szCs w:val="22"/>
        </w:rPr>
        <w:t xml:space="preserve">Driver/Fuel ratio = PV/SST ratio (in auditory cortex)</w:t>
      </w:r>
      <w:r>
        <w:rPr>
          <w:rFonts w:ascii="Times New Roman" w:cs="Times New Roman" w:eastAsia="Times New Roman" w:hAnsi="Times New Roman"/>
          <w:color w:val="333333"/>
          <w:sz w:val="22"/>
          <w:szCs w:val="22"/>
        </w:rPr>
        <w:t xml:space="preserve">Driver/Fuel ratio = Lactobacillus/Saccharomyces ratio (in sourdough)</w:t>
      </w:r>
      <w:r>
        <w:rPr>
          <w:rFonts w:ascii="Times New Roman" w:cs="Times New Roman" w:eastAsia="Times New Roman" w:hAnsi="Times New Roman"/>
          <w:color w:val="333333"/>
          <w:sz w:val="22"/>
          <w:szCs w:val="22"/>
        </w:rPr>
        <w:t xml:space="preserve">Driver/Fuel ratio = protection-site area / total protected area (in Ramsar wetlands)</w:t>
      </w:r>
      <w:r>
        <w:rPr>
          <w:rFonts w:ascii="Times New Roman" w:cs="Times New Roman" w:eastAsia="Times New Roman" w:hAnsi="Times New Roman"/>
          <w:color w:val="333333"/>
          <w:sz w:val="22"/>
          <w:szCs w:val="22"/>
        </w:rPr>
        <w:t xml:space="preserve">Driver/Fuel ratio = operator weight / tool weight (in governance systems)</w:t>
      </w:r>
    </w:p>
    <w:p>
      <w:pPr>
        <w:spacing w:after="180" w:line="276"/>
      </w:pPr>
      <w:r>
        <w:rPr>
          <w:rFonts w:ascii="Times New Roman" w:cs="Times New Roman" w:eastAsia="Times New Roman" w:hAnsi="Times New Roman"/>
          <w:color w:val="333333"/>
          <w:sz w:val="22"/>
          <w:szCs w:val="22"/>
        </w:rPr>
        <w:t xml:space="preserve">In each case:</w:t>
      </w:r>
    </w:p>
    <w:p>
      <w:pPr>
        <w:spacing w:after="180" w:line="276"/>
      </w:pPr>
      <w:r>
        <w:rPr>
          <w:rFonts w:ascii="Times New Roman" w:cs="Times New Roman" w:eastAsia="Times New Roman" w:hAnsi="Times New Roman"/>
          <w:color w:val="333333"/>
          <w:sz w:val="22"/>
          <w:szCs w:val="22"/>
        </w:rPr>
        <w:t xml:space="preserve">- Absolute metrics (MC-1, MC-2, MC-3) observe the individual elements. "The PV count is 30. The Lactobacillus population is 10^8. The wetland area is 93,000 ha."</w:t>
      </w:r>
    </w:p>
    <w:p>
      <w:pPr>
        <w:spacing w:after="180" w:line="276"/>
      </w:pPr>
      <w:r>
        <w:rPr>
          <w:rFonts w:ascii="Times New Roman" w:cs="Times New Roman" w:eastAsia="Times New Roman" w:hAnsi="Times New Roman"/>
          <w:color w:val="333333"/>
          <w:sz w:val="22"/>
          <w:szCs w:val="22"/>
        </w:rPr>
        <w:t xml:space="preserve">- MC-4 observes the </w:t>
      </w:r>
    </w:p>
    <w:p>
      <w:pPr>
        <w:spacing w:after="180" w:line="276"/>
      </w:pPr>
      <w:r>
        <w:rPr>
          <w:rFonts w:ascii="Times New Roman" w:cs="Times New Roman" w:eastAsia="Times New Roman" w:hAnsi="Times New Roman"/>
          <w:color w:val="333333"/>
          <w:sz w:val="22"/>
          <w:szCs w:val="22"/>
        </w:rPr>
        <w:t xml:space="preserve">Ratios change before totals collapse. Composition shifts before absolutes alarm. This is the insight MC-4 brings to every finite-budget system.</w:t>
      </w:r>
    </w:p>
    <w:p>
      <w:pPr>
        <w:pStyle w:val="Heading2"/>
        <w:spacing w:after="160" w:before="280"/>
      </w:pPr>
      <w:r>
        <w:rPr>
          <w:rFonts w:ascii="Times New Roman" w:cs="Times New Roman" w:eastAsia="Times New Roman" w:hAnsi="Times New Roman"/>
          <w:b/>
          <w:bCs/>
          <w:color w:val="1F3864"/>
          <w:sz w:val="24"/>
          <w:szCs w:val="24"/>
        </w:rPr>
        <w:t xml:space="preserve">10.7 Why Ratios Matter for Governance</w:t>
      </w:r>
    </w:p>
    <w:p>
      <w:pPr>
        <w:spacing w:after="180" w:line="276"/>
      </w:pPr>
      <w:r>
        <w:rPr>
          <w:rFonts w:ascii="Times New Roman" w:cs="Times New Roman" w:eastAsia="Times New Roman" w:hAnsi="Times New Roman"/>
          <w:color w:val="333333"/>
          <w:sz w:val="22"/>
          <w:szCs w:val="22"/>
        </w:rPr>
        <w:t xml:space="preserve">In a car, if your driver/fuel ratio drifts, you have an action window: you can diagnose the leak, repair it, or refuel before the system fails. If you wait for the absolute fuel level to trigger the warning light, your window may be gone.</w:t>
      </w:r>
    </w:p>
    <w:p>
      <w:pPr>
        <w:spacing w:after="180" w:line="276"/>
      </w:pPr>
      <w:r>
        <w:rPr>
          <w:rFonts w:ascii="Times New Roman" w:cs="Times New Roman" w:eastAsia="Times New Roman" w:hAnsi="Times New Roman"/>
          <w:color w:val="333333"/>
          <w:sz w:val="22"/>
          <w:szCs w:val="22"/>
        </w:rPr>
        <w:t xml:space="preserve">In governance systems, the same principle applies. A governance system declaring "operator: 51%, tool: 49%" (the OCC contract) must monitor that ratio. If silent drift moves it to "operator: 48%, tool: 52%", the system has drifted out of declared control before anyone noticed—and before absolute metrics (budget, performance, participation) showed alarm.</w:t>
      </w:r>
    </w:p>
    <w:p>
      <w:pPr>
        <w:spacing w:after="180" w:line="276"/>
      </w:pPr>
      <w:r>
        <w:rPr>
          <w:rFonts w:ascii="Times New Roman" w:cs="Times New Roman" w:eastAsia="Times New Roman" w:hAnsi="Times New Roman"/>
          <w:color w:val="333333"/>
          <w:sz w:val="22"/>
          <w:szCs w:val="22"/>
        </w:rPr>
        <w:t xml:space="preserve">MC-4 creates an institutional memory of these ratio shifts: Cycle 1, Cycle 2, Cycle 3, etc. The trajectory becomes visible. Intentional reweighting (declared) is distinguished from silent drift (undeclared). What was invisible becomes traceable.</w:t>
      </w:r>
    </w:p>
    <w:p>
      <w:pPr>
        <w:pStyle w:val="Heading2"/>
        <w:spacing w:after="160" w:before="280"/>
      </w:pPr>
      <w:r>
        <w:rPr>
          <w:rFonts w:ascii="Times New Roman" w:cs="Times New Roman" w:eastAsia="Times New Roman" w:hAnsi="Times New Roman"/>
          <w:b/>
          <w:bCs/>
          <w:color w:val="1F3864"/>
          <w:sz w:val="24"/>
          <w:szCs w:val="24"/>
        </w:rPr>
        <w:t xml:space="preserve">10.8 The Universality of the Ratio</w:t>
      </w:r>
    </w:p>
    <w:p>
      <w:pPr>
        <w:spacing w:after="180" w:line="276"/>
      </w:pPr>
      <w:r>
        <w:rPr>
          <w:rFonts w:ascii="Times New Roman" w:cs="Times New Roman" w:eastAsia="Times New Roman" w:hAnsi="Times New Roman"/>
          <w:color w:val="333333"/>
          <w:sz w:val="22"/>
          <w:szCs w:val="22"/>
        </w:rPr>
        <w:t xml:space="preserve">The car dashboard analogy demonstrates MC-4’s domain-agnostic claim. Whether the system is:</w:t>
      </w:r>
    </w:p>
    <w:p>
      <w:pPr>
        <w:spacing w:after="180" w:line="276"/>
      </w:pPr>
      <w:r>
        <w:rPr>
          <w:rFonts w:ascii="Times New Roman" w:cs="Times New Roman" w:eastAsia="Times New Roman" w:hAnsi="Times New Roman"/>
          <w:color w:val="333333"/>
          <w:sz w:val="22"/>
          <w:szCs w:val="22"/>
        </w:rPr>
        <w:t xml:space="preserve">A fuel tank (driver + fuel)</w:t>
      </w:r>
      <w:r>
        <w:rPr>
          <w:rFonts w:ascii="Times New Roman" w:cs="Times New Roman" w:eastAsia="Times New Roman" w:hAnsi="Times New Roman"/>
          <w:color w:val="333333"/>
          <w:sz w:val="22"/>
          <w:szCs w:val="22"/>
        </w:rPr>
        <w:t xml:space="preserve">A neural circuit (PV + SST)</w:t>
      </w:r>
      <w:r>
        <w:rPr>
          <w:rFonts w:ascii="Times New Roman" w:cs="Times New Roman" w:eastAsia="Times New Roman" w:hAnsi="Times New Roman"/>
          <w:color w:val="333333"/>
          <w:sz w:val="22"/>
          <w:szCs w:val="22"/>
        </w:rPr>
        <w:t xml:space="preserve">A biological culture (bacteria A + bacteria B)</w:t>
      </w:r>
      <w:r>
        <w:rPr>
          <w:rFonts w:ascii="Times New Roman" w:cs="Times New Roman" w:eastAsia="Times New Roman" w:hAnsi="Times New Roman"/>
          <w:color w:val="333333"/>
          <w:sz w:val="22"/>
          <w:szCs w:val="22"/>
        </w:rPr>
        <w:t xml:space="preserve">A governance structure (operator + tool)</w:t>
      </w:r>
    </w:p>
    <w:p>
      <w:pPr>
        <w:spacing w:after="180" w:line="276"/>
      </w:pPr>
      <w:r>
        <w:rPr>
          <w:rFonts w:ascii="Times New Roman" w:cs="Times New Roman" w:eastAsia="Times New Roman" w:hAnsi="Times New Roman"/>
          <w:color w:val="333333"/>
          <w:sz w:val="22"/>
          <w:szCs w:val="22"/>
        </w:rPr>
        <w:t xml:space="preserve">The structure is identical. Absolute metrics tell you what; ratios tell you how the system is </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Open Conjectures from the Collective Review (New in v2.0)</w:t>
      </w:r>
    </w:p>
    <w:p>
      <w:pPr>
        <w:spacing w:after="180" w:line="276"/>
      </w:pPr>
      <w:r>
        <w:rPr>
          <w:rFonts w:ascii="Times New Roman" w:cs="Times New Roman" w:eastAsia="Times New Roman" w:hAnsi="Times New Roman"/>
          <w:color w:val="333333"/>
          <w:sz w:val="22"/>
          <w:szCs w:val="22"/>
        </w:rPr>
        <w:t xml:space="preserve">The Five-AI Collective review (February 2026) produced 13 conjectures that extend the MC-4 framework. Each is labeled [CONJECTURE], indicating it has not been formally proved within the HUF framework. These are candidates for future proof or refutation.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6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Conjecture</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entropy is maximized at uniform distribution, minimized at full concentration</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Lyapunov stability: declared-weight fixed point attracts under governance correction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portfolios show lower variance in site scores than unmonitored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G.4</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Every finite collective-action resource with a budget ceiling is a valid HUF domain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Broad claim</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G.5</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artifacts satisfy Ostrom DP 1, 2, 4, and 7</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Partially mapped</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G.6</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 (FM-2) is the computational analogue of Ostrom monitoring failure</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argument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G.7</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is a sufficient implementation of Ostrom DP 4</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G.8</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satisfies Ostrom self-governing commons conditions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Connects to convergence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G.9</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Sensitivity parameter s scales as ~1/Q</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link</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G.10</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Per-cycle drift rate d scales as ~1 − 1/Q</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dynamics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Non-linear Lyapunov function exists for governance correction map</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Hardest open problem</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supplier concentration in procurement portfolios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model-capability concentration in AI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Proposed by Grok</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12. Discussion</w:t>
      </w:r>
    </w:p>
    <w:p>
      <w:pPr>
        <w:pStyle w:val="Heading2"/>
        <w:spacing w:after="160" w:before="280"/>
      </w:pPr>
      <w:r>
        <w:rPr>
          <w:rFonts w:ascii="Times New Roman" w:cs="Times New Roman" w:eastAsia="Times New Roman" w:hAnsi="Times New Roman"/>
          <w:b/>
          <w:bCs/>
          <w:color w:val="1F3864"/>
          <w:sz w:val="24"/>
          <w:szCs w:val="24"/>
        </w:rPr>
        <w:t xml:space="preserve">12.1 What MC-4 Is Not</w:t>
      </w:r>
    </w:p>
    <w:p>
      <w:pPr>
        <w:spacing w:after="180" w:line="276"/>
      </w:pPr>
      <w:r>
        <w:rPr>
          <w:rFonts w:ascii="Times New Roman" w:cs="Times New Roman" w:eastAsia="Times New Roman" w:hAnsi="Times New Roman"/>
          <w:color w:val="333333"/>
          <w:sz w:val="22"/>
          <w:szCs w:val="22"/>
        </w:rPr>
        <w:t xml:space="preserve">MC-4 does not replace domain-specific assessment. It does not provide ecological, engineering, or financial expertise. It does not independently verify the accuracy of declared data. It does not compel corrective action. MC-4 is a governance diagnostic: it makes the gap between declared intent and observed allocation visible, attributable, and traceable across reporting cycles.</w:t>
      </w:r>
    </w:p>
    <w:p>
      <w:pPr>
        <w:pStyle w:val="Heading2"/>
        <w:spacing w:after="160" w:before="280"/>
      </w:pPr>
      <w:r>
        <w:rPr>
          <w:rFonts w:ascii="Times New Roman" w:cs="Times New Roman" w:eastAsia="Times New Roman" w:hAnsi="Times New Roman"/>
          <w:b/>
          <w:bCs/>
          <w:color w:val="1F3864"/>
          <w:sz w:val="24"/>
          <w:szCs w:val="24"/>
        </w:rPr>
        <w:t xml:space="preserve">12.2 Limitations</w:t>
      </w:r>
    </w:p>
    <w:p>
      <w:pPr>
        <w:spacing w:after="180" w:line="276"/>
      </w:pPr>
      <w:r>
        <w:rPr>
          <w:rFonts w:ascii="Times New Roman" w:cs="Times New Roman" w:eastAsia="Times New Roman" w:hAnsi="Times New Roman"/>
          <w:color w:val="333333"/>
          <w:sz w:val="22"/>
          <w:szCs w:val="22"/>
        </w:rPr>
        <w:t xml:space="preserve">The framework assumes: (a) a well-defined budget ceiling exists, (b) element shares can be computed from available data, (c) declared weights are provided in good faith, and (d) the governance system has the capacity to respond to detected drift. When any of these assumptions fails, MC-4’s diagnostic value degrades. In particular, fabricated declarations would produce an accurate record of a false history—the institutional memory theorem records what was declared, not whether it was true.</w:t>
      </w:r>
    </w:p>
    <w:p>
      <w:pPr>
        <w:pStyle w:val="Heading2"/>
        <w:spacing w:after="160" w:before="280"/>
      </w:pPr>
      <w:r>
        <w:rPr>
          <w:rFonts w:ascii="Times New Roman" w:cs="Times New Roman" w:eastAsia="Times New Roman" w:hAnsi="Times New Roman"/>
          <w:b/>
          <w:bCs/>
          <w:color w:val="1F3864"/>
          <w:sz w:val="24"/>
          <w:szCs w:val="24"/>
        </w:rPr>
        <w:t xml:space="preserve">12.3 Relationship to Companion Work</w:t>
      </w:r>
    </w:p>
    <w:p>
      <w:pPr>
        <w:spacing w:after="180" w:line="276"/>
      </w:pPr>
      <w:r>
        <w:rPr>
          <w:rFonts w:ascii="Times New Roman" w:cs="Times New Roman" w:eastAsia="Times New Roman" w:hAnsi="Times New Roman"/>
          <w:color w:val="333333"/>
          <w:sz w:val="22"/>
          <w:szCs w:val="22"/>
        </w:rPr>
        <w:t xml:space="preserve">This paper (Pillar 2) addresses HOW HUF observes. The companion paper (Pillar 1: The Sufficiency Frontier) addresses WHAT HUF extracts from data. The nine volumes of the HUF Triad address operational implementation, empirical evidence, mathematical foundations, and domain-specific applications. Together, the three structures form a complete framework.</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pPr>
        <w:pStyle w:val="Heading1"/>
        <w:spacing w:after="200" w:before="360"/>
      </w:pPr>
      <w:r>
        <w:rPr>
          <w:rFonts w:ascii="Times New Roman" w:cs="Times New Roman" w:eastAsia="Times New Roman" w:hAnsi="Times New Roman"/>
          <w:b/>
          <w:bCs/>
          <w:color w:val="1F3864"/>
          <w:sz w:val="28"/>
          <w:szCs w:val="28"/>
        </w:rPr>
        <w:t xml:space="preserve">13. Conclusion</w:t>
      </w:r>
    </w:p>
    <w:p>
      <w:pPr>
        <w:spacing w:after="180" w:line="276"/>
      </w:pPr>
      <w:r>
        <w:rPr>
          <w:rFonts w:ascii="Times New Roman" w:cs="Times New Roman" w:eastAsia="Times New Roman" w:hAnsi="Times New Roman"/>
          <w:color w:val="333333"/>
          <w:sz w:val="22"/>
          <w:szCs w:val="22"/>
        </w:rPr>
        <w:t xml:space="preserve">Ratio State Monitoring (MC-4) is a structurally distinct monitoring category that detects silent drift in finite-budget systems by comparing observed allocation against declared intent. Its mathematical basis—the degenerate state observer on the probability simplex—requires no dynamic model, no external threshold, and no domain-specific calibration. Its practical output—four standard artifacts attached to existing governance reporting—provides an institutional memory that accumulates at one state per cycle, permanently.</w:t>
      </w:r>
    </w:p>
    <w:p>
      <w:pPr>
        <w:spacing w:after="180" w:line="276"/>
      </w:pPr>
      <w:r>
        <w:rPr>
          <w:rFonts w:ascii="Times New Roman" w:cs="Times New Roman" w:eastAsia="Times New Roman" w:hAnsi="Times New Roman"/>
          <w:color w:val="333333"/>
          <w:sz w:val="22"/>
          <w:szCs w:val="22"/>
        </w:rPr>
        <w:t xml:space="preserve">Three-domain confirmation across biological, ecological, and digital systems demonstrates domain-agnostic applicability. External validation on ESA Planck satellite data demonstrates that the ratio state carries genuine physical information. Thirteen open conjectures define the research frontier for formal extension.</w:t>
      </w:r>
    </w:p>
    <w:p>
      <w:pPr>
        <w:spacing w:after="180" w:line="276"/>
      </w:pPr>
      <w:r>
        <w:rPr>
          <w:rFonts w:ascii="Times New Roman" w:cs="Times New Roman" w:eastAsia="Times New Roman" w:hAnsi="Times New Roman"/>
          <w:color w:val="333333"/>
          <w:sz w:val="22"/>
          <w:szCs w:val="22"/>
        </w:rPr>
        <w:t xml:space="preserve">MC-4 does not decide; it makes visible. The operator retains majority control (OCC 51/49). The governance record attributes every detection, every response, and every non-response to a named authority. What was invisible becomes traceable. What was silent becomes documented.</w:t>
      </w:r>
    </w:p>
    <w:p>
      <w:pPr>
        <w:spacing w:after="180" w:line="276"/>
      </w:pPr>
      <w:r>
        <w:rPr>
          <w:rFonts w:ascii="Times New Roman" w:cs="Times New Roman" w:eastAsia="Times New Roman" w:hAnsi="Times New Roman"/>
          <w:color w:val="333333"/>
          <w:sz w:val="22"/>
          <w:szCs w:val="22"/>
        </w:rPr>
        <w:t xml:space="preserve">The car dashboard analogy—watching the driver/fuel ratio drift as the absolute level changes—provides intuitive understanding of why monitoring composition matters as much as monitoring absolutes. In every domain, from fuel systems to biological circuits to governance structures, the ratio tells a story the absolute cannot.</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i/>
          <w:iCs/>
          <w:color w:val="333333"/>
          <w:sz w:val="22"/>
          <w:szCs w:val="22"/>
        </w:rPr>
        <w:t xml:space="preserve">Nothing claims more than the artifacts support.</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References</w:t>
      </w:r>
    </w:p>
    <w:p>
      <w:pPr>
        <w:spacing w:after="180" w:line="276"/>
      </w:pPr>
      <w:r>
        <w:rPr>
          <w:rFonts w:ascii="Times New Roman" w:cs="Times New Roman" w:eastAsia="Times New Roman" w:hAnsi="Times New Roman"/>
          <w:color w:val="333333"/>
          <w:sz w:val="22"/>
          <w:szCs w:val="22"/>
        </w:rPr>
        <w:t xml:space="preserve">[1] A. Spellerberg, "Monitoring ecological change," 2nd ed. Cambridge University Press, 2005.</w:t>
      </w:r>
    </w:p>
    <w:p>
      <w:pPr>
        <w:spacing w:after="180" w:line="276"/>
      </w:pPr>
      <w:r>
        <w:rPr>
          <w:rFonts w:ascii="Times New Roman" w:cs="Times New Roman" w:eastAsia="Times New Roman" w:hAnsi="Times New Roman"/>
          <w:color w:val="333333"/>
          <w:sz w:val="22"/>
          <w:szCs w:val="22"/>
        </w:rPr>
        <w:t xml:space="preserve">[2] D. Lindenmayer and G. Likens, "Effective ecological monitoring," CSIRO Publishing, 2010.</w:t>
      </w:r>
    </w:p>
    <w:p>
      <w:pPr>
        <w:spacing w:after="180" w:line="276"/>
      </w:pPr>
      <w:r>
        <w:rPr>
          <w:rFonts w:ascii="Times New Roman" w:cs="Times New Roman" w:eastAsia="Times New Roman" w:hAnsi="Times New Roman"/>
          <w:color w:val="333333"/>
          <w:sz w:val="22"/>
          <w:szCs w:val="22"/>
        </w:rPr>
        <w:t xml:space="preserve">[3] P. Higgins, "HUF Handbook v1.2.0," Rogue Wave Audio, 2026.</w:t>
      </w:r>
    </w:p>
    <w:p>
      <w:pPr>
        <w:spacing w:after="180" w:line="276"/>
      </w:pPr>
      <w:r>
        <w:rPr>
          <w:rFonts w:ascii="Times New Roman" w:cs="Times New Roman" w:eastAsia="Times New Roman" w:hAnsi="Times New Roman"/>
          <w:color w:val="333333"/>
          <w:sz w:val="22"/>
          <w:szCs w:val="22"/>
        </w:rPr>
        <w:t xml:space="preserve">[4] D. Luenberger, "Observing the state of a linear system," IEEE Trans. Mil. Electron., vol. 8, pp. 74–80, 1964.</w:t>
      </w:r>
    </w:p>
    <w:p>
      <w:pPr>
        <w:spacing w:after="180" w:line="276"/>
      </w:pPr>
      <w:r>
        <w:rPr>
          <w:rFonts w:ascii="Times New Roman" w:cs="Times New Roman" w:eastAsia="Times New Roman" w:hAnsi="Times New Roman"/>
          <w:color w:val="333333"/>
          <w:sz w:val="22"/>
          <w:szCs w:val="22"/>
        </w:rPr>
        <w:t xml:space="preserve">[5]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[6] J. Aitchison, "The statistical analysis of compositional data," J.R. Stat. Soc. B, vol. 44, pp. 139–177, 1982.</w:t>
      </w:r>
    </w:p>
    <w:p>
      <w:pPr>
        <w:spacing w:after="180" w:line="276"/>
      </w:pPr>
      <w:r>
        <w:rPr>
          <w:rFonts w:ascii="Times New Roman" w:cs="Times New Roman" w:eastAsia="Times New Roman" w:hAnsi="Times New Roman"/>
          <w:color w:val="333333"/>
          <w:sz w:val="22"/>
          <w:szCs w:val="22"/>
        </w:rPr>
        <w:t xml:space="preserve">[7]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[8] W.A. Shewhart, "Economic Control of Quality of Manufactured Product," Van Nostrand, 1931.</w:t>
      </w:r>
    </w:p>
    <w:p>
      <w:pPr>
        <w:spacing w:after="180" w:line="276"/>
      </w:pPr>
      <w:r>
        <w:rPr>
          <w:rFonts w:ascii="Times New Roman" w:cs="Times New Roman" w:eastAsia="Times New Roman" w:hAnsi="Times New Roman"/>
          <w:color w:val="333333"/>
          <w:sz w:val="22"/>
          <w:szCs w:val="22"/>
        </w:rPr>
        <w:t xml:space="preserve">[9]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[10]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[11] P. Higgins, "The Sufficiency Frontier," HUF Triad Pillar 1, v3.0, 2026.</w:t>
      </w:r>
    </w:p>
    <w:p>
      <w:pPr>
        <w:spacing w:after="180" w:line="276"/>
      </w:pPr>
      <w:r>
        <w:rPr>
          <w:rFonts w:ascii="Times New Roman" w:cs="Times New Roman" w:eastAsia="Times New Roman" w:hAnsi="Times New Roman"/>
          <w:color w:val="333333"/>
          <w:sz w:val="22"/>
          <w:szCs w:val="22"/>
        </w:rPr>
        <w:t xml:space="preserve">[12] P. Higgins, "The HUF Triad: Volume 8, Synthesis," v1.0, 2026.</w:t>
      </w:r>
    </w:p>
    <w:p>
      <w:pPr>
        <w:spacing w:after="180" w:line="276"/>
      </w:pPr>
      <w:r>
        <w:rPr>
          <w:rFonts w:ascii="Times New Roman" w:cs="Times New Roman" w:eastAsia="Times New Roman" w:hAnsi="Times New Roman"/>
          <w:color w:val="333333"/>
          <w:sz w:val="22"/>
          <w:szCs w:val="22"/>
        </w:rPr>
        <w:t xml:space="preserve">[13]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[14] J.L. Fleiss et al.,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[15]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[16] D.L. Donoho, "Compressed sensing," IEEE Trans. Inf. Theory, vol. 52, pp. 1289–1306, 2006.</w:t>
      </w:r>
    </w:p>
    <w:p>
      <w:pPr>
        <w:spacing w:after="180" w:line="276"/>
      </w:pPr>
      <w:r>
        <w:rPr>
          <w:rFonts w:ascii="Times New Roman" w:cs="Times New Roman" w:eastAsia="Times New Roman" w:hAnsi="Times New Roman"/>
          <w:color w:val="333333"/>
          <w:sz w:val="22"/>
          <w:szCs w:val="22"/>
        </w:rPr>
        <w:t xml:space="preserve">[17] L. Boltzmann, "Weitere Studien über das Wärmegleichgewicht," Sitzungsber. Akad. Wiss. Wien, vol. 66, pp. 275–370, 1872.</w:t>
      </w:r>
    </w:p>
    <w:p>
      <w:pPr>
        <w:spacing w:after="180" w:line="276"/>
      </w:pPr>
      <w:r>
        <w:rPr>
          <w:rFonts w:ascii="Times New Roman" w:cs="Times New Roman" w:eastAsia="Times New Roman" w:hAnsi="Times New Roman"/>
          <w:color w:val="333333"/>
          <w:sz w:val="22"/>
          <w:szCs w:val="22"/>
        </w:rPr>
        <w:t xml:space="preserve">[18] J. Aitchison and J.A.C. Brown, "The Lognormal Distribution," Cambridge University Press, 1957.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2</w:t>
    </w:r>
    <w:r>
      <w:rPr>
        <w:rFonts w:ascii="Times New Roman" w:cs="Times New Roman" w:eastAsia="Times New Roman" w:hAnsi="Times New Roman"/>
        <w:i/>
        <w:iCs/>
        <w:color w:val="2E75B6"/>
        <w:sz w:val="18"/>
        <w:szCs w:val="18"/>
      </w:rPr>
      <w:t xml:space="preserve">	The Fourth Monitoring Category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2026-03-09T19:36:23.021Z</dcterms:created>
  <dcterms:modified xsi:type="dcterms:W3CDTF">2026-03-09T19:36:23.021Z</dcterms:modified>
</cp:coreProperties>
</file>

<file path=docProps/custom.xml><?xml version="1.0" encoding="utf-8"?>
<Properties xmlns="http://schemas.openxmlformats.org/officeDocument/2006/custom-properties" xmlns:vt="http://schemas.openxmlformats.org/officeDocument/2006/docPropsVTypes"/>
</file>