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2.5 · HUF-Org with ML Validation</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(v2.3) includes the Car/Fuel Dashboard analogy for intuitive understanding of MC-4 monitoring, Dynamic OCC Drift Monitoring with real-time ratio oscillation detection, Dynamic Portfolio Gating with adaptive thresholds,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pPr>
        <w:spacing w:after="140" w:line="276"/>
        <w:ind w:left="360"/>
      </w:pPr>
      <w:r>
        <w:rPr>
          <w:rFonts w:ascii="Times New Roman" w:cs="Times New Roman" w:eastAsia="Times New Roman" w:hAnsi="Times New Roman"/>
          <w:b/>
          <w:bCs/>
          <w:i/>
          <w:iCs/>
          <w:color w:val="333333"/>
          <w:sz w:val="22"/>
          <w:szCs w:val="22"/>
        </w:rPr>
        <w:t xml:space="preserve">Dynamic OCC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Real-time oscillation of the OCC ratio around the declared 51/49 nominal.</w:t>
      </w:r>
    </w:p>
    <w:p>
      <w:pPr>
        <w:spacing w:after="140" w:line="276"/>
        <w:ind w:left="360"/>
      </w:pPr>
      <w:r>
        <w:rPr>
          <w:rFonts w:ascii="Times New Roman" w:cs="Times New Roman" w:eastAsia="Times New Roman" w:hAnsi="Times New Roman"/>
          <w:b/>
          <w:bCs/>
          <w:i/>
          <w:iCs/>
          <w:color w:val="333333"/>
          <w:sz w:val="22"/>
          <w:szCs w:val="22"/>
        </w:rPr>
        <w:t xml:space="preserve">Drift monitor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Instrument that tracks OCC ratio oscillation, tool depletion signals, and approaches to ground state.</w:t>
      </w:r>
    </w:p>
    <w:p>
      <w:pPr>
        <w:spacing w:after="140" w:line="276"/>
        <w:ind w:left="360"/>
      </w:pPr>
      <w:r>
        <w:rPr>
          <w:rFonts w:ascii="Times New Roman" w:cs="Times New Roman" w:eastAsia="Times New Roman" w:hAnsi="Times New Roman"/>
          <w:b/>
          <w:bCs/>
          <w:i/>
          <w:iCs/>
          <w:color w:val="333333"/>
          <w:sz w:val="22"/>
          <w:szCs w:val="22"/>
        </w:rPr>
        <w:t xml:space="preserve">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Dynamic inclusion/exclusion of elements based on observability threshold.</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MC-4 in Everyday Experience: The Car Dashboard (New in v2.1)</w:t>
      </w:r>
    </w:p>
    <w:p>
      <w:pPr>
        <w:spacing w:after="180" w:line="276"/>
      </w:pPr>
      <w:r>
        <w:rPr>
          <w:rFonts w:ascii="Times New Roman" w:cs="Times New Roman" w:eastAsia="Times New Roman" w:hAnsi="Times New Roman"/>
          <w:color w:val="333333"/>
          <w:sz w:val="22"/>
          <w:szCs w:val="22"/>
        </w:rPr>
        <w:t xml:space="preserve">The Fourth Monitoring Category can be understood through the analogy of a car’s fuel system and its monitoring instruments. This section explains MC-4 by mapping it to the dashboard metrics drivers use every day.</w:t>
      </w:r>
    </w:p>
    <w:p>
      <w:pPr>
        <w:pStyle w:val="Heading2"/>
        <w:spacing w:after="160" w:before="280"/>
      </w:pPr>
      <w:r>
        <w:rPr>
          <w:rFonts w:ascii="Times New Roman" w:cs="Times New Roman" w:eastAsia="Times New Roman" w:hAnsi="Times New Roman"/>
          <w:b/>
          <w:bCs/>
          <w:color w:val="1F3864"/>
          <w:sz w:val="24"/>
          <w:szCs w:val="24"/>
        </w:rPr>
        <w:t xml:space="preserve">10.1 Traditional Monitoring (MC-1, MC-2, MC-3) as Absolute Metrics</w:t>
      </w:r>
    </w:p>
    <w:p>
      <w:pPr>
        <w:spacing w:after="180" w:line="276"/>
      </w:pPr>
      <w:r>
        <w:rPr>
          <w:rFonts w:ascii="Times New Roman" w:cs="Times New Roman" w:eastAsia="Times New Roman" w:hAnsi="Times New Roman"/>
          <w:color w:val="333333"/>
          <w:sz w:val="22"/>
          <w:szCs w:val="22"/>
        </w:rPr>
        <w:t xml:space="preserve">Consider the fuel gauge and engine temperature gauge on a car dashboard. These are absolute metrics:</w:t>
      </w:r>
    </w:p>
    <w:p>
      <w:pPr>
        <w:spacing w:after="180" w:line="276"/>
      </w:pPr>
      <w:r>
        <w:rPr>
          <w:rFonts w:ascii="Times New Roman" w:cs="Times New Roman" w:eastAsia="Times New Roman" w:hAnsi="Times New Roman"/>
          <w:color w:val="333333"/>
          <w:sz w:val="22"/>
          <w:szCs w:val="22"/>
        </w:rPr>
        <w:t xml:space="preserve">MC-1 (Passive): The fuel gauge simply reads "you have 3 gallons." It observes the absolute level without a structured reference. A driver might see the needle move but cannot distinguish between a slow leak, a broken pump, or normal consumption.</w:t>
      </w:r>
    </w:p>
    <w:p>
      <w:pPr>
        <w:spacing w:after="180" w:line="276"/>
      </w:pPr>
      <w:r>
        <w:rPr>
          <w:rFonts w:ascii="Times New Roman" w:cs="Times New Roman" w:eastAsia="Times New Roman" w:hAnsi="Times New Roman"/>
          <w:color w:val="333333"/>
          <w:sz w:val="22"/>
          <w:szCs w:val="22"/>
        </w:rPr>
        <w:t xml:space="preserve">MC-2 (Mandated): A warning light triggers at a threshold—e.g., "low fuel" when below 1 gallon. The car obeys an external standard (legal fuel reserve requirements) without explaining structural change.</w:t>
      </w:r>
    </w:p>
    <w:p>
      <w:pPr>
        <w:spacing w:after="180" w:line="276"/>
      </w:pPr>
      <w:r>
        <w:rPr>
          <w:rFonts w:ascii="Times New Roman" w:cs="Times New Roman" w:eastAsia="Times New Roman" w:hAnsi="Times New Roman"/>
          <w:color w:val="333333"/>
          <w:sz w:val="22"/>
          <w:szCs w:val="22"/>
        </w:rPr>
        <w:t xml:space="preserve">MC-3 (Question-driven): A question-driven system might ask "If I drive at 65 mph, will I reach the gas station at mile 52?" This tests a specific model without seeing broader patterns.</w:t>
      </w:r>
    </w:p>
    <w:p>
      <w:pPr>
        <w:spacing w:after="180" w:line="276"/>
      </w:pPr>
      <w:r>
        <w:rPr>
          <w:rFonts w:ascii="Times New Roman" w:cs="Times New Roman" w:eastAsia="Times New Roman" w:hAnsi="Times New Roman"/>
          <w:color w:val="333333"/>
          <w:sz w:val="22"/>
          <w:szCs w:val="22"/>
        </w:rPr>
        <w:t xml:space="preserve">All three focus on </w:t>
      </w:r>
    </w:p>
    <w:p>
      <w:pPr>
        <w:pStyle w:val="Heading2"/>
        <w:spacing w:after="160" w:before="280"/>
      </w:pPr>
      <w:r>
        <w:rPr>
          <w:rFonts w:ascii="Times New Roman" w:cs="Times New Roman" w:eastAsia="Times New Roman" w:hAnsi="Times New Roman"/>
          <w:b/>
          <w:bCs/>
          <w:color w:val="1F3864"/>
          <w:sz w:val="24"/>
          <w:szCs w:val="24"/>
        </w:rPr>
        <w:t xml:space="preserve">10.2 The Ratio: Driver + Fuel</w:t>
      </w:r>
    </w:p>
    <w:p>
      <w:pPr>
        <w:spacing w:after="180" w:line="276"/>
      </w:pPr>
      <w:r>
        <w:rPr>
          <w:rFonts w:ascii="Times New Roman" w:cs="Times New Roman" w:eastAsia="Times New Roman" w:hAnsi="Times New Roman"/>
          <w:color w:val="333333"/>
          <w:sz w:val="22"/>
          <w:szCs w:val="22"/>
        </w:rPr>
        <w:t xml:space="preserve">Now introduce MC-4. Instead of asking "How much fuel?", ask "What is the ratio of driver to fuel in the system?"</w:t>
      </w:r>
    </w:p>
    <w:p>
      <w:pPr>
        <w:spacing w:after="180" w:line="276"/>
      </w:pPr>
      <w:r>
        <w:rPr>
          <w:rFonts w:ascii="Times New Roman" w:cs="Times New Roman" w:eastAsia="Times New Roman" w:hAnsi="Times New Roman"/>
          <w:color w:val="333333"/>
          <w:sz w:val="22"/>
          <w:szCs w:val="22"/>
        </w:rPr>
        <w:t xml:space="preserve">When you fill your tank: driver 51 gallons, fuel 49 gallons. Ratio = 1.04 (roughly 51/49). This is your system’s declared weight—the proportion between driver and fuel.</w:t>
      </w:r>
    </w:p>
    <w:p>
      <w:pPr>
        <w:spacing w:after="180" w:line="276"/>
      </w:pPr>
      <w:r>
        <w:rPr>
          <w:rFonts w:ascii="Times New Roman" w:cs="Times New Roman" w:eastAsia="Times New Roman" w:hAnsi="Times New Roman"/>
          <w:color w:val="333333"/>
          <w:sz w:val="22"/>
          <w:szCs w:val="22"/>
        </w:rPr>
        <w:t xml:space="preserve">As you drive:</w:t>
      </w:r>
    </w:p>
    <w:p>
      <w:pPr>
        <w:spacing w:after="180" w:line="276"/>
      </w:pPr>
      <w:r>
        <w:rPr>
          <w:rFonts w:ascii="Times New Roman" w:cs="Times New Roman" w:eastAsia="Times New Roman" w:hAnsi="Times New Roman"/>
          <w:color w:val="333333"/>
          <w:sz w:val="22"/>
          <w:szCs w:val="22"/>
        </w:rPr>
        <w:t xml:space="preserve">Cycle 1: Driver 55 gallons, Fuel 45 gallons. Ratio = 1.22 (55/45). Fuel share dropped from 49% to 45%.</w:t>
      </w:r>
    </w:p>
    <w:p>
      <w:pPr>
        <w:spacing w:after="180" w:line="276"/>
      </w:pPr>
      <w:r>
        <w:rPr>
          <w:rFonts w:ascii="Times New Roman" w:cs="Times New Roman" w:eastAsia="Times New Roman" w:hAnsi="Times New Roman"/>
          <w:color w:val="333333"/>
          <w:sz w:val="22"/>
          <w:szCs w:val="22"/>
        </w:rPr>
        <w:t xml:space="preserve">Cycle 2: Driver 70 gallons, Fuel 30 gallons. Ratio = 2.33 (70/30). Fuel share dropped from 45% to 30%.</w:t>
      </w:r>
    </w:p>
    <w:p>
      <w:pPr>
        <w:spacing w:after="180" w:line="276"/>
      </w:pPr>
      <w:r>
        <w:rPr>
          <w:rFonts w:ascii="Times New Roman" w:cs="Times New Roman" w:eastAsia="Times New Roman" w:hAnsi="Times New Roman"/>
          <w:color w:val="333333"/>
          <w:sz w:val="22"/>
          <w:szCs w:val="22"/>
        </w:rPr>
        <w:t xml:space="preserve">Cycle 3: Driver 85 gallons, Fuel 15 gallons. Ratio = 5.67 (85/15). Fuel share is now 15%.</w:t>
      </w:r>
    </w:p>
    <w:p>
      <w:pPr>
        <w:spacing w:after="180" w:line="276"/>
      </w:pPr>
      <w:r>
        <w:rPr>
          <w:rFonts w:ascii="Times New Roman" w:cs="Times New Roman" w:eastAsia="Times New Roman" w:hAnsi="Times New Roman"/>
          <w:color w:val="333333"/>
          <w:sz w:val="22"/>
          <w:szCs w:val="22"/>
        </w:rPr>
        <w:t xml:space="preserve">The fuel </w:t>
      </w:r>
    </w:p>
    <w:p>
      <w:pPr>
        <w:spacing w:after="180" w:line="276"/>
      </w:pPr>
      <w:r>
        <w:rPr>
          <w:rFonts w:ascii="Times New Roman" w:cs="Times New Roman" w:eastAsia="Times New Roman" w:hAnsi="Times New Roman"/>
          <w:color w:val="333333"/>
          <w:sz w:val="22"/>
          <w:szCs w:val="22"/>
        </w:rPr>
        <w:t xml:space="preserve">MC-4 says something different: "Your driver/fuel ratio has </w:t>
      </w:r>
    </w:p>
    <w:p>
      <w:pPr>
        <w:pStyle w:val="Heading2"/>
        <w:spacing w:after="160" w:before="280"/>
      </w:pPr>
      <w:r>
        <w:rPr>
          <w:rFonts w:ascii="Times New Roman" w:cs="Times New Roman" w:eastAsia="Times New Roman" w:hAnsi="Times New Roman"/>
          <w:b/>
          <w:bCs/>
          <w:color w:val="1F3864"/>
          <w:sz w:val="24"/>
          <w:szCs w:val="24"/>
        </w:rPr>
        <w:t xml:space="preserve">10.3 MC-4 Detects Drift Before Absolutes Alarm</w:t>
      </w:r>
    </w:p>
    <w:p>
      <w:pPr>
        <w:spacing w:after="180" w:line="276"/>
      </w:pPr>
      <w:r>
        <w:rPr>
          <w:rFonts w:ascii="Times New Roman" w:cs="Times New Roman" w:eastAsia="Times New Roman" w:hAnsi="Times New Roman"/>
          <w:color w:val="333333"/>
          <w:sz w:val="22"/>
          <w:szCs w:val="22"/>
        </w:rPr>
        <w:t xml:space="preserve">Here is MC-4’s critical advantage: </w:t>
      </w:r>
    </w:p>
    <w:p>
      <w:pPr>
        <w:spacing w:after="180" w:line="276"/>
      </w:pPr>
      <w:r>
        <w:rPr>
          <w:rFonts w:ascii="Times New Roman" w:cs="Times New Roman" w:eastAsia="Times New Roman" w:hAnsi="Times New Roman"/>
          <w:color w:val="333333"/>
          <w:sz w:val="22"/>
          <w:szCs w:val="22"/>
        </w:rPr>
        <w:t xml:space="preserve">Imagine a slow leak in your fuel tank. After one hour:</w:t>
      </w:r>
    </w:p>
    <w:p>
      <w:pPr>
        <w:spacing w:after="180" w:line="276"/>
      </w:pPr>
      <w:r>
        <w:rPr>
          <w:rFonts w:ascii="Times New Roman" w:cs="Times New Roman" w:eastAsia="Times New Roman" w:hAnsi="Times New Roman"/>
          <w:color w:val="333333"/>
          <w:sz w:val="22"/>
          <w:szCs w:val="22"/>
        </w:rPr>
        <w:t xml:space="preserve">- MC-1 fuel gauge: 48 gallons (down from 49). Still green. Unremarkable.</w:t>
      </w:r>
    </w:p>
    <w:p>
      <w:pPr>
        <w:spacing w:after="180" w:line="276"/>
      </w:pPr>
      <w:r>
        <w:rPr>
          <w:rFonts w:ascii="Times New Roman" w:cs="Times New Roman" w:eastAsia="Times New Roman" w:hAnsi="Times New Roman"/>
          <w:color w:val="333333"/>
          <w:sz w:val="22"/>
          <w:szCs w:val="22"/>
        </w:rPr>
        <w:t xml:space="preserve">- MC-4 ratio: Fuel share dropped from 49% to 48%. Driver/fuel ratio is now 1.08 instead of 1.04. Drift detected.</w:t>
      </w:r>
    </w:p>
    <w:p>
      <w:pPr>
        <w:spacing w:after="180" w:line="276"/>
      </w:pPr>
      <w:r>
        <w:rPr>
          <w:rFonts w:ascii="Times New Roman" w:cs="Times New Roman" w:eastAsia="Times New Roman" w:hAnsi="Times New Roman"/>
          <w:color w:val="333333"/>
          <w:sz w:val="22"/>
          <w:szCs w:val="22"/>
        </w:rPr>
        <w:t xml:space="preserve">After six hours:</w:t>
      </w:r>
    </w:p>
    <w:p>
      <w:pPr>
        <w:spacing w:after="180" w:line="276"/>
      </w:pPr>
      <w:r>
        <w:rPr>
          <w:rFonts w:ascii="Times New Roman" w:cs="Times New Roman" w:eastAsia="Times New Roman" w:hAnsi="Times New Roman"/>
          <w:color w:val="333333"/>
          <w:sz w:val="22"/>
          <w:szCs w:val="22"/>
        </w:rPr>
        <w:t xml:space="preserve">- MC-1 fuel gauge: 43 gallons. Still usable. Driver can ignore it.</w:t>
      </w:r>
    </w:p>
    <w:p>
      <w:pPr>
        <w:spacing w:after="180" w:line="276"/>
      </w:pPr>
      <w:r>
        <w:rPr>
          <w:rFonts w:ascii="Times New Roman" w:cs="Times New Roman" w:eastAsia="Times New Roman" w:hAnsi="Times New Roman"/>
          <w:color w:val="333333"/>
          <w:sz w:val="22"/>
          <w:szCs w:val="22"/>
        </w:rPr>
        <w:t xml:space="preserve">- MC-4 ratio: Fuel share is now 43/51 = 0.45. Driver/fuel ratio is 1.19. Compositional shift of 14% from baseline. Early warning: "The system is drifting."</w:t>
      </w:r>
    </w:p>
    <w:p>
      <w:pPr>
        <w:spacing w:after="180" w:line="276"/>
      </w:pPr>
      <w:r>
        <w:rPr>
          <w:rFonts w:ascii="Times New Roman" w:cs="Times New Roman" w:eastAsia="Times New Roman" w:hAnsi="Times New Roman"/>
          <w:color w:val="333333"/>
          <w:sz w:val="22"/>
          <w:szCs w:val="22"/>
        </w:rPr>
        <w:t xml:space="preserve">After 12 hours:</w:t>
      </w:r>
    </w:p>
    <w:p>
      <w:pPr>
        <w:spacing w:after="180" w:line="276"/>
      </w:pPr>
      <w:r>
        <w:rPr>
          <w:rFonts w:ascii="Times New Roman" w:cs="Times New Roman" w:eastAsia="Times New Roman" w:hAnsi="Times New Roman"/>
          <w:color w:val="333333"/>
          <w:sz w:val="22"/>
          <w:szCs w:val="22"/>
        </w:rPr>
        <w:t xml:space="preserve">- MC-1 fuel gauge: 37 gallons. "Low fuel" warning triggers.</w:t>
      </w:r>
    </w:p>
    <w:p>
      <w:pPr>
        <w:spacing w:after="180" w:line="276"/>
      </w:pPr>
      <w:r>
        <w:rPr>
          <w:rFonts w:ascii="Times New Roman" w:cs="Times New Roman" w:eastAsia="Times New Roman" w:hAnsi="Times New Roman"/>
          <w:color w:val="333333"/>
          <w:sz w:val="22"/>
          <w:szCs w:val="22"/>
        </w:rPr>
        <w:t xml:space="preserve">- MC-4 ratio: Fuel share = 37/51 = 0.42. Driver/fuel ratio = 1.38. Drift of 33%. MC-4 flagged the problem hours ago.</w:t>
      </w:r>
    </w:p>
    <w:p>
      <w:pPr>
        <w:spacing w:after="180" w:line="276"/>
      </w:pPr>
      <w:r>
        <w:rPr>
          <w:rFonts w:ascii="Times New Roman" w:cs="Times New Roman" w:eastAsia="Times New Roman" w:hAnsi="Times New Roman"/>
          <w:color w:val="333333"/>
          <w:sz w:val="22"/>
          <w:szCs w:val="22"/>
        </w:rPr>
        <w:t xml:space="preserve">MC-4’s power is simple: </w:t>
      </w:r>
    </w:p>
    <w:p>
      <w:pPr>
        <w:pStyle w:val="Heading2"/>
        <w:spacing w:after="160" w:before="280"/>
      </w:pPr>
      <w:r>
        <w:rPr>
          <w:rFonts w:ascii="Times New Roman" w:cs="Times New Roman" w:eastAsia="Times New Roman" w:hAnsi="Times New Roman"/>
          <w:b/>
          <w:bCs/>
          <w:color w:val="1F3864"/>
          <w:sz w:val="24"/>
          <w:szCs w:val="24"/>
        </w:rPr>
        <w:t xml:space="preserve">10.4 The Deceptive Drift: OCC Budget Depletion</w:t>
      </w:r>
    </w:p>
    <w:p>
      <w:pPr>
        <w:spacing w:after="180" w:line="276"/>
      </w:pPr>
      <w:r>
        <w:rPr>
          <w:rFonts w:ascii="Times New Roman" w:cs="Times New Roman" w:eastAsia="Times New Roman" w:hAnsi="Times New Roman"/>
          <w:color w:val="333333"/>
          <w:sz w:val="22"/>
          <w:szCs w:val="22"/>
        </w:rPr>
        <w:t xml:space="preserve">MC-4 watches the driver/fuel ratio. As fuel depletes: 51/49 → 55/45 → 70/30 → 85/15 → 95/5.</w:t>
      </w:r>
    </w:p>
    <w:p>
      <w:pPr>
        <w:spacing w:after="180" w:line="276"/>
      </w:pPr>
      <w:r>
        <w:rPr>
          <w:rFonts w:ascii="Times New Roman" w:cs="Times New Roman" w:eastAsia="Times New Roman" w:hAnsi="Times New Roman"/>
          <w:color w:val="333333"/>
          <w:sz w:val="22"/>
          <w:szCs w:val="22"/>
        </w:rPr>
        <w:t xml:space="preserve">At each step, the operator’s share of the system is </w:t>
      </w:r>
    </w:p>
    <w:p>
      <w:pPr>
        <w:spacing w:after="180" w:line="276"/>
      </w:pPr>
      <w:r>
        <w:rPr>
          <w:rFonts w:ascii="Times New Roman" w:cs="Times New Roman" w:eastAsia="Times New Roman" w:hAnsi="Times New Roman"/>
          <w:color w:val="333333"/>
          <w:sz w:val="22"/>
          <w:szCs w:val="22"/>
        </w:rPr>
        <w:t xml:space="preserve">The operator did not gain resources. The tool lost them. The rising operator share is the signature of OCC drift—the tool’s budget running out. The operator cannot control what the tool cannot provide. As the tool’s allocation shrinks from 49% to 5%, the system approaches collapse.</w:t>
      </w:r>
    </w:p>
    <w:p>
      <w:pPr>
        <w:spacing w:after="180" w:line="276"/>
      </w:pPr>
      <w:r>
        <w:rPr>
          <w:rFonts w:ascii="Times New Roman" w:cs="Times New Roman" w:eastAsia="Times New Roman" w:hAnsi="Times New Roman"/>
          <w:color w:val="333333"/>
          <w:sz w:val="22"/>
          <w:szCs w:val="22"/>
        </w:rPr>
        <w:t xml:space="preserve">If the operator is not watching MC-4’s ratio reports, the first indication of failure is the "abrupt inform"—the engine stops, the car is on the side of the road. No gradual warning. MC-4’s entire purpose is to prevent abrupt inform by making the drift trajectory visible </w:t>
      </w:r>
    </w:p>
    <w:p>
      <w:pPr>
        <w:spacing w:after="180" w:line="276"/>
      </w:pPr>
      <w:r>
        <w:rPr>
          <w:rFonts w:ascii="Times New Roman" w:cs="Times New Roman" w:eastAsia="Times New Roman" w:hAnsi="Times New Roman"/>
          <w:color w:val="333333"/>
          <w:sz w:val="22"/>
          <w:szCs w:val="22"/>
        </w:rPr>
        <w:t xml:space="preserve">The ratio moving from 51/49 toward 100/0 is the signal. The absolute tool capacity is noise. In governance: when one stakeholder’s share grows while others diminish, it is not a sign of that stakeholder’s strength—it is a sign of system collapse. The department whose budget share grows because other departments are being cut looks like it is thriving. The organization is dying. MC-4 makes the composition shift visible before the resource depletion becomes irreversible.</w:t>
      </w:r>
    </w:p>
    <w:p>
      <w:pPr>
        <w:pStyle w:val="Heading2"/>
        <w:spacing w:after="160" w:before="280"/>
      </w:pPr>
      <w:r>
        <w:rPr>
          <w:rFonts w:ascii="Times New Roman" w:cs="Times New Roman" w:eastAsia="Times New Roman" w:hAnsi="Times New Roman"/>
          <w:b/>
          <w:bCs/>
          <w:color w:val="1F3864"/>
          <w:sz w:val="24"/>
          <w:szCs w:val="24"/>
        </w:rPr>
        <w:t xml:space="preserve">10.5 The Car Dashboard as MC-4 Instrument</w:t>
      </w:r>
    </w:p>
    <w:p>
      <w:pPr>
        <w:spacing w:after="180" w:line="276"/>
      </w:pPr>
      <w:r>
        <w:rPr>
          <w:rFonts w:ascii="Times New Roman" w:cs="Times New Roman" w:eastAsia="Times New Roman" w:hAnsi="Times New Roman"/>
          <w:color w:val="333333"/>
          <w:sz w:val="22"/>
          <w:szCs w:val="22"/>
        </w:rPr>
        <w:t xml:space="preserve">Modern cars have an onboard diagnostics computer (OBD). It tracks:</w:t>
      </w:r>
    </w:p>
    <w:p>
      <w:pPr>
        <w:spacing w:after="180" w:line="276"/>
      </w:pPr>
      <w:r>
        <w:rPr>
          <w:rFonts w:ascii="Times New Roman" w:cs="Times New Roman" w:eastAsia="Times New Roman" w:hAnsi="Times New Roman"/>
          <w:color w:val="333333"/>
          <w:sz w:val="22"/>
          <w:szCs w:val="22"/>
        </w:rPr>
        <w:t xml:space="preserve">- Fuel level (MC-1): absolute gauge reading.</w:t>
      </w:r>
    </w:p>
    <w:p>
      <w:pPr>
        <w:spacing w:after="180" w:line="276"/>
      </w:pPr>
      <w:r>
        <w:rPr>
          <w:rFonts w:ascii="Times New Roman" w:cs="Times New Roman" w:eastAsia="Times New Roman" w:hAnsi="Times New Roman"/>
          <w:color w:val="333333"/>
          <w:sz w:val="22"/>
          <w:szCs w:val="22"/>
        </w:rPr>
        <w:t xml:space="preserve">- Fuel consumption rate (MC-3): question-driven model—"If I drive 50 miles, how much fuel remains?"</w:t>
      </w:r>
    </w:p>
    <w:p>
      <w:pPr>
        <w:spacing w:after="180" w:line="276"/>
      </w:pPr>
      <w:r>
        <w:rPr>
          <w:rFonts w:ascii="Times New Roman" w:cs="Times New Roman" w:eastAsia="Times New Roman" w:hAnsi="Times New Roman"/>
          <w:color w:val="333333"/>
          <w:sz w:val="22"/>
          <w:szCs w:val="22"/>
        </w:rPr>
        <w:t xml:space="preserve">- Efficiency ratio (MC-4): miles-per-gallon, or more directly, the ratio of distance to fuel burned.</w:t>
      </w:r>
    </w:p>
    <w:p>
      <w:pPr>
        <w:spacing w:after="180" w:line="276"/>
      </w:pPr>
      <w:r>
        <w:rPr>
          <w:rFonts w:ascii="Times New Roman" w:cs="Times New Roman" w:eastAsia="Times New Roman" w:hAnsi="Times New Roman"/>
          <w:color w:val="333333"/>
          <w:sz w:val="22"/>
          <w:szCs w:val="22"/>
        </w:rPr>
        <w:t xml:space="preserve">The OBD screen shows: "MPG: 24.3. Avg: 23.8. Trend: declining."</w:t>
      </w:r>
    </w:p>
    <w:p>
      <w:pPr>
        <w:spacing w:after="180" w:line="276"/>
      </w:pPr>
      <w:r>
        <w:rPr>
          <w:rFonts w:ascii="Times New Roman" w:cs="Times New Roman" w:eastAsia="Times New Roman" w:hAnsi="Times New Roman"/>
          <w:color w:val="333333"/>
          <w:sz w:val="22"/>
          <w:szCs w:val="22"/>
        </w:rPr>
        <w:t xml:space="preserve">That trend line is MC-4. It says: "Your distance-to-fuel ratio is shifting away from your baseline. Something is changing in the system’s composition—engine efficiency, driving pattern, or fuel quality. The ratio drift appeared before any absolute metric alarmed."</w:t>
      </w:r>
    </w:p>
    <w:p>
      <w:pPr>
        <w:pStyle w:val="Heading2"/>
        <w:spacing w:after="160" w:before="280"/>
      </w:pPr>
      <w:r>
        <w:rPr>
          <w:rFonts w:ascii="Times New Roman" w:cs="Times New Roman" w:eastAsia="Times New Roman" w:hAnsi="Times New Roman"/>
          <w:b/>
          <w:bCs/>
          <w:color w:val="1F3864"/>
          <w:sz w:val="24"/>
          <w:szCs w:val="24"/>
        </w:rPr>
        <w:t xml:space="preserve">10.6 Mapping to Real Domains</w:t>
      </w:r>
    </w:p>
    <w:p>
      <w:pPr>
        <w:spacing w:after="180" w:line="276"/>
      </w:pPr>
      <w:r>
        <w:rPr>
          <w:rFonts w:ascii="Times New Roman" w:cs="Times New Roman" w:eastAsia="Times New Roman" w:hAnsi="Times New Roman"/>
          <w:color w:val="333333"/>
          <w:sz w:val="22"/>
          <w:szCs w:val="22"/>
        </w:rPr>
        <w:t xml:space="preserve">In the car analogy:</w:t>
      </w:r>
    </w:p>
    <w:p>
      <w:pPr>
        <w:spacing w:after="180" w:line="276"/>
      </w:pPr>
      <w:r>
        <w:rPr>
          <w:rFonts w:ascii="Times New Roman" w:cs="Times New Roman" w:eastAsia="Times New Roman" w:hAnsi="Times New Roman"/>
          <w:color w:val="333333"/>
          <w:sz w:val="22"/>
          <w:szCs w:val="22"/>
        </w:rPr>
        <w:t xml:space="preserve">Driver/Fuel ratio = PV/SST ratio (in auditory cortex)</w:t>
      </w:r>
      <w:r>
        <w:rPr>
          <w:rFonts w:ascii="Times New Roman" w:cs="Times New Roman" w:eastAsia="Times New Roman" w:hAnsi="Times New Roman"/>
          <w:color w:val="333333"/>
          <w:sz w:val="22"/>
          <w:szCs w:val="22"/>
        </w:rPr>
        <w:t xml:space="preserve">Driver/Fuel ratio = Lactobacillus/Saccharomyces ratio (in sourdough)</w:t>
      </w:r>
      <w:r>
        <w:rPr>
          <w:rFonts w:ascii="Times New Roman" w:cs="Times New Roman" w:eastAsia="Times New Roman" w:hAnsi="Times New Roman"/>
          <w:color w:val="333333"/>
          <w:sz w:val="22"/>
          <w:szCs w:val="22"/>
        </w:rPr>
        <w:t xml:space="preserve">Driver/Fuel ratio = protection-site area / total protected area (in Ramsar wetlands)</w:t>
      </w:r>
      <w:r>
        <w:rPr>
          <w:rFonts w:ascii="Times New Roman" w:cs="Times New Roman" w:eastAsia="Times New Roman" w:hAnsi="Times New Roman"/>
          <w:color w:val="333333"/>
          <w:sz w:val="22"/>
          <w:szCs w:val="22"/>
        </w:rPr>
        <w:t xml:space="preserve">Driver/Fuel ratio = operator weight / tool weight (in governance systems)</w:t>
      </w:r>
    </w:p>
    <w:p>
      <w:pPr>
        <w:spacing w:after="180" w:line="276"/>
      </w:pPr>
      <w:r>
        <w:rPr>
          <w:rFonts w:ascii="Times New Roman" w:cs="Times New Roman" w:eastAsia="Times New Roman" w:hAnsi="Times New Roman"/>
          <w:color w:val="333333"/>
          <w:sz w:val="22"/>
          <w:szCs w:val="22"/>
        </w:rPr>
        <w:t xml:space="preserve">In each case:</w:t>
      </w:r>
    </w:p>
    <w:p>
      <w:pPr>
        <w:spacing w:after="180" w:line="276"/>
      </w:pPr>
      <w:r>
        <w:rPr>
          <w:rFonts w:ascii="Times New Roman" w:cs="Times New Roman" w:eastAsia="Times New Roman" w:hAnsi="Times New Roman"/>
          <w:color w:val="333333"/>
          <w:sz w:val="22"/>
          <w:szCs w:val="22"/>
        </w:rPr>
        <w:t xml:space="preserve">- Absolute metrics (MC-1, MC-2, MC-3) observe the individual elements. "The PV count is 30. The Lactobacillus population is 10^8. The wetland area is 93,000 ha."</w:t>
      </w:r>
    </w:p>
    <w:p>
      <w:pPr>
        <w:spacing w:after="180" w:line="276"/>
      </w:pPr>
      <w:r>
        <w:rPr>
          <w:rFonts w:ascii="Times New Roman" w:cs="Times New Roman" w:eastAsia="Times New Roman" w:hAnsi="Times New Roman"/>
          <w:color w:val="333333"/>
          <w:sz w:val="22"/>
          <w:szCs w:val="22"/>
        </w:rPr>
        <w:t xml:space="preserve">- MC-4 observes the </w:t>
      </w:r>
    </w:p>
    <w:p>
      <w:pPr>
        <w:spacing w:after="180" w:line="276"/>
      </w:pPr>
      <w:r>
        <w:rPr>
          <w:rFonts w:ascii="Times New Roman" w:cs="Times New Roman" w:eastAsia="Times New Roman" w:hAnsi="Times New Roman"/>
          <w:color w:val="333333"/>
          <w:sz w:val="22"/>
          <w:szCs w:val="22"/>
        </w:rPr>
        <w:t xml:space="preserve">Ratios change before totals collapse. Composition shifts before absolutes alarm. This is the insight MC-4 brings to every finite-budget system.</w:t>
      </w:r>
    </w:p>
    <w:p>
      <w:pPr>
        <w:pStyle w:val="Heading2"/>
        <w:spacing w:after="160" w:before="280"/>
      </w:pPr>
      <w:r>
        <w:rPr>
          <w:rFonts w:ascii="Times New Roman" w:cs="Times New Roman" w:eastAsia="Times New Roman" w:hAnsi="Times New Roman"/>
          <w:b/>
          <w:bCs/>
          <w:color w:val="1F3864"/>
          <w:sz w:val="24"/>
          <w:szCs w:val="24"/>
        </w:rPr>
        <w:t xml:space="preserve">10.7 Why Ratios Matter for Governance</w:t>
      </w:r>
    </w:p>
    <w:p>
      <w:pPr>
        <w:spacing w:after="180" w:line="276"/>
      </w:pPr>
      <w:r>
        <w:rPr>
          <w:rFonts w:ascii="Times New Roman" w:cs="Times New Roman" w:eastAsia="Times New Roman" w:hAnsi="Times New Roman"/>
          <w:color w:val="333333"/>
          <w:sz w:val="22"/>
          <w:szCs w:val="22"/>
        </w:rPr>
        <w:t xml:space="preserve">In a car, if your driver/fuel ratio drifts, you have an action window: you can diagnose the leak, repair it, or refuel before the system fails. If you wait for the absolute fuel level to trigger the warning light, your window may be gone.</w:t>
      </w:r>
    </w:p>
    <w:p>
      <w:pPr>
        <w:spacing w:after="180" w:line="276"/>
      </w:pPr>
      <w:r>
        <w:rPr>
          <w:rFonts w:ascii="Times New Roman" w:cs="Times New Roman" w:eastAsia="Times New Roman" w:hAnsi="Times New Roman"/>
          <w:color w:val="333333"/>
          <w:sz w:val="22"/>
          <w:szCs w:val="22"/>
        </w:rPr>
        <w:t xml:space="preserve">In governance systems, the same principle applies. A governance system declaring "operator: 51%, tool: 49%" (the OCC contract) must monitor that ratio. If silent drift moves it to "operator: 48%, tool: 52%", the system has drifted out of declared control before anyone noticed—and before absolute metrics (budget, performance, participation) showed alarm.</w:t>
      </w:r>
    </w:p>
    <w:p>
      <w:pPr>
        <w:spacing w:after="180" w:line="276"/>
      </w:pPr>
      <w:r>
        <w:rPr>
          <w:rFonts w:ascii="Times New Roman" w:cs="Times New Roman" w:eastAsia="Times New Roman" w:hAnsi="Times New Roman"/>
          <w:color w:val="333333"/>
          <w:sz w:val="22"/>
          <w:szCs w:val="22"/>
        </w:rPr>
        <w:t xml:space="preserve">MC-4 creates an institutional memory of these ratio shifts: Cycle 1, Cycle 2, Cycle 3, etc. The trajectory becomes visible. Intentional reweighting (declared) is distinguished from silent drift (undeclared). What was invisible becomes traceable.</w:t>
      </w:r>
    </w:p>
    <w:p>
      <w:pPr>
        <w:pStyle w:val="Heading2"/>
        <w:spacing w:after="160" w:before="280"/>
      </w:pPr>
      <w:r>
        <w:rPr>
          <w:rFonts w:ascii="Times New Roman" w:cs="Times New Roman" w:eastAsia="Times New Roman" w:hAnsi="Times New Roman"/>
          <w:b/>
          <w:bCs/>
          <w:color w:val="1F3864"/>
          <w:sz w:val="24"/>
          <w:szCs w:val="24"/>
        </w:rPr>
        <w:t xml:space="preserve">10.8 The Universality of the Ratio</w:t>
      </w:r>
    </w:p>
    <w:p>
      <w:pPr>
        <w:spacing w:after="180" w:line="276"/>
      </w:pPr>
      <w:r>
        <w:rPr>
          <w:rFonts w:ascii="Times New Roman" w:cs="Times New Roman" w:eastAsia="Times New Roman" w:hAnsi="Times New Roman"/>
          <w:color w:val="333333"/>
          <w:sz w:val="22"/>
          <w:szCs w:val="22"/>
        </w:rPr>
        <w:t xml:space="preserve">The car dashboard analogy demonstrates MC-4’s domain-agnostic claim. Whether the system is:</w:t>
      </w:r>
    </w:p>
    <w:p>
      <w:pPr>
        <w:spacing w:after="180" w:line="276"/>
      </w:pPr>
      <w:r>
        <w:rPr>
          <w:rFonts w:ascii="Times New Roman" w:cs="Times New Roman" w:eastAsia="Times New Roman" w:hAnsi="Times New Roman"/>
          <w:color w:val="333333"/>
          <w:sz w:val="22"/>
          <w:szCs w:val="22"/>
        </w:rPr>
        <w:t xml:space="preserve">A fuel tank (driver + fuel)</w:t>
      </w:r>
      <w:r>
        <w:rPr>
          <w:rFonts w:ascii="Times New Roman" w:cs="Times New Roman" w:eastAsia="Times New Roman" w:hAnsi="Times New Roman"/>
          <w:color w:val="333333"/>
          <w:sz w:val="22"/>
          <w:szCs w:val="22"/>
        </w:rPr>
        <w:t xml:space="preserve">A neural circuit (PV + SST)</w:t>
      </w:r>
      <w:r>
        <w:rPr>
          <w:rFonts w:ascii="Times New Roman" w:cs="Times New Roman" w:eastAsia="Times New Roman" w:hAnsi="Times New Roman"/>
          <w:color w:val="333333"/>
          <w:sz w:val="22"/>
          <w:szCs w:val="22"/>
        </w:rPr>
        <w:t xml:space="preserve">A biological culture (bacteria A + bacteria B)</w:t>
      </w:r>
      <w:r>
        <w:rPr>
          <w:rFonts w:ascii="Times New Roman" w:cs="Times New Roman" w:eastAsia="Times New Roman" w:hAnsi="Times New Roman"/>
          <w:color w:val="333333"/>
          <w:sz w:val="22"/>
          <w:szCs w:val="22"/>
        </w:rPr>
        <w:t xml:space="preserve">A governance structure (operator + tool)</w:t>
      </w:r>
    </w:p>
    <w:p>
      <w:pPr>
        <w:spacing w:after="180" w:line="276"/>
      </w:pPr>
      <w:r>
        <w:rPr>
          <w:rFonts w:ascii="Times New Roman" w:cs="Times New Roman" w:eastAsia="Times New Roman" w:hAnsi="Times New Roman"/>
          <w:color w:val="333333"/>
          <w:sz w:val="22"/>
          <w:szCs w:val="22"/>
        </w:rPr>
        <w:t xml:space="preserve">The structure is identical. Absolute metrics tell you what; ratios tell you how the system is </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Dynamic OCC Drift Monitoring and Portfolio Gating (New in v2.3)</w:t>
      </w:r>
    </w:p>
    <w:p>
      <w:pPr>
        <w:spacing w:after="180" w:line="276"/>
      </w:pPr>
      <w:r>
        <w:rPr>
          <w:rFonts w:ascii="Times New Roman" w:cs="Times New Roman" w:eastAsia="Times New Roman" w:hAnsi="Times New Roman"/>
          <w:color w:val="333333"/>
          <w:sz w:val="22"/>
          <w:szCs w:val="22"/>
        </w:rPr>
        <w:t xml:space="preserve">The OCC 51/49 contract declares the intended allocation between operator and tool. But this contract is not static. Real-time monitoring reveals that the actual ratio oscillates around the declared nominal, and these oscillations carry signal. This section presents the framework for Dynamic OCC Drift Monitoring—the real-time observation of ratio oscillation—and Dynamic Portfolio Gating—the adaptive inclusion/exclusion of elements based on observability.</w:t>
      </w:r>
    </w:p>
    <w:p>
      <w:pPr>
        <w:pStyle w:val="Heading2"/>
        <w:spacing w:after="160" w:before="280"/>
      </w:pPr>
      <w:r>
        <w:rPr>
          <w:rFonts w:ascii="Times New Roman" w:cs="Times New Roman" w:eastAsia="Times New Roman" w:hAnsi="Times New Roman"/>
          <w:b/>
          <w:bCs/>
          <w:color w:val="1F3864"/>
          <w:sz w:val="24"/>
          <w:szCs w:val="24"/>
        </w:rPr>
        <w:t xml:space="preserve">11.1 The OCC as Dynamic State</w:t>
      </w:r>
    </w:p>
    <w:p>
      <w:pPr>
        <w:spacing w:after="180" w:line="276"/>
      </w:pPr>
      <w:r>
        <w:rPr>
          <w:rFonts w:ascii="Times New Roman" w:cs="Times New Roman" w:eastAsia="Times New Roman" w:hAnsi="Times New Roman"/>
          <w:color w:val="333333"/>
          <w:sz w:val="22"/>
          <w:szCs w:val="22"/>
        </w:rPr>
        <w:t xml:space="preserve">The OCC 51/49 is the declared intent: operator weight w_op ≥ 0.51, tool weight w_tool ≤ 0.49. But the OCC is not a fixed contract enforced at every instant. Like all ratio states on the probability simplex, the OCC oscillates in real time around the nominal.</w:t>
      </w:r>
    </w:p>
    <w:p>
      <w:pPr>
        <w:spacing w:after="180" w:line="276"/>
      </w:pPr>
      <w:r>
        <w:rPr>
          <w:rFonts w:ascii="Times New Roman" w:cs="Times New Roman" w:eastAsia="Times New Roman" w:hAnsi="Times New Roman"/>
          <w:color w:val="333333"/>
          <w:sz w:val="22"/>
          <w:szCs w:val="22"/>
        </w:rPr>
        <w:t xml:space="preserve">Consider a governance system over 10 reporting cycles. The declared weights are: operator 51%, tool 49%. The observed weights across cycles might be:</w:t>
      </w:r>
    </w:p>
    <w:p>
      <w:pPr>
        <w:spacing w:after="180" w:line="276"/>
      </w:pPr>
      <w:r>
        <w:rPr>
          <w:rFonts w:ascii="Times New Roman" w:cs="Times New Roman" w:eastAsia="Times New Roman" w:hAnsi="Times New Roman"/>
          <w:color w:val="333333"/>
          <w:sz w:val="22"/>
          <w:szCs w:val="22"/>
        </w:rPr>
        <w:t xml:space="preserve">   Cycle 1: 51%, 49% | Cycle 2: 52%, 48% | Cycle 3: 50%, 50% | Cycle 4: 53%, 47% | Cycle 5: 51%, 49%</w:t>
      </w:r>
    </w:p>
    <w:p>
      <w:pPr>
        <w:spacing w:after="180" w:line="276"/>
      </w:pPr>
      <w:r>
        <w:rPr>
          <w:rFonts w:ascii="Times New Roman" w:cs="Times New Roman" w:eastAsia="Times New Roman" w:hAnsi="Times New Roman"/>
          <w:color w:val="333333"/>
          <w:sz w:val="22"/>
          <w:szCs w:val="22"/>
        </w:rPr>
        <w:t xml:space="preserve">   Cycle 6: 49%, 51% | Cycle 7: 48%, 52% | Cycle 8: 51%, 49% | Cycle 9: 50%, 50% | Cycle 10: 51%, 49%</w:t>
      </w:r>
    </w:p>
    <w:p>
      <w:pPr>
        <w:spacing w:after="180" w:line="276"/>
      </w:pPr>
      <w:r>
        <w:rPr>
          <w:rFonts w:ascii="Times New Roman" w:cs="Times New Roman" w:eastAsia="Times New Roman" w:hAnsi="Times New Roman"/>
          <w:color w:val="333333"/>
          <w:sz w:val="22"/>
          <w:szCs w:val="22"/>
        </w:rPr>
        <w:t xml:space="preserve">The mean observed ratio is 50.6% / 49.4%, which oscillates around the declared 51/49. The oscillation pattern—bounded by 48% to 53% for the operator—is the signal. The oscillations are not errors; they are the system’s normal dynamic behavior.</w:t>
      </w:r>
    </w:p>
    <w:p>
      <w:pPr>
        <w:spacing w:after="180" w:line="276"/>
      </w:pPr>
      <w:r>
        <w:rPr>
          <w:rFonts w:ascii="Times New Roman" w:cs="Times New Roman" w:eastAsia="Times New Roman" w:hAnsi="Times New Roman"/>
          <w:color w:val="333333"/>
          <w:sz w:val="22"/>
          <w:szCs w:val="22"/>
        </w:rPr>
        <w:t xml:space="preserve">The critical observation is that oscillation is </w:t>
      </w:r>
    </w:p>
    <w:p>
      <w:pPr>
        <w:spacing w:after="180" w:line="276"/>
      </w:pPr>
      <w:r>
        <w:rPr>
          <w:rFonts w:ascii="Times New Roman" w:cs="Times New Roman" w:eastAsia="Times New Roman" w:hAnsi="Times New Roman"/>
          <w:color w:val="333333"/>
          <w:sz w:val="22"/>
          <w:szCs w:val="22"/>
        </w:rPr>
        <w:t xml:space="preserve">Unhealthy drift is </w:t>
      </w:r>
    </w:p>
    <w:p>
      <w:pPr>
        <w:pStyle w:val="Heading2"/>
        <w:spacing w:after="160" w:before="280"/>
      </w:pPr>
      <w:r>
        <w:rPr>
          <w:rFonts w:ascii="Times New Roman" w:cs="Times New Roman" w:eastAsia="Times New Roman" w:hAnsi="Times New Roman"/>
          <w:b/>
          <w:bCs/>
          <w:color w:val="1F3864"/>
          <w:sz w:val="24"/>
          <w:szCs w:val="24"/>
        </w:rPr>
        <w:t xml:space="preserve">11.2 Dynamic Portfolio Gating</w:t>
      </w:r>
    </w:p>
    <w:p>
      <w:pPr>
        <w:spacing w:after="180" w:line="276"/>
      </w:pPr>
      <w:r>
        <w:rPr>
          <w:rFonts w:ascii="Times New Roman" w:cs="Times New Roman" w:eastAsia="Times New Roman" w:hAnsi="Times New Roman"/>
          <w:color w:val="333333"/>
          <w:sz w:val="22"/>
          <w:szCs w:val="22"/>
        </w:rPr>
        <w:t xml:space="preserve">Elements in a HUF portfolio vary in observability. Some produce continuous data streams. Others produce data only at specific events. Still others may be included in the declared portfolio but have insufficient data to compute a reliable share estimate.</w:t>
      </w:r>
    </w:p>
    <w:p>
      <w:pPr>
        <w:spacing w:after="180" w:line="276"/>
      </w:pPr>
      <w:r>
        <w:rPr>
          <w:rFonts w:ascii="Times New Roman" w:cs="Times New Roman" w:eastAsia="Times New Roman" w:hAnsi="Times New Roman"/>
          <w:color w:val="333333"/>
          <w:sz w:val="22"/>
          <w:szCs w:val="22"/>
        </w:rPr>
        <w:t xml:space="preserve">Dynamic portfolio gating applies a threshold. Elements above the observability threshold are included in the active portfolio. Elements below the threshold are gated out—excluded from the ratio calculation but recorded in the governance trace. As data arrives, the gate re-evaluates.</w:t>
      </w:r>
    </w:p>
    <w:p>
      <w:pPr>
        <w:spacing w:after="180" w:line="276"/>
      </w:pPr>
      <w:r>
        <w:rPr>
          <w:rFonts w:ascii="Times New Roman" w:cs="Times New Roman" w:eastAsia="Times New Roman" w:hAnsi="Times New Roman"/>
          <w:color w:val="333333"/>
          <w:sz w:val="22"/>
          <w:szCs w:val="22"/>
        </w:rPr>
        <w:t xml:space="preserve">The rule: let G be the set of gated-in elements. The unity constraint applies to G: Σ_{i ∈ G} ρ_i = 1. When an element crosses the observability threshold:</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Example: A portfolio has five declared elements, but element 5 has produced no observable data for three cycles. It is gated out. The ratio is computed over the four gated-in elements. When data for element 5 arrives, it re-enters with a fresh share estimate. No data is lost; the gate adapts to maintain observability.</w:t>
      </w:r>
    </w:p>
    <w:p>
      <w:pPr>
        <w:pStyle w:val="Heading2"/>
        <w:spacing w:after="160" w:before="280"/>
      </w:pPr>
      <w:r>
        <w:rPr>
          <w:rFonts w:ascii="Times New Roman" w:cs="Times New Roman" w:eastAsia="Times New Roman" w:hAnsi="Times New Roman"/>
          <w:b/>
          <w:bCs/>
          <w:color w:val="1F3864"/>
          <w:sz w:val="24"/>
          <w:szCs w:val="24"/>
        </w:rPr>
        <w:t xml:space="preserve">11.3 Scope Adjustment</w:t>
      </w:r>
    </w:p>
    <w:p>
      <w:pPr>
        <w:spacing w:after="180" w:line="276"/>
      </w:pPr>
      <w:r>
        <w:rPr>
          <w:rFonts w:ascii="Times New Roman" w:cs="Times New Roman" w:eastAsia="Times New Roman" w:hAnsi="Times New Roman"/>
          <w:color w:val="333333"/>
          <w:sz w:val="22"/>
          <w:szCs w:val="22"/>
        </w:rPr>
        <w:t xml:space="preserve">In classical signal processing, if a bandpass filter detects that important frequency content is falling outside the passband, the center frequency and bandwidth are adjusted. The scope of observation expands or contracts to match the domain.</w:t>
      </w:r>
    </w:p>
    <w:p>
      <w:pPr>
        <w:spacing w:after="180" w:line="276"/>
      </w:pPr>
      <w:r>
        <w:rPr>
          <w:rFonts w:ascii="Times New Roman" w:cs="Times New Roman" w:eastAsia="Times New Roman" w:hAnsi="Times New Roman"/>
          <w:color w:val="333333"/>
          <w:sz w:val="22"/>
          <w:szCs w:val="22"/>
        </w:rPr>
        <w:t xml:space="preserve">The same principle applies to HUF. If MC-4 detects that the portfolio is not summing to 1.0 within tolerance, or if multiple elements are gated out due to insufficient data, the scope is too wide. The solution is to adjust the center frequency (focal system) and bandwidth (included subsystems) until all elements within the scope have adequate observability.</w:t>
      </w:r>
    </w:p>
    <w:p>
      <w:pPr>
        <w:spacing w:after="180" w:line="276"/>
      </w:pPr>
      <w:r>
        <w:rPr>
          <w:rFonts w:ascii="Times New Roman" w:cs="Times New Roman" w:eastAsia="Times New Roman" w:hAnsi="Times New Roman"/>
          <w:color w:val="333333"/>
          <w:sz w:val="22"/>
          <w:szCs w:val="22"/>
        </w:rPr>
        <w:t xml:space="preserve">Practically, this means:</w:t>
      </w:r>
    </w:p>
    <w:p>
      <w:pPr>
        <w:spacing w:after="180" w:line="276"/>
      </w:pPr>
      <w:r>
        <w:rPr>
          <w:rFonts w:ascii="Times New Roman" w:cs="Times New Roman" w:eastAsia="Times New Roman" w:hAnsi="Times New Roman"/>
          <w:color w:val="333333"/>
          <w:sz w:val="22"/>
          <w:szCs w:val="22"/>
        </w:rPr>
        <w:t xml:space="preserve">- If a declared system is missing data, narrow the scope by excluding it from the ratio calculation until data becomes available.</w:t>
      </w:r>
    </w:p>
    <w:p>
      <w:pPr>
        <w:spacing w:after="180" w:line="276"/>
      </w:pPr>
      <w:r>
        <w:rPr>
          <w:rFonts w:ascii="Times New Roman" w:cs="Times New Roman" w:eastAsia="Times New Roman" w:hAnsi="Times New Roman"/>
          <w:color w:val="333333"/>
          <w:sz w:val="22"/>
          <w:szCs w:val="22"/>
        </w:rPr>
        <w:t xml:space="preserve">- If a system contains too many micro-elements with sparse data, aggregate them into fewer macro-elements.</w:t>
      </w:r>
    </w:p>
    <w:p>
      <w:pPr>
        <w:spacing w:after="180" w:line="276"/>
      </w:pPr>
      <w:r>
        <w:rPr>
          <w:rFonts w:ascii="Times New Roman" w:cs="Times New Roman" w:eastAsia="Times New Roman" w:hAnsi="Times New Roman"/>
          <w:color w:val="333333"/>
          <w:sz w:val="22"/>
          <w:szCs w:val="22"/>
        </w:rPr>
        <w:t xml:space="preserve">- If data suddenly becomes unavailable for critical elements, adjust the bandwidth immediately and document the change in the trace report (A-2).</w:t>
      </w:r>
    </w:p>
    <w:p>
      <w:pPr>
        <w:spacing w:after="180" w:line="276"/>
      </w:pPr>
      <w:r>
        <w:rPr>
          <w:rFonts w:ascii="Times New Roman" w:cs="Times New Roman" w:eastAsia="Times New Roman" w:hAnsi="Times New Roman"/>
          <w:color w:val="333333"/>
          <w:sz w:val="22"/>
          <w:szCs w:val="22"/>
        </w:rPr>
        <w:t xml:space="preserve">This is not loss of information. It is maintaining observability. A system observer should only claim to monitor what can be observed. False precision—computing shares over gated-out elements with assumed zero values—is worse than admitting that the scope is temporarily narrower.</w:t>
      </w:r>
    </w:p>
    <w:p>
      <w:pPr>
        <w:pStyle w:val="Heading2"/>
        <w:spacing w:after="160" w:before="280"/>
      </w:pPr>
      <w:r>
        <w:rPr>
          <w:rFonts w:ascii="Times New Roman" w:cs="Times New Roman" w:eastAsia="Times New Roman" w:hAnsi="Times New Roman"/>
          <w:b/>
          <w:bCs/>
          <w:color w:val="1F3864"/>
          <w:sz w:val="24"/>
          <w:szCs w:val="24"/>
        </w:rPr>
        <w:t xml:space="preserve">11.4 MC-4 at Every Scale</w:t>
      </w:r>
    </w:p>
    <w:p>
      <w:pPr>
        <w:spacing w:after="180" w:line="276"/>
      </w:pPr>
      <w:r>
        <w:rPr>
          <w:rFonts w:ascii="Times New Roman" w:cs="Times New Roman" w:eastAsia="Times New Roman" w:hAnsi="Times New Roman"/>
          <w:color w:val="333333"/>
          <w:sz w:val="22"/>
          <w:szCs w:val="22"/>
        </w:rPr>
        <w:t xml:space="preserve">The OCC is specific to human governance systems, but the principle of Dynamic Drift Monitoring applies to every nested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In each case, the structure is: (1) declare the intended ratio, (2) monitor the actual ratio in real time, (3) distinguish intentional changes from silent drift, (4) maintain a trace record. This is MC-4, and it applies at every nested scale from token budgets to cortical circuits.</w:t>
      </w:r>
    </w:p>
    <w:p>
      <w:pPr>
        <w:spacing w:after="160" w:before="80"/>
      </w:pPr>
      <w:r>
        <w:rPr>
          <w:rFonts w:ascii="Times New Roman" w:cs="Times New Roman" w:eastAsia="Times New Roman" w:hAnsi="Times New Roman"/>
          <w:i/>
          <w:iCs/>
          <w:color w:val="2E75B6"/>
          <w:sz w:val="20"/>
          <w:szCs w:val="20"/>
        </w:rPr>
        <w:t xml:space="preserve">▶ OCC detailed theory: Pillar 1, Section 9 (Car Analogy)</w:t>
      </w:r>
    </w:p>
    <w:p>
      <w:pPr>
        <w:spacing w:after="160" w:before="80"/>
      </w:pPr>
      <w:r>
        <w:rPr>
          <w:rFonts w:ascii="Times New Roman" w:cs="Times New Roman" w:eastAsia="Times New Roman" w:hAnsi="Times New Roman"/>
          <w:i/>
          <w:iCs/>
          <w:color w:val="2E75B6"/>
          <w:sz w:val="20"/>
          <w:szCs w:val="20"/>
        </w:rPr>
        <w:t xml:space="preserve">▶ Scope matching: Pillar 1, Section 10 (Adaptive Scope)</w:t>
      </w:r>
    </w:p>
    <w:p>
      <w:pPr>
        <w:spacing w:after="160" w:before="80"/>
      </w:pPr>
      <w:r>
        <w:rPr>
          <w:rFonts w:ascii="Times New Roman" w:cs="Times New Roman" w:eastAsia="Times New Roman" w:hAnsi="Times New Roman"/>
          <w:i/>
          <w:iCs/>
          <w:color w:val="2E75B6"/>
          <w:sz w:val="20"/>
          <w:szCs w:val="20"/>
        </w:rPr>
        <w:t xml:space="preserve">▶ Operational protocols: Vol 5, Sections 4–6</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MC-4 as Immune System: The HUF-Org Stability Monitor</w:t>
      </w:r>
    </w:p>
    <w:p>
      <w:pPr>
        <w:pStyle w:val="Heading2"/>
        <w:spacing w:after="160" w:before="280"/>
      </w:pPr>
      <w:r>
        <w:rPr>
          <w:rFonts w:ascii="Times New Roman" w:cs="Times New Roman" w:eastAsia="Times New Roman" w:hAnsi="Times New Roman"/>
          <w:b/>
          <w:bCs/>
          <w:color w:val="1F3864"/>
          <w:sz w:val="24"/>
          <w:szCs w:val="24"/>
        </w:rPr>
        <w:t xml:space="preserve">12.1 MC-4 as Immune Response</w:t>
      </w:r>
    </w:p>
    <w:p>
      <w:pPr>
        <w:spacing w:after="180" w:line="276"/>
      </w:pPr>
      <w:r>
        <w:rPr>
          <w:rFonts w:ascii="Times New Roman" w:cs="Times New Roman" w:eastAsia="Times New Roman" w:hAnsi="Times New Roman"/>
          <w:color w:val="333333"/>
          <w:sz w:val="22"/>
          <w:szCs w:val="22"/>
        </w:rPr>
        <w:t xml:space="preserve">MC-4 monitors ratio drift the same way an immune system monitors foreign proteins. Drift is an antigen. The MC-4 threshold is the immune activation threshold. The response is portfolio rebalancing or element rejection.</w:t>
      </w:r>
    </w:p>
    <w:p>
      <w:pPr>
        <w:spacing w:after="180" w:line="276"/>
      </w:pPr>
      <w:r>
        <w:rPr>
          <w:rFonts w:ascii="Times New Roman" w:cs="Times New Roman" w:eastAsia="Times New Roman" w:hAnsi="Times New Roman"/>
          <w:color w:val="333333"/>
          <w:sz w:val="22"/>
          <w:szCs w:val="22"/>
        </w:rPr>
        <w:t xml:space="preserve">A biological immune system recognizes "self" from "non-self" by pattern matching. Pathogen-associated molecular patterns (PAMPs) trigger immune cells. When a foreign protein breaches the body's boundary, dendritic cells sample it, present it to T cells, and the adaptive immune response begins. The response has hysteresis: once activated above a threshold, it persists until the threat is resolved.</w:t>
      </w:r>
    </w:p>
    <w:p>
      <w:pPr>
        <w:spacing w:after="180" w:line="276"/>
      </w:pPr>
      <w:r>
        <w:rPr>
          <w:rFonts w:ascii="Times New Roman" w:cs="Times New Roman" w:eastAsia="Times New Roman" w:hAnsi="Times New Roman"/>
          <w:color w:val="333333"/>
          <w:sz w:val="22"/>
          <w:szCs w:val="22"/>
        </w:rPr>
        <w:t xml:space="preserve">MC-4 operates by the same logic on the simplex. Declared weights are "self." Observed ratios that drift from declared weights are "foreign perturbations." The MC-4 threshold is the activation threshold. When observed drift exceeds the threshold, the immune response activates: the governance authority investigates, documents, and either rebalances or gates the element.</w:t>
      </w:r>
    </w:p>
    <w:p>
      <w:pPr>
        <w:spacing w:after="180" w:line="276"/>
      </w:pPr>
      <w:r>
        <w:rPr>
          <w:rFonts w:ascii="Times New Roman" w:cs="Times New Roman" w:eastAsia="Times New Roman" w:hAnsi="Times New Roman"/>
          <w:color w:val="333333"/>
          <w:sz w:val="22"/>
          <w:szCs w:val="22"/>
        </w:rPr>
        <w:t xml:space="preserve">Like biological immunity, MC-4 is continuous. It does not wait for an annual audit. It monitors every cycle. It escalates if drift persists. It shuts down (gates out) if the drift source cannot be neutralized.</w:t>
      </w:r>
    </w:p>
    <w:p>
      <w:pPr>
        <w:pStyle w:val="Heading2"/>
        <w:spacing w:after="160" w:before="280"/>
      </w:pPr>
      <w:r>
        <w:rPr>
          <w:rFonts w:ascii="Times New Roman" w:cs="Times New Roman" w:eastAsia="Times New Roman" w:hAnsi="Times New Roman"/>
          <w:b/>
          <w:bCs/>
          <w:color w:val="1F3864"/>
          <w:sz w:val="24"/>
          <w:szCs w:val="24"/>
        </w:rPr>
        <w:t xml:space="preserve">12.2 The Cancer Test</w:t>
      </w:r>
    </w:p>
    <w:p>
      <w:pPr>
        <w:spacing w:after="180" w:line="276"/>
      </w:pPr>
      <w:r>
        <w:rPr>
          <w:rFonts w:ascii="Times New Roman" w:cs="Times New Roman" w:eastAsia="Times New Roman" w:hAnsi="Times New Roman"/>
          <w:color w:val="333333"/>
          <w:sz w:val="22"/>
          <w:szCs w:val="22"/>
        </w:rPr>
        <w:t xml:space="preserve">If any element's share rises without corresponding portfolio rebalancing, MC-4 flags this as pathological. Cancer is Deceptive Drift in biological form. The cancer test is:</w:t>
      </w:r>
    </w:p>
    <w:p>
      <w:pPr>
        <w:spacing w:after="180" w:line="276"/>
      </w:pPr>
      <w:r>
        <w:rPr>
          <w:rFonts w:ascii="Times New Roman" w:cs="Times New Roman" w:eastAsia="Times New Roman" w:hAnsi="Times New Roman"/>
          <w:color w:val="333333"/>
          <w:sz w:val="22"/>
          <w:szCs w:val="22"/>
        </w:rPr>
        <w:t xml:space="preserve">Does this element's growth come at the expense of others WITHOUT consent?</w:t>
      </w:r>
    </w:p>
    <w:p>
      <w:pPr>
        <w:spacing w:after="180" w:line="276"/>
      </w:pPr>
      <w:r>
        <w:rPr>
          <w:rFonts w:ascii="Times New Roman" w:cs="Times New Roman" w:eastAsia="Times New Roman" w:hAnsi="Times New Roman"/>
          <w:color w:val="333333"/>
          <w:sz w:val="22"/>
          <w:szCs w:val="22"/>
        </w:rPr>
        <w:t xml:space="preserve">If yes, the growth is pathological and must be rejected.</w:t>
      </w:r>
    </w:p>
    <w:p>
      <w:pPr>
        <w:spacing w:after="180" w:line="276"/>
      </w:pPr>
      <w:r>
        <w:rPr>
          <w:rFonts w:ascii="Times New Roman" w:cs="Times New Roman" w:eastAsia="Times New Roman" w:hAnsi="Times New Roman"/>
          <w:color w:val="333333"/>
          <w:sz w:val="22"/>
          <w:szCs w:val="22"/>
        </w:rPr>
        <w:t xml:space="preserve">A tumor cell divides. Its share of body resources grows. But no other cell type shrinks in consent. The tumor parasitizes the shared budget. In a finite-budget system, parasitic growth is lethal.</w:t>
      </w:r>
    </w:p>
    <w:p>
      <w:pPr>
        <w:spacing w:after="180" w:line="276"/>
      </w:pPr>
      <w:r>
        <w:rPr>
          <w:rFonts w:ascii="Times New Roman" w:cs="Times New Roman" w:eastAsia="Times New Roman" w:hAnsi="Times New Roman"/>
          <w:color w:val="333333"/>
          <w:sz w:val="22"/>
          <w:szCs w:val="22"/>
        </w:rPr>
        <w:t xml:space="preserve">HUF-org applies the same test. If element A's share rises from 10% to 20%, one of two things happens:</w:t>
      </w:r>
    </w:p>
    <w:p>
      <w:pPr>
        <w:spacing w:after="180" w:line="276"/>
      </w:pPr>
      <w:r>
        <w:rPr>
          <w:rFonts w:ascii="Times New Roman" w:cs="Times New Roman" w:eastAsia="Times New Roman" w:hAnsi="Times New Roman"/>
          <w:color w:val="333333"/>
          <w:sz w:val="22"/>
          <w:szCs w:val="22"/>
        </w:rPr>
        <w:t xml:space="preserve">— Explicit reallocation: The governance authority approves the rise. Elements B, C, D shrink. This is consensual rebalancing. Not cancer. The governance record shows the decision.</w:t>
      </w:r>
    </w:p>
    <w:p>
      <w:pPr>
        <w:spacing w:after="180" w:line="276"/>
      </w:pPr>
      <w:r>
        <w:rPr>
          <w:rFonts w:ascii="Times New Roman" w:cs="Times New Roman" w:eastAsia="Times New Roman" w:hAnsi="Times New Roman"/>
          <w:color w:val="333333"/>
          <w:sz w:val="22"/>
          <w:szCs w:val="22"/>
        </w:rPr>
        <w:t xml:space="preserve">— Silent drift: Element A rises without approval. Other elements are crowded out. This IS cancer. MC-4 detects it and raises an alert.</w:t>
      </w:r>
    </w:p>
    <w:p>
      <w:pPr>
        <w:spacing w:after="180" w:line="276"/>
      </w:pPr>
      <w:r>
        <w:rPr>
          <w:rFonts w:ascii="Times New Roman" w:cs="Times New Roman" w:eastAsia="Times New Roman" w:hAnsi="Times New Roman"/>
          <w:color w:val="333333"/>
          <w:sz w:val="22"/>
          <w:szCs w:val="22"/>
        </w:rPr>
        <w:t xml:space="preserve">The cancer test is not about size. A large element is not automatically cancerous. The cancer test is about consent. Unilateral growth at the expense of others is parasitism. MC-4 rejects it.</w:t>
      </w:r>
    </w:p>
    <w:p>
      <w:pPr>
        <w:pStyle w:val="Heading2"/>
        <w:spacing w:after="160" w:before="280"/>
      </w:pPr>
      <w:r>
        <w:rPr>
          <w:rFonts w:ascii="Times New Roman" w:cs="Times New Roman" w:eastAsia="Times New Roman" w:hAnsi="Times New Roman"/>
          <w:b/>
          <w:bCs/>
          <w:color w:val="1F3864"/>
          <w:sz w:val="24"/>
          <w:szCs w:val="24"/>
        </w:rPr>
        <w:t xml:space="preserve">12.3 Q-Sensitivity and Integration Rate</w:t>
      </w:r>
    </w:p>
    <w:p>
      <w:pPr>
        <w:spacing w:after="180" w:line="276"/>
      </w:pPr>
      <w:r>
        <w:rPr>
          <w:rFonts w:ascii="Times New Roman" w:cs="Times New Roman" w:eastAsia="Times New Roman" w:hAnsi="Times New Roman"/>
          <w:color w:val="333333"/>
          <w:sz w:val="22"/>
          <w:szCs w:val="22"/>
        </w:rPr>
        <w:t xml:space="preserve">MC-4 must account for each element's Q factor—its sensitivity to perturbation. High-Q elements have sharp resonance. They ring sharply when perturbed, taking longer to damp. Low-Q elements are broad and damped.</w:t>
      </w:r>
    </w:p>
    <w:p>
      <w:pPr>
        <w:spacing w:after="180" w:line="276"/>
      </w:pPr>
      <w:r>
        <w:rPr>
          <w:rFonts w:ascii="Times New Roman" w:cs="Times New Roman" w:eastAsia="Times New Roman" w:hAnsi="Times New Roman"/>
          <w:color w:val="333333"/>
          <w:sz w:val="22"/>
          <w:szCs w:val="22"/>
        </w:rPr>
        <w:t xml:space="preserve">The integration of a new element must proceed at a rate that doesn't excite any high-Q resonance beyond its stability margin. If the portfolio contains a high-Q member with bandwidth Δf, the rate of change in the system cannot exceed that bandwidth without causing ringing.</w:t>
      </w:r>
    </w:p>
    <w:p>
      <w:pPr>
        <w:spacing w:after="180" w:line="276"/>
      </w:pPr>
      <w:r>
        <w:rPr>
          <w:rFonts w:ascii="Times New Roman" w:cs="Times New Roman" w:eastAsia="Times New Roman" w:hAnsi="Times New Roman"/>
          <w:color w:val="333333"/>
          <w:sz w:val="22"/>
          <w:szCs w:val="22"/>
        </w:rPr>
        <w:t xml:space="preserve">This is analogous to seismic isolation in buildings. A structure has a natural frequency. If external vibrations (wind, traffic, earthquakes) approach that frequency, resonance amplifies the vibration. To prevent collapse, dampers tune the frequency response. The integration of a new force must occur slower than the structure's dominant frequency, or resonance will occur.</w:t>
      </w:r>
    </w:p>
    <w:p>
      <w:pPr>
        <w:spacing w:after="180" w:line="276"/>
      </w:pPr>
      <w:r>
        <w:rPr>
          <w:rFonts w:ascii="Times New Roman" w:cs="Times New Roman" w:eastAsia="Times New Roman" w:hAnsi="Times New Roman"/>
          <w:color w:val="333333"/>
          <w:sz w:val="22"/>
          <w:szCs w:val="22"/>
        </w:rPr>
        <w:t xml:space="preserve">In governance, a "high-Q" element might be a critical dependency that responds sharply to any perturbation. Adding a new element too quickly, without allowing time for adjustment, can push it into instability. MC-4 measures Q and limits integration rate accordingly.</w:t>
      </w:r>
    </w:p>
    <w:p>
      <w:pPr>
        <w:pStyle w:val="Heading2"/>
        <w:spacing w:after="160" w:before="280"/>
      </w:pPr>
      <w:r>
        <w:rPr>
          <w:rFonts w:ascii="Times New Roman" w:cs="Times New Roman" w:eastAsia="Times New Roman" w:hAnsi="Times New Roman"/>
          <w:b/>
          <w:bCs/>
          <w:color w:val="1F3864"/>
          <w:sz w:val="24"/>
          <w:szCs w:val="24"/>
        </w:rPr>
        <w:t xml:space="preserve">12.4 The Monte Carlo Viability Test</w:t>
      </w:r>
    </w:p>
    <w:p>
      <w:pPr>
        <w:spacing w:after="180" w:line="276"/>
      </w:pPr>
      <w:r>
        <w:rPr>
          <w:rFonts w:ascii="Times New Roman" w:cs="Times New Roman" w:eastAsia="Times New Roman" w:hAnsi="Times New Roman"/>
          <w:color w:val="333333"/>
          <w:sz w:val="22"/>
          <w:szCs w:val="22"/>
        </w:rPr>
        <w:t xml:space="preserve">Before any element is added to the active portfolio, MC-4 runs a perturbation test (thought experiment):</w:t>
      </w:r>
    </w:p>
    <w:p>
      <w:pPr>
        <w:spacing w:after="180" w:line="276"/>
      </w:pPr>
      <w:r>
        <w:rPr>
          <w:rFonts w:ascii="Times New Roman" w:cs="Times New Roman" w:eastAsia="Times New Roman" w:hAnsi="Times New Roman"/>
          <w:color w:val="333333"/>
          <w:sz w:val="22"/>
          <w:szCs w:val="22"/>
        </w:rPr>
        <w:t xml:space="preserve">— Freeze the current portfolio and all Q factors.</w:t>
      </w:r>
    </w:p>
    <w:p>
      <w:pPr>
        <w:spacing w:after="180" w:line="276"/>
      </w:pPr>
      <w:r>
        <w:rPr>
          <w:rFonts w:ascii="Times New Roman" w:cs="Times New Roman" w:eastAsia="Times New Roman" w:hAnsi="Times New Roman"/>
          <w:color w:val="333333"/>
          <w:sz w:val="22"/>
          <w:szCs w:val="22"/>
        </w:rPr>
        <w:t xml:space="preserve">— Propose a new element with an initial share (e.g., 5%).</w:t>
      </w:r>
    </w:p>
    <w:p>
      <w:pPr>
        <w:spacing w:after="180" w:line="276"/>
      </w:pPr>
      <w:r>
        <w:rPr>
          <w:rFonts w:ascii="Times New Roman" w:cs="Times New Roman" w:eastAsia="Times New Roman" w:hAnsi="Times New Roman"/>
          <w:color w:val="333333"/>
          <w:sz w:val="22"/>
          <w:szCs w:val="22"/>
        </w:rPr>
        <w:t xml:space="preserve">— Vary the new element's proposed share across ±1σ, ±2σ, ±3σ around the proposed nominal.</w:t>
      </w:r>
    </w:p>
    <w:p>
      <w:pPr>
        <w:spacing w:after="180" w:line="276"/>
      </w:pPr>
      <w:r>
        <w:rPr>
          <w:rFonts w:ascii="Times New Roman" w:cs="Times New Roman" w:eastAsia="Times New Roman" w:hAnsi="Times New Roman"/>
          <w:color w:val="333333"/>
          <w:sz w:val="22"/>
          <w:szCs w:val="22"/>
        </w:rPr>
        <w:t xml:space="preserve">— At each perturbation level, compute the OCC ratios and all existing element responses.</w:t>
      </w:r>
    </w:p>
    <w:p>
      <w:pPr>
        <w:spacing w:after="180" w:line="276"/>
      </w:pPr>
      <w:r>
        <w:rPr>
          <w:rFonts w:ascii="Times New Roman" w:cs="Times New Roman" w:eastAsia="Times New Roman" w:hAnsi="Times New Roman"/>
          <w:color w:val="333333"/>
          <w:sz w:val="22"/>
          <w:szCs w:val="22"/>
        </w:rPr>
        <w:t xml:space="preserve">— Check: Do any existing elements' OCC ratios exceed their Q-sensitivity thresholds?</w:t>
      </w:r>
    </w:p>
    <w:p>
      <w:pPr>
        <w:spacing w:after="180" w:line="276"/>
      </w:pPr>
      <w:r>
        <w:rPr>
          <w:rFonts w:ascii="Times New Roman" w:cs="Times New Roman" w:eastAsia="Times New Roman" w:hAnsi="Times New Roman"/>
          <w:color w:val="333333"/>
          <w:sz w:val="22"/>
          <w:szCs w:val="22"/>
        </w:rPr>
        <w:t xml:space="preserve">Outcomes:</w:t>
      </w:r>
    </w:p>
    <w:p>
      <w:pPr>
        <w:spacing w:after="180" w:line="276"/>
      </w:pPr>
      <w:r>
        <w:rPr>
          <w:rFonts w:ascii="Times New Roman" w:cs="Times New Roman" w:eastAsia="Times New Roman" w:hAnsi="Times New Roman"/>
          <w:color w:val="333333"/>
          <w:sz w:val="22"/>
          <w:szCs w:val="22"/>
        </w:rPr>
        <w:t xml:space="preserve">— PASS: All elements remain within tolerance at all perturbation levels. Safe to integrate.</w:t>
      </w:r>
    </w:p>
    <w:p>
      <w:pPr>
        <w:spacing w:after="180" w:line="276"/>
      </w:pPr>
      <w:r>
        <w:rPr>
          <w:rFonts w:ascii="Times New Roman" w:cs="Times New Roman" w:eastAsia="Times New Roman" w:hAnsi="Times New Roman"/>
          <w:color w:val="333333"/>
          <w:sz w:val="22"/>
          <w:szCs w:val="22"/>
        </w:rPr>
        <w:t xml:space="preserve">— FAIL: At least one element exceeds tolerance. The integration is unsafe at the proposed share.</w:t>
      </w:r>
    </w:p>
    <w:p>
      <w:pPr>
        <w:spacing w:after="180" w:line="276"/>
      </w:pPr>
      <w:r>
        <w:rPr>
          <w:rFonts w:ascii="Times New Roman" w:cs="Times New Roman" w:eastAsia="Times New Roman" w:hAnsi="Times New Roman"/>
          <w:color w:val="333333"/>
          <w:sz w:val="22"/>
          <w:szCs w:val="22"/>
        </w:rPr>
        <w:t xml:space="preserve">If the test fails, options are:</w:t>
      </w:r>
    </w:p>
    <w:p>
      <w:pPr>
        <w:spacing w:after="180" w:line="276"/>
      </w:pPr>
      <w:r>
        <w:rPr>
          <w:rFonts w:ascii="Times New Roman" w:cs="Times New Roman" w:eastAsia="Times New Roman" w:hAnsi="Times New Roman"/>
          <w:color w:val="333333"/>
          <w:sz w:val="22"/>
          <w:szCs w:val="22"/>
        </w:rPr>
        <w:t xml:space="preserve">— Reduce the proposed share of the new element.</w:t>
      </w:r>
    </w:p>
    <w:p>
      <w:pPr>
        <w:spacing w:after="180" w:line="276"/>
      </w:pPr>
      <w:r>
        <w:rPr>
          <w:rFonts w:ascii="Times New Roman" w:cs="Times New Roman" w:eastAsia="Times New Roman" w:hAnsi="Times New Roman"/>
          <w:color w:val="333333"/>
          <w:sz w:val="22"/>
          <w:szCs w:val="22"/>
        </w:rPr>
        <w:t xml:space="preserve">— Slow the integration rate (add smaller amounts over more cycles).</w:t>
      </w:r>
    </w:p>
    <w:p>
      <w:pPr>
        <w:spacing w:after="180" w:line="276"/>
      </w:pPr>
      <w:r>
        <w:rPr>
          <w:rFonts w:ascii="Times New Roman" w:cs="Times New Roman" w:eastAsia="Times New Roman" w:hAnsi="Times New Roman"/>
          <w:color w:val="333333"/>
          <w:sz w:val="22"/>
          <w:szCs w:val="22"/>
        </w:rPr>
        <w:t xml:space="preserve">— Narrow the scope of the new element (exclude or gate out Q-sensitive members in conflict).</w:t>
      </w:r>
    </w:p>
    <w:p>
      <w:pPr>
        <w:spacing w:after="180" w:line="276"/>
      </w:pPr>
      <w:r>
        <w:rPr>
          <w:rFonts w:ascii="Times New Roman" w:cs="Times New Roman" w:eastAsia="Times New Roman" w:hAnsi="Times New Roman"/>
          <w:color w:val="333333"/>
          <w:sz w:val="22"/>
          <w:szCs w:val="22"/>
        </w:rPr>
        <w:t xml:space="preserve">— Reject the new element as fundamentally incompatible with the current organism at the current scope.</w:t>
      </w:r>
    </w:p>
    <w:p>
      <w:pPr>
        <w:spacing w:after="180" w:line="276"/>
      </w:pPr>
      <w:r>
        <w:rPr>
          <w:rFonts w:ascii="Times New Roman" w:cs="Times New Roman" w:eastAsia="Times New Roman" w:hAnsi="Times New Roman"/>
          <w:color w:val="333333"/>
          <w:sz w:val="22"/>
          <w:szCs w:val="22"/>
        </w:rPr>
        <w:t xml:space="preserve">The Viability Test is the immune system's final veto. It prevents HUF-org from attempting to grow in ways that violate the stability margins of critical elements. This is how the organism avoids cancer.</w:t>
      </w:r>
    </w:p>
    <w:p>
      <w:pPr>
        <w:pStyle w:val="Heading2"/>
        <w:spacing w:after="160" w:before="280"/>
      </w:pPr>
      <w:r>
        <w:rPr>
          <w:rFonts w:ascii="Times New Roman" w:cs="Times New Roman" w:eastAsia="Times New Roman" w:hAnsi="Times New Roman"/>
          <w:b/>
          <w:bCs/>
          <w:color w:val="1F3864"/>
          <w:sz w:val="24"/>
          <w:szCs w:val="24"/>
        </w:rPr>
        <w:t xml:space="preserve">12.5 Machine Learning Regularization as MC-4: The Trillion-Parameter Immune System</w:t>
      </w:r>
    </w:p>
    <w:p>
      <w:pPr>
        <w:spacing w:after="180" w:line="276"/>
      </w:pPr>
      <w:r>
        <w:rPr>
          <w:rFonts w:ascii="Times New Roman" w:cs="Times New Roman" w:eastAsia="Times New Roman" w:hAnsi="Times New Roman"/>
          <w:color w:val="333333"/>
          <w:sz w:val="22"/>
          <w:szCs w:val="22"/>
        </w:rPr>
        <w:t xml:space="preserve">In a neural network, MC-4 manifests as the regularization stack. Machine learning provides the most detailed empirical record of an immune system in operation: every parameter of every trained model has been subject to regularization-based drift detection. This section establishes the structural identity between ML regularization mechanisms and HUF's MC-4 immune system.</w:t>
      </w:r>
    </w:p>
    <w:p>
      <w:pPr>
        <w:spacing w:after="180" w:line="276"/>
      </w:pPr>
      <w:r>
        <w:rPr>
          <w:rFonts w:ascii="Times New Roman" w:cs="Times New Roman" w:eastAsia="Times New Roman" w:hAnsi="Times New Roman"/>
          <w:color w:val="333333"/>
          <w:sz w:val="22"/>
          <w:szCs w:val="22"/>
        </w:rPr>
        <w:t xml:space="preserve">L2 weight decay monitors the magnitude of each weight (portfolio element) and penalizes growth that exceeds the declared distribution—this IS ratio drift detection on each parameter. L1 sparsity forces elements to zero when their contribution drops below threshold—this IS dynamic portfolio gating per parameter. Dropout randomly removes elements during training, forcing the remaining portfolio to maintain coherence without them—this IS the adaptive scope bandwidth narrowing applied stochastically. Each mechanism detects and corrects pathological drift in weight space exactly as MC-4 detects drift in portfolio share space.</w:t>
      </w:r>
    </w:p>
    <w:p>
      <w:pPr>
        <w:spacing w:after="180" w:line="276"/>
      </w:pPr>
      <w:r>
        <w:rPr>
          <w:rFonts w:ascii="Times New Roman" w:cs="Times New Roman" w:eastAsia="Times New Roman" w:hAnsi="Times New Roman"/>
          <w:color w:val="333333"/>
          <w:sz w:val="22"/>
          <w:szCs w:val="22"/>
        </w:rPr>
        <w:t xml:space="preserve">The validation loss </w:t>
      </w:r>
    </w:p>
    <w:p>
      <w:pPr>
        <w:spacing w:after="180" w:line="276"/>
      </w:pPr>
      <w:r>
        <w:rPr>
          <w:rFonts w:ascii="Times New Roman" w:cs="Times New Roman" w:eastAsia="Times New Roman" w:hAnsi="Times New Roman"/>
          <w:color w:val="333333"/>
          <w:sz w:val="22"/>
          <w:szCs w:val="22"/>
        </w:rPr>
        <w:t xml:space="preserve">Learning rate as Q-sensitivity: The learning rate governs how aggressively weights are updated. A weight with high gradient curvature (sharp loss landscape = high Q) requires a lower learning rate to avoid oscillation and ringing. Adaptive optimizers (Adam, AdaGrad) automatically adjust per-parameter learning rates—they ARE Q-sensitivity monitoring per portfolio element. Each weight gets its own Q-governed integration rate. The optimizer prevents high-Q elements from ringing into instability exactly as HUF's integration rate protocol does. When the optimizer reduces a weight's learning rate, it is declaring that weight's Q factor too high for the current pace.</w:t>
      </w:r>
    </w:p>
    <w:p>
      <w:pPr>
        <w:spacing w:after="180" w:line="276"/>
      </w:pPr>
      <w:r>
        <w:rPr>
          <w:rFonts w:ascii="Times New Roman" w:cs="Times New Roman" w:eastAsia="Times New Roman" w:hAnsi="Times New Roman"/>
          <w:color w:val="333333"/>
          <w:sz w:val="22"/>
          <w:szCs w:val="22"/>
        </w:rPr>
        <w:t xml:space="preserve">Batch normalization IS unity constraint enforcement within hidden layers. It normalizes activations to zero mean and unit variance—literally forcing internal representations to maintain a consistent statistical distribution, preventing internal covariate shift (which is compositional drift in the hidden portfolio). Every hidden layer becomes its own probability simplex with its own unity constraint. This cascades the same governance principle throughout the network depth.</w:t>
      </w:r>
    </w:p>
    <w:p>
      <w:pPr>
        <w:spacing w:after="180" w:line="276"/>
      </w:pPr>
      <w:r>
        <w:rPr>
          <w:rFonts w:ascii="Times New Roman" w:cs="Times New Roman" w:eastAsia="Times New Roman" w:hAnsi="Times New Roman"/>
          <w:color w:val="333333"/>
          <w:sz w:val="22"/>
          <w:szCs w:val="22"/>
        </w:rPr>
        <w:t xml:space="preserve">The ML domain provides MC-4 with its most data-rich validation environment. Every training run logs validation metrics at every epoch. This is MC-4 telemetry with millisecond granularity across billions of parameters. A single training run of a large language model provides more data points for validating MC-4 behavior than all of HUF's external validation corpus combined. The regularization stack has been tuned by millions of practitioners across billions of experiments. ML is HUF's most extensive empirical testing ground, with complete instrumentation.</w:t>
      </w:r>
    </w:p>
    <w:p>
      <w:pPr>
        <w:spacing w:after="180" w:line="276"/>
      </w:pPr>
      <w:r>
        <w:rPr>
          <w:rFonts w:ascii="Times New Roman" w:cs="Times New Roman" w:eastAsia="Times New Roman" w:hAnsi="Times New Roman"/>
          <w:color w:val="333333"/>
          <w:sz w:val="22"/>
          <w:szCs w:val="22"/>
        </w:rPr>
        <w:t xml:space="preserve">The structural identity is complete:</w:t>
      </w:r>
    </w:p>
    <w:p>
      <w:pPr>
        <w:spacing w:after="180" w:line="276"/>
      </w:pPr>
      <w:r>
        <w:rPr>
          <w:rFonts w:ascii="Times New Roman" w:cs="Times New Roman" w:eastAsia="Times New Roman" w:hAnsi="Times New Roman"/>
          <w:color w:val="333333"/>
          <w:sz w:val="22"/>
          <w:szCs w:val="22"/>
        </w:rPr>
        <w:t xml:space="preserve">— L2 weight decay = drift detection per parameter. Penalizes magnitude growth that violates declared distribution.</w:t>
      </w:r>
    </w:p>
    <w:p>
      <w:pPr>
        <w:spacing w:after="180" w:line="276"/>
      </w:pPr>
      <w:r>
        <w:rPr>
          <w:rFonts w:ascii="Times New Roman" w:cs="Times New Roman" w:eastAsia="Times New Roman" w:hAnsi="Times New Roman"/>
          <w:color w:val="333333"/>
          <w:sz w:val="22"/>
          <w:szCs w:val="22"/>
        </w:rPr>
        <w:t xml:space="preserve">— L1 sparsity = dynamic gating. Forces elements to zero when contribution drops below threshold.</w:t>
      </w:r>
    </w:p>
    <w:p>
      <w:pPr>
        <w:spacing w:after="180" w:line="276"/>
      </w:pPr>
      <w:r>
        <w:rPr>
          <w:rFonts w:ascii="Times New Roman" w:cs="Times New Roman" w:eastAsia="Times New Roman" w:hAnsi="Times New Roman"/>
          <w:color w:val="333333"/>
          <w:sz w:val="22"/>
          <w:szCs w:val="22"/>
        </w:rPr>
        <w:t xml:space="preserve">— Dropout = adaptive scope narrowing. Random element removal forces coherence in reduced portfolios.</w:t>
      </w:r>
    </w:p>
    <w:p>
      <w:pPr>
        <w:spacing w:after="180" w:line="276"/>
      </w:pPr>
      <w:r>
        <w:rPr>
          <w:rFonts w:ascii="Times New Roman" w:cs="Times New Roman" w:eastAsia="Times New Roman" w:hAnsi="Times New Roman"/>
          <w:color w:val="333333"/>
          <w:sz w:val="22"/>
          <w:szCs w:val="22"/>
        </w:rPr>
        <w:t xml:space="preserve">— Batch normalization = unity constraint enforcement. Maintains statistical distribution across layers.</w:t>
      </w:r>
    </w:p>
    <w:p>
      <w:pPr>
        <w:spacing w:after="180" w:line="276"/>
      </w:pPr>
      <w:r>
        <w:rPr>
          <w:rFonts w:ascii="Times New Roman" w:cs="Times New Roman" w:eastAsia="Times New Roman" w:hAnsi="Times New Roman"/>
          <w:color w:val="333333"/>
          <w:sz w:val="22"/>
          <w:szCs w:val="22"/>
        </w:rPr>
        <w:t xml:space="preserve">— Validation loss = MC-4 primary metric. Independent monitor of generalization vs. internal accuracy.</w:t>
      </w:r>
    </w:p>
    <w:p>
      <w:pPr>
        <w:spacing w:after="180" w:line="276"/>
      </w:pPr>
      <w:r>
        <w:rPr>
          <w:rFonts w:ascii="Times New Roman" w:cs="Times New Roman" w:eastAsia="Times New Roman" w:hAnsi="Times New Roman"/>
          <w:color w:val="333333"/>
          <w:sz w:val="22"/>
          <w:szCs w:val="22"/>
        </w:rPr>
        <w:t xml:space="preserve">— Overfitting = Deceptive Drift / cancer. Rising internal accuracy (training loss) = death signal. Generalization collapses.</w:t>
      </w:r>
    </w:p>
    <w:p>
      <w:pPr>
        <w:spacing w:after="180" w:line="276"/>
      </w:pPr>
      <w:r>
        <w:rPr>
          <w:rFonts w:ascii="Times New Roman" w:cs="Times New Roman" w:eastAsia="Times New Roman" w:hAnsi="Times New Roman"/>
          <w:color w:val="333333"/>
          <w:sz w:val="22"/>
          <w:szCs w:val="22"/>
        </w:rPr>
        <w:t xml:space="preserve">— Early stopping = viability intervention. MC-4 stops before the organism dies from cancer.</w:t>
      </w:r>
    </w:p>
    <w:p>
      <w:pPr>
        <w:spacing w:after="180" w:line="276"/>
      </w:pPr>
      <w:r>
        <w:rPr>
          <w:rFonts w:ascii="Times New Roman" w:cs="Times New Roman" w:eastAsia="Times New Roman" w:hAnsi="Times New Roman"/>
          <w:color w:val="333333"/>
          <w:sz w:val="22"/>
          <w:szCs w:val="22"/>
        </w:rPr>
        <w:t xml:space="preserve">— Adaptive learning rates = per-parameter Q-sensitivity. Adam/AdaGrad monitor each weight's oscillation risk.</w:t>
      </w:r>
    </w:p>
    <w:p>
      <w:pPr>
        <w:spacing w:after="180" w:line="276"/>
      </w:pPr>
      <w:r>
        <w:rPr>
          <w:rFonts w:ascii="Times New Roman" w:cs="Times New Roman" w:eastAsia="Times New Roman" w:hAnsi="Times New Roman"/>
          <w:color w:val="333333"/>
          <w:sz w:val="22"/>
          <w:szCs w:val="22"/>
        </w:rPr>
        <w:t xml:space="preserve">— Weight space = ratio portfolio. Softmax output enforces Σ=1.0. Every prediction is a probability distribution.</w:t>
      </w:r>
    </w:p>
    <w:p>
      <w:pPr>
        <w:spacing w:after="160" w:before="80"/>
      </w:pPr>
      <w:r>
        <w:rPr>
          <w:rFonts w:ascii="Times New Roman" w:cs="Times New Roman" w:eastAsia="Times New Roman" w:hAnsi="Times New Roman"/>
          <w:i/>
          <w:iCs/>
          <w:color w:val="2E75B6"/>
          <w:sz w:val="20"/>
          <w:szCs w:val="20"/>
        </w:rPr>
        <w:t xml:space="preserve">▶ Dynamic OCC monitoring: Sections 11.1–11.4 (Dynamic OCC Drift Monitoring and Portfolio Gating)</w:t>
      </w:r>
    </w:p>
    <w:p>
      <w:pPr>
        <w:spacing w:after="160" w:before="80"/>
      </w:pPr>
      <w:r>
        <w:rPr>
          <w:rFonts w:ascii="Times New Roman" w:cs="Times New Roman" w:eastAsia="Times New Roman" w:hAnsi="Times New Roman"/>
          <w:i/>
          <w:iCs/>
          <w:color w:val="2E75B6"/>
          <w:sz w:val="20"/>
          <w:szCs w:val="20"/>
        </w:rPr>
        <w:t xml:space="preserve">▶ Q-sensitivity: Pillar 2, Section 6 (Quality Factor Q)</w:t>
      </w:r>
    </w:p>
    <w:p>
      <w:pPr>
        <w:spacing w:after="160" w:before="80"/>
      </w:pPr>
      <w:r>
        <w:rPr>
          <w:rFonts w:ascii="Times New Roman" w:cs="Times New Roman" w:eastAsia="Times New Roman" w:hAnsi="Times New Roman"/>
          <w:i/>
          <w:iCs/>
          <w:color w:val="2E75B6"/>
          <w:sz w:val="20"/>
          <w:szCs w:val="20"/>
        </w:rPr>
        <w:t xml:space="preserve">▶ HUF-org framework: Pillar 1, Section 11 (HUF-Org: The Sufficiency Frontier as Metabolic Boundary)</w:t>
      </w:r>
    </w:p>
    <w:p>
      <w:pPr>
        <w:spacing w:after="160" w:before="80"/>
      </w:pPr>
      <w:r>
        <w:rPr>
          <w:rFonts w:ascii="Times New Roman" w:cs="Times New Roman" w:eastAsia="Times New Roman" w:hAnsi="Times New Roman"/>
          <w:i/>
          <w:iCs/>
          <w:color w:val="2E75B6"/>
          <w:sz w:val="20"/>
          <w:szCs w:val="20"/>
        </w:rPr>
        <w:t xml:space="preserve">▶ ML validation: Billions of training runs with trillion parameters under continuous regularization oversight</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14. Discussion</w:t>
      </w:r>
    </w:p>
    <w:p>
      <w:pPr>
        <w:pStyle w:val="Heading2"/>
        <w:spacing w:after="160" w:before="280"/>
      </w:pPr>
      <w:r>
        <w:rPr>
          <w:rFonts w:ascii="Times New Roman" w:cs="Times New Roman" w:eastAsia="Times New Roman" w:hAnsi="Times New Roman"/>
          <w:b/>
          <w:bCs/>
          <w:color w:val="1F3864"/>
          <w:sz w:val="24"/>
          <w:szCs w:val="24"/>
        </w:rPr>
        <w:t xml:space="preserve">14.1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14.2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14.3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15.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Dynamic OCC Drift Monitoring reveals that the OCC contract oscillates around the declared nominal, and these oscillations are the system’s normal behavior. Silent drift is unbounded oscillation that does not return. Dynamic Portfolio Gating adapts the active portfolio in real time based on observability, maintaining the unity constraint and preventing false precision.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The car dashboard analogy—watching the driver/fuel ratio drift as the absolute level changes—provides intuitive understanding of why monitoring composition matters as much as monitoring absolutes. In every domain, from fuel systems to biological circuits to governance structures, the ratio tells a story the absolute cannot. Dynamic drift monitoring and adaptive gating ensure that the observation boundary stays matched to the data actually present, at every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16. 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v3.4,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2026-03-09T20:38:42.517Z</dcterms:created>
  <dcterms:modified xsi:type="dcterms:W3CDTF">2026-03-09T20:38:42.517Z</dcterms:modified>
</cp:coreProperties>
</file>

<file path=docProps/custom.xml><?xml version="1.0" encoding="utf-8"?>
<Properties xmlns="http://schemas.openxmlformats.org/officeDocument/2006/custom-properties" xmlns:vt="http://schemas.openxmlformats.org/officeDocument/2006/docPropsVTypes"/>
</file>