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Times New Roman" w:cs="Times New Roman" w:eastAsia="Times New Roman" w:hAnsi="Times New Roman"/>
          <w:b/>
          <w:bCs/>
          <w:color w:val="1F3864"/>
          <w:sz w:val="48"/>
          <w:szCs w:val="48"/>
        </w:rPr>
        <w:t xml:space="preserve">The Sufficiency Frontier</w:t>
      </w:r>
    </w:p>
    <w:p>
      <w:pPr>
        <w:spacing w:after="160"/>
        <w:jc w:val="center"/>
      </w:pPr>
      <w:r>
        <w:rPr>
          <w:rFonts w:ascii="Times New Roman" w:cs="Times New Roman" w:eastAsia="Times New Roman" w:hAnsi="Times New Roman"/>
          <w:color w:val="2E75B6"/>
          <w:sz w:val="26"/>
          <w:szCs w:val="26"/>
        </w:rPr>
        <w:t xml:space="preserve">Phase-Space Reduction, the Hierarchy of Information Reduction,</w:t>
      </w:r>
    </w:p>
    <w:p>
      <w:pPr>
        <w:spacing w:after="160"/>
        <w:jc w:val="center"/>
      </w:pPr>
      <w:r>
        <w:rPr>
          <w:rFonts w:ascii="Times New Roman" w:cs="Times New Roman" w:eastAsia="Times New Roman" w:hAnsi="Times New Roman"/>
          <w:color w:val="2E75B6"/>
          <w:sz w:val="26"/>
          <w:szCs w:val="26"/>
        </w:rPr>
        <w:t xml:space="preserve">and Domain-Agnostic Sufficient Statistic Extraction at 6,357,738 : 1</w:t>
      </w:r>
    </w:p>
    <w:p>
      <w:pPr>
        <w:spacing w:before="600"/>
      </w:pPr>
    </w:p>
    <w:p>
      <w:pPr>
        <w:spacing w:after="80"/>
        <w:jc w:val="center"/>
      </w:pPr>
      <w:r>
        <w:rPr>
          <w:rFonts w:ascii="Times New Roman" w:cs="Times New Roman" w:eastAsia="Times New Roman" w:hAnsi="Times New Roman"/>
          <w:color w:val="333333"/>
          <w:sz w:val="24"/>
          <w:szCs w:val="24"/>
        </w:rPr>
        <w:t xml:space="preserve">Peter Higgins</w:t>
      </w:r>
    </w:p>
    <w:p>
      <w:pPr>
        <w:spacing w:after="60"/>
        <w:jc w:val="center"/>
      </w:pPr>
      <w:r>
        <w:rPr>
          <w:rFonts w:ascii="Times New Roman" w:cs="Times New Roman" w:eastAsia="Times New Roman" w:hAnsi="Times New Roman"/>
          <w:i/>
          <w:iCs/>
          <w:color w:val="666666"/>
          <w:sz w:val="20"/>
          <w:szCs w:val="20"/>
        </w:rPr>
        <w:t xml:space="preserve">Principal Investigator, Higgins Unity Framework</w:t>
      </w:r>
    </w:p>
    <w:p>
      <w:pPr>
        <w:spacing w:before="200"/>
      </w:pPr>
    </w:p>
    <w:p>
      <w:pPr>
        <w:spacing w:after="60"/>
        <w:jc w:val="center"/>
      </w:pPr>
      <w:r>
        <w:rPr>
          <w:rFonts w:ascii="Times New Roman" w:cs="Times New Roman" w:eastAsia="Times New Roman" w:hAnsi="Times New Roman"/>
          <w:color w:val="666666"/>
          <w:sz w:val="20"/>
          <w:szCs w:val="20"/>
        </w:rPr>
        <w:t xml:space="preserve">with the Five-AI Collective</w:t>
      </w:r>
    </w:p>
    <w:p>
      <w:pPr>
        <w:spacing w:after="60"/>
        <w:jc w:val="center"/>
      </w:pPr>
      <w:r>
        <w:rPr>
          <w:rFonts w:ascii="Times New Roman" w:cs="Times New Roman" w:eastAsia="Times New Roman" w:hAnsi="Times New Roman"/>
          <w:color w:val="888888"/>
          <w:sz w:val="18"/>
          <w:szCs w:val="18"/>
        </w:rPr>
        <w:t xml:space="preserve">Grok (xAI) · Claude (Anthropic) · ChatGPT (OpenAI) · Gemini (Google) · Copilot (Microsoft)</w:t>
      </w:r>
    </w:p>
    <w:p>
      <w:pPr>
        <w:spacing w:before="400"/>
      </w:pPr>
    </w:p>
    <w:p>
      <w:pPr>
        <w:spacing w:after="60"/>
        <w:jc w:val="center"/>
      </w:pPr>
      <w:r>
        <w:rPr>
          <w:rFonts w:ascii="Times New Roman" w:cs="Times New Roman" w:eastAsia="Times New Roman" w:hAnsi="Times New Roman"/>
          <w:color w:val="333333"/>
          <w:sz w:val="22"/>
          <w:szCs w:val="22"/>
        </w:rPr>
        <w:t xml:space="preserve">March 2026</w:t>
      </w:r>
    </w:p>
    <w:p>
      <w:pPr>
        <w:spacing w:before="200"/>
      </w:pPr>
    </w:p>
    <w:p>
      <w:pPr>
        <w:pBdr>
          <w:top w:val="single" w:color="CCCCCC" w:sz="2" w:space="12"/>
        </w:pBdr>
        <w:spacing w:after="60" w:before="100"/>
        <w:jc w:val="center"/>
      </w:pPr>
      <w:r>
        <w:rPr>
          <w:rFonts w:ascii="Times New Roman" w:cs="Times New Roman" w:eastAsia="Times New Roman" w:hAnsi="Times New Roman"/>
          <w:i/>
          <w:iCs/>
          <w:color w:val="999999"/>
          <w:sz w:val="18"/>
          <w:szCs w:val="18"/>
        </w:rPr>
        <w:t xml:space="preserve">Working Paper — Higgins Unity Framework v4</w:t>
      </w:r>
    </w:p>
    <w:p>
      <w:r>
        <w:br w:type="page"/>
      </w:r>
    </w:p>
    <w:p>
      <w:pPr>
        <w:spacing w:after="300" w:before="120"/>
        <w:jc w:val="center"/>
      </w:pPr>
      <w:r>
        <w:rPr>
          <w:rFonts w:ascii="Times New Roman" w:cs="Times New Roman" w:eastAsia="Times New Roman" w:hAnsi="Times New Roman"/>
          <w:b/>
          <w:bCs/>
          <w:color w:val="333333"/>
          <w:sz w:val="24"/>
          <w:szCs w:val="24"/>
        </w:rPr>
        <w:t xml:space="preserve">Abstract</w:t>
      </w:r>
    </w:p>
    <w:p>
      <w:pPr>
        <w:spacing w:after="180" w:line="276"/>
      </w:pPr>
      <w:r>
        <w:rPr>
          <w:rFonts w:ascii="Times New Roman" w:cs="Times New Roman" w:eastAsia="Times New Roman" w:hAnsi="Times New Roman"/>
          <w:color w:val="333333"/>
          <w:sz w:val="22"/>
          <w:szCs w:val="22"/>
        </w:rPr>
        <w:t xml:space="preserve">Information reduction has historically been understood through the lens of signal reconstruction: given a compressed representation, how faithfully can the original be recovered? This paper proposes an alternative framework — the </w:t>
      </w:r>
      <w:r>
        <w:rPr>
          <w:rFonts w:ascii="Times New Roman" w:cs="Times New Roman" w:eastAsia="Times New Roman" w:hAnsi="Times New Roman"/>
          <w:i/>
          <w:iCs/>
          <w:color w:val="333333"/>
          <w:sz w:val="22"/>
          <w:szCs w:val="22"/>
        </w:rPr>
        <w:t xml:space="preserve">sufficiency frontier</w:t>
      </w:r>
      <w:r>
        <w:rPr>
          <w:rFonts w:ascii="Times New Roman" w:cs="Times New Roman" w:eastAsia="Times New Roman" w:hAnsi="Times New Roman"/>
          <w:color w:val="333333"/>
          <w:sz w:val="22"/>
          <w:szCs w:val="22"/>
        </w:rPr>
        <w:t xml:space="preserve"> — where the operative question is not reconstruction fidelity but inferential completeness: does the reduced representation contain everything needed to answer a specified analytical question? We situate this framework within a four-level hierarchy of information reduction, spanning syntactic compression (Level 1), perceptual compression (Level 2), structural compression (Level 3), and sufficient statistic extraction (Level 4). Drawing on the precedent of phase-space reduction in statistical mechanics, we describe a domain-agnostic system — the Higgins Unity Framework (HUF) PreParser — that achieves a measured reduction ratio of 6,357,738 : 1 across ten independent empirical systems (156.3 million records to 1,008 bytes), with external validation against institutional benchmarks at the level of exact date correspondence. The results suggest that governance drift, as operationalized through distributional regime analysis, may constitute a universal observable admitting a domain-agnostic sufficient statistic.</w:t>
      </w:r>
    </w:p>
    <w:p>
      <w:pPr>
        <w:spacing w:after="180" w:line="276"/>
      </w:pPr>
      <w:r>
        <w:rPr>
          <w:rFonts w:ascii="Times New Roman" w:cs="Times New Roman" w:eastAsia="Times New Roman" w:hAnsi="Times New Roman"/>
          <w:b/>
          <w:bCs/>
          <w:color w:val="333333"/>
          <w:sz w:val="22"/>
          <w:szCs w:val="22"/>
        </w:rPr>
        <w:t xml:space="preserve">Keywords: </w:t>
      </w:r>
      <w:r>
        <w:rPr>
          <w:rFonts w:ascii="Times New Roman" w:cs="Times New Roman" w:eastAsia="Times New Roman" w:hAnsi="Times New Roman"/>
          <w:color w:val="333333"/>
          <w:sz w:val="22"/>
          <w:szCs w:val="22"/>
        </w:rPr>
        <w:t xml:space="preserve">sufficient statistics, information reduction, phase-space reduction, probability simplex, governance drift, analytical reduction, domain-agnostic inference</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The field of data compression, as established by Shannon's foundational work on information entropy [1], has been governed by a single organizing question for nearly eight decades: given a source signal, what is the minimum number of bits required to represent it such that the original can be recovered, either exactly (lossless) or within acceptable perceptual bounds (lossy)? This question has produced remarkable engineering achievements, from Huffman's optimal prefix codes [2] to the H.265/HEVC video coding standard [3], which achieves ratios approaching 3,000 : 1 by exploiting models of human visual perception.</w:t>
      </w:r>
    </w:p>
    <w:p>
      <w:pPr>
        <w:spacing w:after="180" w:line="276"/>
      </w:pPr>
      <w:r>
        <w:rPr>
          <w:rFonts w:ascii="Times New Roman" w:cs="Times New Roman" w:eastAsia="Times New Roman" w:hAnsi="Times New Roman"/>
          <w:color w:val="333333"/>
          <w:sz w:val="22"/>
          <w:szCs w:val="22"/>
        </w:rPr>
        <w:t xml:space="preserve">Yet the reconstruction question, however productive, carries an implicit assumption: that the purpose of information reduction is to preserve or approximate the original signal. For many analytical applications, this assumption is unnecessarily strong. A transit authority monitoring service reliability does not need to reconstruct 342,759 individual trip records; it needs to know whether the system's distributional behaviour has changed. A satellite operations team does not need to recover 50 million individual pixel measurements; it needs to know whether instrument performance has shifted regime.</w:t>
      </w:r>
    </w:p>
    <w:p>
      <w:pPr>
        <w:spacing w:after="180" w:line="276"/>
      </w:pPr>
      <w:r>
        <w:rPr>
          <w:rFonts w:ascii="Times New Roman" w:cs="Times New Roman" w:eastAsia="Times New Roman" w:hAnsi="Times New Roman"/>
          <w:color w:val="333333"/>
          <w:sz w:val="22"/>
          <w:szCs w:val="22"/>
        </w:rPr>
        <w:t xml:space="preserve">This observation — that the analytical question may require far less information than reconstruction demands — has deep roots in mathematical statistics. Fisher's concept of sufficiency [4] formalized the idea that a statistic T(X) can capture everything a dataset X reveals about a parameter of interest θ, rendering the remaining data conditionally uninformative. The Rao-Blackwell theorem [5][6] demonstrated that conditioning on sufficient statistics uniformly improves estimator quality. The Pitman-Koopman-Darmois theorem [7][8][9] established the centrality of exponential families in admitting fixed-dimensional sufficient statistics.</w:t>
      </w:r>
    </w:p>
    <w:p>
      <w:pPr>
        <w:spacing w:after="180" w:line="276"/>
      </w:pPr>
      <w:r>
        <w:rPr>
          <w:rFonts w:ascii="Times New Roman" w:cs="Times New Roman" w:eastAsia="Times New Roman" w:hAnsi="Times New Roman"/>
          <w:color w:val="333333"/>
          <w:sz w:val="22"/>
          <w:szCs w:val="22"/>
        </w:rPr>
        <w:t xml:space="preserve">This paper describes a system that operationalizes this principle at scale: the Higgins Unity Framework (HUF) PreParser, a domain-agnostic analytical engine that extracts a governance fingerprint from arbitrary empirical datasets. Across ten independent systems spanning satellite telemetry, urban transit, infrastructure condition assessment, traffic monitoring, and collision records — totalling 156,326,693 input records (6.41 GB) — the PreParser produces 126 output values (1,008 bytes), yielding a measured reduction ratio of 6,357,738 : 1. We propose that this ratio is best understood not as compression but as sufficient statistic extraction, and we develop a taxonomy — the hierarchy of information reduction — to formalize the distinction.</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 and Notation</w:t>
      </w:r>
    </w:p>
    <w:p>
      <w:pPr>
        <w:spacing w:after="180" w:line="276"/>
      </w:pPr>
      <w:r>
        <w:rPr>
          <w:rFonts w:ascii="Times New Roman" w:cs="Times New Roman" w:eastAsia="Times New Roman" w:hAnsi="Times New Roman"/>
          <w:color w:val="333333"/>
          <w:sz w:val="22"/>
          <w:szCs w:val="22"/>
        </w:rPr>
        <w:t xml:space="preserve">The following terms are used throughout this paper with specific technical meanings. Where established definitions exist in the literature, we cite them; where the term is introduced here, we note this explicitly.</w:t>
      </w:r>
    </w:p>
    <w:p>
      <w:pPr>
        <w:spacing w:after="60"/>
      </w:pPr>
    </w:p>
    <w:p>
      <w:pPr>
        <w:spacing w:after="140" w:line="276"/>
        <w:ind w:left="360"/>
      </w:pPr>
      <w:r>
        <w:rPr>
          <w:rFonts w:ascii="Times New Roman" w:cs="Times New Roman" w:eastAsia="Times New Roman" w:hAnsi="Times New Roman"/>
          <w:b/>
          <w:bCs/>
          <w:i/>
          <w:iCs/>
          <w:color w:val="333333"/>
          <w:sz w:val="22"/>
          <w:szCs w:val="22"/>
        </w:rPr>
        <w:t xml:space="preserve">Sufficient statistic [4]</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function T(X) of a random sample X is sufficient for a parameter θ if the conditional distribution of X given T(X) does not depend on θ. Equivalently, by the Neyman-Fisher factorization theorem [10], the likelihood factors as L(θ; x) = g(T(x), θ) · h(x), where h does not depend on θ.</w:t>
      </w:r>
    </w:p>
    <w:p>
      <w:pPr>
        <w:spacing w:after="140" w:line="276"/>
        <w:ind w:left="360"/>
      </w:pPr>
      <w:r>
        <w:rPr>
          <w:rFonts w:ascii="Times New Roman" w:cs="Times New Roman" w:eastAsia="Times New Roman" w:hAnsi="Times New Roman"/>
          <w:b/>
          <w:bCs/>
          <w:i/>
          <w:iCs/>
          <w:color w:val="333333"/>
          <w:sz w:val="22"/>
          <w:szCs w:val="22"/>
        </w:rPr>
        <w:t xml:space="preserve">Probability simplex</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(K−1)-dimensional standard simplex Δᴷ⁻¹ = {ρ ∈ ℝᴷ : ρᵢ ≥ 0, Σρᵢ = 1}. Every point on the simplex represents a discrete probability distribution over K categories.</w:t>
      </w:r>
    </w:p>
    <w:p>
      <w:pPr>
        <w:spacing w:after="140" w:line="276"/>
        <w:ind w:left="360"/>
      </w:pPr>
      <w:r>
        <w:rPr>
          <w:rFonts w:ascii="Times New Roman" w:cs="Times New Roman" w:eastAsia="Times New Roman" w:hAnsi="Times New Roman"/>
          <w:b/>
          <w:bCs/>
          <w:i/>
          <w:iCs/>
          <w:color w:val="333333"/>
          <w:sz w:val="22"/>
          <w:szCs w:val="22"/>
        </w:rPr>
        <w:t xml:space="preserve">Governance regime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labelled partition of a continuous measurement space into K ordered categories (e.g., quartiles), where each category represents a qualitatively distinct operational state. This paper uses K = 4 with boundaries at the 25th, 50th, and 75th percentiles, yielding regimes labelled Cold, Cool, Warm, and Hot (or domain-appropriate equivalents).</w:t>
      </w:r>
    </w:p>
    <w:p>
      <w:pPr>
        <w:spacing w:after="140" w:line="276"/>
        <w:ind w:left="360"/>
      </w:pPr>
      <w:r>
        <w:rPr>
          <w:rFonts w:ascii="Times New Roman" w:cs="Times New Roman" w:eastAsia="Times New Roman" w:hAnsi="Times New Roman"/>
          <w:b/>
          <w:bCs/>
          <w:i/>
          <w:iCs/>
          <w:color w:val="333333"/>
          <w:sz w:val="22"/>
          <w:szCs w:val="22"/>
        </w:rPr>
        <w:t xml:space="preserve">Regime proportion vector (ρ)</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point on Δ³ representing the fraction of observations falling in each of the K = 4 governance regimes: ρ = (ρ₁, ρ₂, ρ₃, ρ₄) with Σρᵢ = 1.</w:t>
      </w:r>
    </w:p>
    <w:p>
      <w:pPr>
        <w:spacing w:after="140" w:line="276"/>
        <w:ind w:left="360"/>
      </w:pPr>
      <w:r>
        <w:rPr>
          <w:rFonts w:ascii="Times New Roman" w:cs="Times New Roman" w:eastAsia="Times New Roman" w:hAnsi="Times New Roman"/>
          <w:b/>
          <w:bCs/>
          <w:i/>
          <w:iCs/>
          <w:color w:val="333333"/>
          <w:sz w:val="22"/>
          <w:szCs w:val="22"/>
        </w:rPr>
        <w:t xml:space="preserve">Effective regime count (K_eff)</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number of regimes containing a non-trivial share of observations. Operationally, K_eff = |{i : ρᵢ &gt; ε}| for a threshold ε (this paper uses ε = 0.01).</w:t>
      </w:r>
    </w:p>
    <w:p>
      <w:pPr>
        <w:spacing w:after="140" w:line="276"/>
        <w:ind w:left="360"/>
      </w:pPr>
      <w:r>
        <w:rPr>
          <w:rFonts w:ascii="Times New Roman" w:cs="Times New Roman" w:eastAsia="Times New Roman" w:hAnsi="Times New Roman"/>
          <w:b/>
          <w:bCs/>
          <w:i/>
          <w:iCs/>
          <w:color w:val="333333"/>
          <w:sz w:val="22"/>
          <w:szCs w:val="22"/>
        </w:rPr>
        <w:t xml:space="preserve">Monotonic Drift Gauge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scalar measure of governance drift defined as MDG = 20 × log₁₀(drift_bps / K), where drift_bps is the absolute deviation of the dominant regime proportion from the uniform baseline (25%), expressed in basis points. The logarithmic scale is analogous to the decibel convention in signal processing.</w:t>
      </w:r>
    </w:p>
    <w:p>
      <w:pPr>
        <w:spacing w:after="140" w:line="276"/>
        <w:ind w:left="360"/>
      </w:pPr>
      <w:r>
        <w:rPr>
          <w:rFonts w:ascii="Times New Roman" w:cs="Times New Roman" w:eastAsia="Times New Roman" w:hAnsi="Times New Roman"/>
          <w:b/>
          <w:bCs/>
          <w:i/>
          <w:iCs/>
          <w:color w:val="333333"/>
          <w:sz w:val="22"/>
          <w:szCs w:val="22"/>
        </w:rPr>
        <w:t xml:space="preserve">OCC 51/49 threshold</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boundary at which a single governance regime captures a strict majority (ρᵢ &gt; 0.51) of observations. This paper proposes that this threshold corresponds to a structural bifurcation on the probability simplex (see Section 8).</w:t>
      </w:r>
    </w:p>
    <w:p>
      <w:pPr>
        <w:spacing w:after="140" w:line="276"/>
        <w:ind w:left="360"/>
      </w:pPr>
      <w:r>
        <w:rPr>
          <w:rFonts w:ascii="Times New Roman" w:cs="Times New Roman" w:eastAsia="Times New Roman" w:hAnsi="Times New Roman"/>
          <w:b/>
          <w:bCs/>
          <w:i/>
          <w:iCs/>
          <w:color w:val="333333"/>
          <w:sz w:val="22"/>
          <w:szCs w:val="22"/>
        </w:rPr>
        <w:t xml:space="preserve">Phase-space reduction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projection of a high-dimensional microstate description onto a lower-dimensional macrostate description that is sufficient for a specified class of questions. The canonical example is statistical mechanics, where ~10²³ particle coordinates reduce to ~5 thermodynamic variables [11][12].</w:t>
      </w:r>
    </w:p>
    <w:p>
      <w:pPr>
        <w:spacing w:after="140" w:line="276"/>
        <w:ind w:left="360"/>
      </w:pPr>
      <w:r>
        <w:rPr>
          <w:rFonts w:ascii="Times New Roman" w:cs="Times New Roman" w:eastAsia="Times New Roman" w:hAnsi="Times New Roman"/>
          <w:b/>
          <w:bCs/>
          <w:i/>
          <w:iCs/>
          <w:color w:val="333333"/>
          <w:sz w:val="22"/>
          <w:szCs w:val="22"/>
        </w:rPr>
        <w:t xml:space="preserve">Analytical reduction (introduced here)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Phase-space reduction applied to empirical datasets, where the microstate is the complete record-level data and the macrostate is the governance fingerprint (ρ, K_eff, MDG). Distinguished from compression by the absence of any reconstruction guarantee.</w:t>
      </w:r>
    </w:p>
    <w:p>
      <w:pPr>
        <w:spacing w:after="140" w:line="276"/>
        <w:ind w:left="360"/>
      </w:pPr>
      <w:r>
        <w:rPr>
          <w:rFonts w:ascii="Times New Roman" w:cs="Times New Roman" w:eastAsia="Times New Roman" w:hAnsi="Times New Roman"/>
          <w:b/>
          <w:bCs/>
          <w:i/>
          <w:iCs/>
          <w:color w:val="333333"/>
          <w:sz w:val="22"/>
          <w:szCs w:val="22"/>
        </w:rPr>
        <w:t xml:space="preserve">Sufficiency frontier (introduced here)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boundary in the space of information reduction systems at which the operative question changes from "can the original be reconstructed?" to "is the reduced representation sufficient for the specified inference task?" Systems on this frontier sacrifice reconstruction in exchange for potentially unbounded reduction ratios, limited only by the dimensionality of the inference question.</w:t>
      </w:r>
    </w:p>
    <w:p>
      <w:pPr>
        <w:spacing w:after="140" w:line="276"/>
        <w:ind w:left="360"/>
      </w:pPr>
      <w:r>
        <w:rPr>
          <w:rFonts w:ascii="Times New Roman" w:cs="Times New Roman" w:eastAsia="Times New Roman" w:hAnsi="Times New Roman"/>
          <w:b/>
          <w:bCs/>
          <w:i/>
          <w:iCs/>
          <w:color w:val="333333"/>
          <w:sz w:val="22"/>
          <w:szCs w:val="22"/>
        </w:rPr>
        <w:t xml:space="preserve">Pettitt test [13]</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non-parametric, rank-based test for detecting a single changepoint in a time series. The test statistic U_T = max|U_t,T| where U_t,T = Σᵢ⁼¹ᵗ Σⱼ⁼ᵗ⁺¹ᵀ sgn(Xᵢ − Xⱼ). Significance is assessed via an asymptotic approximation to the null distribution.</w:t>
      </w:r>
    </w:p>
    <w:p>
      <w:pPr>
        <w:spacing w:after="140" w:line="276"/>
        <w:ind w:left="360"/>
      </w:pPr>
      <w:r>
        <w:rPr>
          <w:rFonts w:ascii="Times New Roman" w:cs="Times New Roman" w:eastAsia="Times New Roman" w:hAnsi="Times New Roman"/>
          <w:b/>
          <w:bCs/>
          <w:i/>
          <w:iCs/>
          <w:color w:val="333333"/>
          <w:sz w:val="22"/>
          <w:szCs w:val="22"/>
        </w:rPr>
        <w:t xml:space="preserve">Interrupted time series (ITS) [14]</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quasi-experimental design for estimating causal effects of interventions using segmented regression: Y_t = β₀ + β₁·time + β₂·intervention + β₃·time_after + ε_t, where β₂ estimates the level shift and β₃ the trend change attributable to the intervention.</w:t>
      </w:r>
    </w:p>
    <w:p>
      <w:pPr>
        <w:spacing w:after="140" w:line="276"/>
        <w:ind w:left="360"/>
      </w:pPr>
      <w:r>
        <w:rPr>
          <w:rFonts w:ascii="Times New Roman" w:cs="Times New Roman" w:eastAsia="Times New Roman" w:hAnsi="Times New Roman"/>
          <w:b/>
          <w:bCs/>
          <w:i/>
          <w:iCs/>
          <w:color w:val="333333"/>
          <w:sz w:val="22"/>
          <w:szCs w:val="22"/>
        </w:rPr>
        <w:t xml:space="preserve">Cross-Domain Normalization (CDN)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structural urgency metric defined as Ω = |ΔMDG| × β, where β = K / K_eff. CDN enables comparison of governance drift magnitudes across systems with different measurement scales and units.</w:t>
      </w:r>
    </w:p>
    <w:p>
      <w:pPr>
        <w:spacing w:after="140" w:line="276"/>
        <w:ind w:left="360"/>
      </w:pPr>
      <w:r>
        <w:rPr>
          <w:rFonts w:ascii="Times New Roman" w:cs="Times New Roman" w:eastAsia="Times New Roman" w:hAnsi="Times New Roman"/>
          <w:b/>
          <w:bCs/>
          <w:i/>
          <w:iCs/>
          <w:color w:val="333333"/>
          <w:sz w:val="22"/>
          <w:szCs w:val="22"/>
        </w:rPr>
        <w:t xml:space="preserve">Cohen's d [15]</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standardized measure of effect size: d = (M₁ − M₂) / s_pooled, where s_pooled is the pooled standard deviation. Conventional thresholds: |d| = 0.2 (small), 0.5 (medium), 0.8 (large).</w:t>
      </w:r>
    </w:p>
    <w:p>
      <w:pPr>
        <w:spacing w:after="140" w:line="276"/>
        <w:ind w:left="360"/>
      </w:pPr>
      <w:r>
        <w:rPr>
          <w:rFonts w:ascii="Times New Roman" w:cs="Times New Roman" w:eastAsia="Times New Roman" w:hAnsi="Times New Roman"/>
          <w:b/>
          <w:bCs/>
          <w:i/>
          <w:iCs/>
          <w:color w:val="333333"/>
          <w:sz w:val="22"/>
          <w:szCs w:val="22"/>
        </w:rPr>
        <w:t xml:space="preserve">Fixed point (in the validation sense, introduced here)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condition in which a domain-agnostic method and a domain-specific method converge on the same empirical conclusion, i.e., f(x) = x. Interpreted as evidence that the sufficient statistic has captured the phenomenon the domain experts identified through independent means.</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3. Phase-Space Reduction: Historical Precedent</w:t>
      </w:r>
    </w:p>
    <w:p>
      <w:pPr>
        <w:pStyle w:val="Heading2"/>
        <w:spacing w:after="160" w:before="280"/>
      </w:pPr>
      <w:r>
        <w:rPr>
          <w:rFonts w:ascii="Times New Roman" w:cs="Times New Roman" w:eastAsia="Times New Roman" w:hAnsi="Times New Roman"/>
          <w:b/>
          <w:bCs/>
          <w:color w:val="1F3864"/>
          <w:sz w:val="24"/>
          <w:szCs w:val="24"/>
        </w:rPr>
        <w:t xml:space="preserve">3.1  Statistical Mechanics</w:t>
      </w:r>
    </w:p>
    <w:p>
      <w:pPr>
        <w:spacing w:after="180" w:line="276"/>
      </w:pPr>
      <w:r>
        <w:rPr>
          <w:rFonts w:ascii="Times New Roman" w:cs="Times New Roman" w:eastAsia="Times New Roman" w:hAnsi="Times New Roman"/>
          <w:color w:val="333333"/>
          <w:sz w:val="22"/>
          <w:szCs w:val="22"/>
        </w:rPr>
        <w:t xml:space="preserve">The earliest and most consequential example of sufficient statistic extraction in the physical sciences is Boltzmann's reduction of the molecular microstate to thermodynamic macrovariables [11]. A mole of ideal gas comprises approximately 6.022 × 10²³ particles, each described by six phase-space coordinates (three spatial, three momenta), for a total of ~3.6 × 10²⁴ degrees of freedom. Equilibrium thermodynamics reduces this to five macroscopic observables: temperature (T), pressure (P), volume (V), entropy (S), and particle number (N).</w:t>
      </w:r>
    </w:p>
    <w:p>
      <w:pPr>
        <w:spacing w:after="180" w:line="276"/>
      </w:pPr>
      <w:r>
        <w:rPr>
          <w:rFonts w:ascii="Times New Roman" w:cs="Times New Roman" w:eastAsia="Times New Roman" w:hAnsi="Times New Roman"/>
          <w:color w:val="333333"/>
          <w:sz w:val="22"/>
          <w:szCs w:val="22"/>
        </w:rPr>
        <w:t xml:space="preserve">The reduction ratio — on the order of 10²³ : 1 — exceeds any compression system by many orders of magnitude. But it operates under two constraints that limit its generalizability. First, it requires the system to be at or near thermal equilibrium; far-from-equilibrium systems require the full Boltzmann equation or its approximations. Second, it requires the Hamiltonian — the complete specification of the system's energy function — to be known </w:t>
      </w:r>
      <w:r>
        <w:rPr>
          <w:rFonts w:ascii="Times New Roman" w:cs="Times New Roman" w:eastAsia="Times New Roman" w:hAnsi="Times New Roman"/>
          <w:i/>
          <w:iCs/>
          <w:color w:val="333333"/>
          <w:sz w:val="22"/>
          <w:szCs w:val="22"/>
        </w:rPr>
        <w:t xml:space="preserve">a priori</w:t>
      </w:r>
      <w:r>
        <w:rPr>
          <w:rFonts w:ascii="Times New Roman" w:cs="Times New Roman" w:eastAsia="Times New Roman" w:hAnsi="Times New Roman"/>
          <w:color w:val="333333"/>
          <w:sz w:val="22"/>
          <w:szCs w:val="22"/>
        </w:rPr>
        <w:t xml:space="preserve">. The reduction is derived from the physics, not discovered from the data.</w:t>
      </w:r>
    </w:p>
    <w:p>
      <w:pPr>
        <w:spacing w:after="180" w:line="276"/>
      </w:pPr>
      <w:r>
        <w:rPr>
          <w:rFonts w:ascii="Times New Roman" w:cs="Times New Roman" w:eastAsia="Times New Roman" w:hAnsi="Times New Roman"/>
          <w:color w:val="333333"/>
          <w:sz w:val="22"/>
          <w:szCs w:val="22"/>
        </w:rPr>
        <w:t xml:space="preserve">Gibbs [12] formalized the ensemble approach, and Jaynes [16] later recast statistical mechanics as a problem of maximum-entropy inference, explicitly connecting the thermodynamic reduction to information-theoretic principles. Jaynes showed that the canonical distribution arises as the maximum-entropy distribution subject to the constraint that the expected energy equals the observed mean energy — a result that directly parallels Fisher's sufficiency: the mean energy is sufficient for the temperature parameter in the canonical ensemble.</w:t>
      </w:r>
    </w:p>
    <w:p>
      <w:pPr>
        <w:pStyle w:val="Heading2"/>
        <w:spacing w:after="160" w:before="280"/>
      </w:pPr>
      <w:r>
        <w:rPr>
          <w:rFonts w:ascii="Times New Roman" w:cs="Times New Roman" w:eastAsia="Times New Roman" w:hAnsi="Times New Roman"/>
          <w:b/>
          <w:bCs/>
          <w:color w:val="1F3864"/>
          <w:sz w:val="24"/>
          <w:szCs w:val="24"/>
        </w:rPr>
        <w:t xml:space="preserve">3.2  Fisher Sufficiency and the Exponential Family</w:t>
      </w:r>
    </w:p>
    <w:p>
      <w:pPr>
        <w:spacing w:after="180" w:line="276"/>
      </w:pPr>
      <w:r>
        <w:rPr>
          <w:rFonts w:ascii="Times New Roman" w:cs="Times New Roman" w:eastAsia="Times New Roman" w:hAnsi="Times New Roman"/>
          <w:color w:val="333333"/>
          <w:sz w:val="22"/>
          <w:szCs w:val="22"/>
        </w:rPr>
        <w:t xml:space="preserve">Fisher [4] introduced sufficiency as a property of statistics: T(X) is sufficient for θ if and only if the likelihood admits the factorization L(θ; x) = g(T(x), θ) · h(x). The Pitman-Koopman-Darmois theorem [7][8][9] established that within the class of distributions with support independent of θ, only the exponential family admits sufficient statistics of fixed dimension regardless of sample size.</w:t>
      </w:r>
    </w:p>
    <w:p>
      <w:pPr>
        <w:spacing w:after="180" w:line="276"/>
      </w:pPr>
      <w:r>
        <w:rPr>
          <w:rFonts w:ascii="Times New Roman" w:cs="Times New Roman" w:eastAsia="Times New Roman" w:hAnsi="Times New Roman"/>
          <w:color w:val="333333"/>
          <w:sz w:val="22"/>
          <w:szCs w:val="22"/>
        </w:rPr>
        <w:t xml:space="preserve">This result has a crucial implication: for non-exponential-family distributions, the minimal sufficient statistic grows with sample size — in the worst case, the order statistics (i.e., the sorted data) are minimally sufficient, and no reduction is possible. Compression researchers operate in this regime: without distributional assumptions, they cannot do better than the Shannon entropy of the source.</w:t>
      </w:r>
    </w:p>
    <w:p>
      <w:pPr>
        <w:spacing w:after="180" w:line="276"/>
      </w:pPr>
      <w:r>
        <w:rPr>
          <w:rFonts w:ascii="Times New Roman" w:cs="Times New Roman" w:eastAsia="Times New Roman" w:hAnsi="Times New Roman"/>
          <w:color w:val="333333"/>
          <w:sz w:val="22"/>
          <w:szCs w:val="22"/>
        </w:rPr>
        <w:t xml:space="preserve">The HUF PreParser sidesteps this constraint by changing the question. It does not seek a sufficient statistic for the data-generating distribution (which may not belong to the exponential family). Instead, it computes a sufficient statistic for a </w:t>
      </w:r>
      <w:r>
        <w:rPr>
          <w:rFonts w:ascii="Times New Roman" w:cs="Times New Roman" w:eastAsia="Times New Roman" w:hAnsi="Times New Roman"/>
          <w:i/>
          <w:iCs/>
          <w:color w:val="333333"/>
          <w:sz w:val="22"/>
          <w:szCs w:val="22"/>
        </w:rPr>
        <w:t xml:space="preserve">specific derived question</w:t>
      </w:r>
      <w:r>
        <w:rPr>
          <w:rFonts w:ascii="Times New Roman" w:cs="Times New Roman" w:eastAsia="Times New Roman" w:hAnsi="Times New Roman"/>
          <w:color w:val="333333"/>
          <w:sz w:val="22"/>
          <w:szCs w:val="22"/>
        </w:rPr>
        <w:t xml:space="preserve"> — regime-proportion drift on the probability simplex — that is, by construction, always a point in a four-dimensional space (Δ³) regardless of the dimensionality or distributional character of the input data.</w:t>
      </w:r>
    </w:p>
    <w:p>
      <w:pPr>
        <w:pStyle w:val="Heading2"/>
        <w:spacing w:after="160" w:before="280"/>
      </w:pPr>
      <w:r>
        <w:rPr>
          <w:rFonts w:ascii="Times New Roman" w:cs="Times New Roman" w:eastAsia="Times New Roman" w:hAnsi="Times New Roman"/>
          <w:b/>
          <w:bCs/>
          <w:color w:val="1F3864"/>
          <w:sz w:val="24"/>
          <w:szCs w:val="24"/>
        </w:rPr>
        <w:t xml:space="preserve">3.3  The Structural Analogy</w:t>
      </w:r>
    </w:p>
    <w:p>
      <w:pPr>
        <w:spacing w:after="180" w:line="276"/>
      </w:pPr>
      <w:r>
        <w:rPr>
          <w:rFonts w:ascii="Times New Roman" w:cs="Times New Roman" w:eastAsia="Times New Roman" w:hAnsi="Times New Roman"/>
          <w:color w:val="333333"/>
          <w:sz w:val="22"/>
          <w:szCs w:val="22"/>
        </w:rPr>
        <w:t xml:space="preserve">Table 1 summarizes the structural correspondence between statistical mechanical reduction and the HUF PreParser.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Property</w:t>
            </w:r>
          </w:p>
        </w:tc>
        <w:tc>
          <w:tcPr>
            <w:tcW w:type="dxa" w:w="31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Statistical Mechanics</w:t>
            </w:r>
          </w:p>
        </w:tc>
        <w:tc>
          <w:tcPr>
            <w:tcW w:type="dxa" w:w="31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 PreParser</w:t>
            </w:r>
          </w:p>
        </w:tc>
      </w:tr>
      <w:tr>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Microstate</w:t>
            </w:r>
          </w:p>
        </w:tc>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~10²³ particle coordinates</w:t>
            </w:r>
          </w:p>
        </w:tc>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156.3M empirical records</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Macrostate</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 P, V, S, N (5 values)</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ρ, K_eff, MDG (6 values/layer)</w:t>
            </w:r>
          </w:p>
        </w:tc>
      </w:tr>
      <w:tr>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Reduction ratio</w:t>
            </w:r>
          </w:p>
        </w:tc>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~10²³ : 1</w:t>
            </w:r>
          </w:p>
        </w:tc>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6,357,738 : 1</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Domain requirement</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Hamiltonian must be known</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None (domain-agnostic)</w:t>
            </w:r>
          </w:p>
        </w:tc>
      </w:tr>
      <w:tr>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Equilibrium assumption</w:t>
            </w:r>
          </w:p>
        </w:tc>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Required</w:t>
            </w:r>
          </w:p>
        </w:tc>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Not required</w:t>
            </w:r>
          </w:p>
        </w:tc>
      </w:tr>
      <w:tr>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Reconstruction</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Not possible</w:t>
            </w:r>
          </w:p>
        </w:tc>
        <w:tc>
          <w:tcPr>
            <w:tcW w:type="dxa" w:w="312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Not possible</w:t>
            </w:r>
          </w:p>
        </w:tc>
      </w:tr>
      <w:tr>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Sufficiency guarantee</w:t>
            </w:r>
          </w:p>
        </w:tc>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For thermal equilibrium questions</w:t>
            </w:r>
          </w:p>
        </w:tc>
        <w:tc>
          <w:tcPr>
            <w:tcW w:type="dxa" w:w="31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For governance drift questions</w:t>
            </w:r>
          </w:p>
        </w:tc>
      </w:tr>
    </w:tbl>
    <w:p>
      <w:pPr>
        <w:spacing w:after="100" w:line="276"/>
      </w:pPr>
      <w:r>
        <w:rPr>
          <w:rFonts w:ascii="Times New Roman" w:cs="Times New Roman" w:eastAsia="Times New Roman" w:hAnsi="Times New Roman"/>
          <w:b/>
          <w:bCs/>
          <w:i/>
          <w:iCs/>
          <w:color w:val="333333"/>
          <w:sz w:val="22"/>
          <w:szCs w:val="22"/>
        </w:rPr>
        <w:t xml:space="preserve">Table 1. </w:t>
      </w:r>
      <w:r>
        <w:rPr>
          <w:rFonts w:ascii="Times New Roman" w:cs="Times New Roman" w:eastAsia="Times New Roman" w:hAnsi="Times New Roman"/>
          <w:i/>
          <w:iCs/>
          <w:color w:val="333333"/>
          <w:sz w:val="22"/>
          <w:szCs w:val="22"/>
        </w:rPr>
        <w:t xml:space="preserve">Structural correspondence between statistical mechanical reduction and the HUF PreParser.</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4. A Hierarchy of Information Reduction</w:t>
      </w:r>
    </w:p>
    <w:p>
      <w:pPr>
        <w:spacing w:after="180" w:line="276"/>
      </w:pPr>
      <w:r>
        <w:rPr>
          <w:rFonts w:ascii="Times New Roman" w:cs="Times New Roman" w:eastAsia="Times New Roman" w:hAnsi="Times New Roman"/>
          <w:color w:val="333333"/>
          <w:sz w:val="22"/>
          <w:szCs w:val="22"/>
        </w:rPr>
        <w:t xml:space="preserve">We propose a four-level taxonomy of information reduction methods, organized not by the magnitude of the reduction ratio achieved but by the epistemological question each level addresses. The levels represent categorical distinctions: transitions between levels change what counts as "information" and therefore what counts as "loss."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200"/>
        <w:gridCol w:w="1900"/>
        <w:gridCol w:w="1600"/>
        <w:gridCol w:w="2160"/>
      </w:tblGrid>
      <w:tr>
        <w:tc>
          <w:tcPr>
            <w:tcW w:type="dxa" w:w="7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Level</w:t>
            </w:r>
          </w:p>
        </w:tc>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Category</w:t>
            </w:r>
          </w:p>
        </w:tc>
        <w:tc>
          <w:tcPr>
            <w:tcW w:type="dxa" w:w="1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Typical Ratio</w:t>
            </w:r>
          </w:p>
        </w:tc>
        <w:tc>
          <w:tcPr>
            <w:tcW w:type="dxa" w:w="19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Defining Question</w:t>
            </w:r>
          </w:p>
        </w:tc>
        <w:tc>
          <w:tcPr>
            <w:tcW w:type="dxa" w:w="1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Representative Systems</w:t>
            </w:r>
          </w:p>
        </w:tc>
        <w:tc>
          <w:tcPr>
            <w:tcW w:type="dxa" w:w="2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Foundational Work</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Syntactic</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2:1 – 10:1</w:t>
            </w:r>
          </w:p>
        </w:tc>
        <w:tc>
          <w:tcPr>
            <w:tcW w:type="dxa" w:w="19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Can the exact bit pattern be reconstructed?</w:t>
            </w:r>
          </w:p>
        </w:tc>
        <w:tc>
          <w:tcPr>
            <w:tcW w:type="dxa" w:w="1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gzip, LZ4, bzip2, zstd, FLAC</w:t>
            </w:r>
          </w:p>
        </w:tc>
        <w:tc>
          <w:tcPr>
            <w:tcW w:type="dxa" w:w="21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Shannon [1]; Huffman [2]; Burrows &amp; Wheeler [17]</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Perceptual</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10:1 – 3,000:1</w:t>
            </w:r>
          </w:p>
        </w:tc>
        <w:tc>
          <w:tcPr>
            <w:tcW w:type="dxa" w:w="19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Can a human observer detect the difference?</w:t>
            </w:r>
          </w:p>
        </w:tc>
        <w:tc>
          <w:tcPr>
            <w:tcW w:type="dxa" w:w="1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JPEG, MP3/AAC, H.265/HEVC</w:t>
            </w:r>
          </w:p>
        </w:tc>
        <w:tc>
          <w:tcPr>
            <w:tcW w:type="dxa" w:w="21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Wallace [18]; Sullivan et al. [3]</w:t>
            </w:r>
          </w:p>
        </w:tc>
      </w:tr>
      <w:tr>
        <w:tc>
          <w:tcPr>
            <w:tcW w:type="dxa" w:w="700"/>
            <w:tcBorders>
              <w:top w:val="single" w:color="BBBBBB" w:sz="1"/>
              <w:left w:val="single" w:color="BBBBBB" w:sz="1"/>
              <w:bottom w:val="single" w:color="BBBBBB" w:sz="1"/>
              <w:right w:val="single" w:color="BBBBBB" w:sz="1"/>
            </w:tcBorders>
            <w:shd w:fill="D6E4F0"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D6E4F0"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Structural</w:t>
            </w:r>
          </w:p>
        </w:tc>
        <w:tc>
          <w:tcPr>
            <w:tcW w:type="dxa" w:w="1200"/>
            <w:tcBorders>
              <w:top w:val="single" w:color="BBBBBB" w:sz="1"/>
              <w:left w:val="single" w:color="BBBBBB" w:sz="1"/>
              <w:bottom w:val="single" w:color="BBBBBB" w:sz="1"/>
              <w:right w:val="single" w:color="BBBBBB" w:sz="1"/>
            </w:tcBorders>
            <w:shd w:fill="D6E4F0"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10² – 10⁴:1</w:t>
            </w:r>
          </w:p>
        </w:tc>
        <w:tc>
          <w:tcPr>
            <w:tcW w:type="dxa" w:w="1900"/>
            <w:tcBorders>
              <w:top w:val="single" w:color="BBBBBB" w:sz="1"/>
              <w:left w:val="single" w:color="BBBBBB" w:sz="1"/>
              <w:bottom w:val="single" w:color="BBBBBB" w:sz="1"/>
              <w:right w:val="single" w:color="BBBBBB" w:sz="1"/>
            </w:tcBorders>
            <w:shd w:fill="D6E4F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Can known domain grammar be exploited?</w:t>
            </w:r>
          </w:p>
        </w:tc>
        <w:tc>
          <w:tcPr>
            <w:tcW w:type="dxa" w:w="1600"/>
            <w:tcBorders>
              <w:top w:val="single" w:color="BBBBBB" w:sz="1"/>
              <w:left w:val="single" w:color="BBBBBB" w:sz="1"/>
              <w:bottom w:val="single" w:color="BBBBBB" w:sz="1"/>
              <w:right w:val="single" w:color="BBBBBB" w:sz="1"/>
            </w:tcBorders>
            <w:shd w:fill="D6E4F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GeCo3, seismic deconvolution</w:t>
            </w:r>
          </w:p>
        </w:tc>
        <w:tc>
          <w:tcPr>
            <w:tcW w:type="dxa" w:w="2160"/>
            <w:tcBorders>
              <w:top w:val="single" w:color="BBBBBB" w:sz="1"/>
              <w:left w:val="single" w:color="BBBBBB" w:sz="1"/>
              <w:bottom w:val="single" w:color="BBBBBB" w:sz="1"/>
              <w:right w:val="single" w:color="BBBBBB" w:sz="1"/>
            </w:tcBorders>
            <w:shd w:fill="D6E4F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Silva et al. [19]; domain-specific</w:t>
            </w:r>
          </w:p>
        </w:tc>
      </w:tr>
      <w:tr>
        <w:tc>
          <w:tcPr>
            <w:tcW w:type="dxa" w:w="7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Sufficient Statistic</w:t>
            </w:r>
          </w:p>
        </w:tc>
        <w:tc>
          <w:tcPr>
            <w:tcW w:type="dxa" w:w="12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10⁵ – 10²³:1</w:t>
            </w:r>
          </w:p>
        </w:tc>
        <w:tc>
          <w:tcPr>
            <w:tcW w:type="dxa" w:w="19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Is the representation complete for the specified inference?</w:t>
            </w:r>
          </w:p>
        </w:tc>
        <w:tc>
          <w:tcPr>
            <w:tcW w:type="dxa" w:w="16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Stat. mechanics; HUF PreParser</w:t>
            </w:r>
          </w:p>
        </w:tc>
        <w:tc>
          <w:tcPr>
            <w:tcW w:type="dxa" w:w="216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Boltzmann [11]; Fisher [4]; this work</w:t>
            </w:r>
          </w:p>
        </w:tc>
      </w:tr>
    </w:tbl>
    <w:p>
      <w:pPr>
        <w:spacing w:after="100" w:line="276"/>
      </w:pPr>
      <w:r>
        <w:rPr>
          <w:rFonts w:ascii="Times New Roman" w:cs="Times New Roman" w:eastAsia="Times New Roman" w:hAnsi="Times New Roman"/>
          <w:b/>
          <w:bCs/>
          <w:i/>
          <w:iCs/>
          <w:color w:val="333333"/>
          <w:sz w:val="22"/>
          <w:szCs w:val="22"/>
        </w:rPr>
        <w:t xml:space="preserve">Table 2. </w:t>
      </w:r>
      <w:r>
        <w:rPr>
          <w:rFonts w:ascii="Times New Roman" w:cs="Times New Roman" w:eastAsia="Times New Roman" w:hAnsi="Times New Roman"/>
          <w:i/>
          <w:iCs/>
          <w:color w:val="333333"/>
          <w:sz w:val="22"/>
          <w:szCs w:val="22"/>
        </w:rPr>
        <w:t xml:space="preserve">The hierarchy of information reduction. Each level represents a categorical change in what constitutes "information" relative to the reduction objective.</w:t>
      </w:r>
    </w:p>
    <w:p>
      <w:pPr>
        <w:spacing w:after="60"/>
      </w:pPr>
    </w:p>
    <w:p>
      <w:pPr>
        <w:pStyle w:val="Heading2"/>
        <w:spacing w:after="160" w:before="280"/>
      </w:pPr>
      <w:r>
        <w:rPr>
          <w:rFonts w:ascii="Times New Roman" w:cs="Times New Roman" w:eastAsia="Times New Roman" w:hAnsi="Times New Roman"/>
          <w:b/>
          <w:bCs/>
          <w:color w:val="1F3864"/>
          <w:sz w:val="24"/>
          <w:szCs w:val="24"/>
        </w:rPr>
        <w:t xml:space="preserve">4.1  Level 1: Syntactic Compression</w:t>
      </w:r>
    </w:p>
    <w:p>
      <w:pPr>
        <w:spacing w:after="180" w:line="276"/>
      </w:pPr>
      <w:r>
        <w:rPr>
          <w:rFonts w:ascii="Times New Roman" w:cs="Times New Roman" w:eastAsia="Times New Roman" w:hAnsi="Times New Roman"/>
          <w:color w:val="333333"/>
          <w:sz w:val="22"/>
          <w:szCs w:val="22"/>
        </w:rPr>
        <w:t xml:space="preserve">Syntactic compression removes statistical redundancy in symbol sequences without reference to the semantic content of the data. The Shannon source coding theorem [1] establishes the theoretical minimum: no lossless code can achieve an expected length below the source entropy H(X). Practical algorithms — Huffman coding [2], arithmetic coding, the Lempel-Ziv family, and the Burrows-Wheeler transform [17] — approach this bound with varying degrees of efficiency. Typical ratios range from 2 : 1 to 10 : 1 depending on source statistics. The defining characteristic of Level 1 is exact reversibility: the original bit sequence is recoverable without error.</w:t>
      </w:r>
    </w:p>
    <w:p>
      <w:pPr>
        <w:pStyle w:val="Heading2"/>
        <w:spacing w:after="160" w:before="280"/>
      </w:pPr>
      <w:r>
        <w:rPr>
          <w:rFonts w:ascii="Times New Roman" w:cs="Times New Roman" w:eastAsia="Times New Roman" w:hAnsi="Times New Roman"/>
          <w:b/>
          <w:bCs/>
          <w:color w:val="1F3864"/>
          <w:sz w:val="24"/>
          <w:szCs w:val="24"/>
        </w:rPr>
        <w:t xml:space="preserve">4.2  Level 2: Perceptual Compression</w:t>
      </w:r>
    </w:p>
    <w:p>
      <w:pPr>
        <w:spacing w:after="180" w:line="276"/>
      </w:pPr>
      <w:r>
        <w:rPr>
          <w:rFonts w:ascii="Times New Roman" w:cs="Times New Roman" w:eastAsia="Times New Roman" w:hAnsi="Times New Roman"/>
          <w:color w:val="333333"/>
          <w:sz w:val="22"/>
          <w:szCs w:val="22"/>
        </w:rPr>
        <w:t xml:space="preserve">Perceptual compression introduces a model of the observer — typically a human sensory system — and discards information that falls below perceptual thresholds. The JPEG standard [18] exploits the human visual system's reduced sensitivity to high-frequency spatial components via the discrete cosine transform followed by quantization. The H.265/HEVC standard [3] extends this principle to temporal prediction in video sequences, achieving ratios approaching 3,000 : 1. The irreversibility at this level is qualitatively different from Level 1: the discarded information is deemed irrelevant </w:t>
      </w:r>
      <w:r>
        <w:rPr>
          <w:rFonts w:ascii="Times New Roman" w:cs="Times New Roman" w:eastAsia="Times New Roman" w:hAnsi="Times New Roman"/>
          <w:i/>
          <w:iCs/>
          <w:color w:val="333333"/>
          <w:sz w:val="22"/>
          <w:szCs w:val="22"/>
        </w:rPr>
        <w:t xml:space="preserve">to the observer</w:t>
      </w:r>
      <w:r>
        <w:rPr>
          <w:rFonts w:ascii="Times New Roman" w:cs="Times New Roman" w:eastAsia="Times New Roman" w:hAnsi="Times New Roman"/>
          <w:color w:val="333333"/>
          <w:sz w:val="22"/>
          <w:szCs w:val="22"/>
        </w:rPr>
        <w:t xml:space="preserve">, not to the signal. The choice of what to discard is domain-specific (visual, auditory) and observer-dependent.</w:t>
      </w:r>
    </w:p>
    <w:p>
      <w:pPr>
        <w:pStyle w:val="Heading2"/>
        <w:spacing w:after="160" w:before="280"/>
      </w:pPr>
      <w:r>
        <w:rPr>
          <w:rFonts w:ascii="Times New Roman" w:cs="Times New Roman" w:eastAsia="Times New Roman" w:hAnsi="Times New Roman"/>
          <w:b/>
          <w:bCs/>
          <w:color w:val="1F3864"/>
          <w:sz w:val="24"/>
          <w:szCs w:val="24"/>
        </w:rPr>
        <w:t xml:space="preserve">4.3  Level 3: Structural Compression</w:t>
      </w:r>
    </w:p>
    <w:p>
      <w:pPr>
        <w:spacing w:after="180" w:line="276"/>
      </w:pPr>
      <w:r>
        <w:rPr>
          <w:rFonts w:ascii="Times New Roman" w:cs="Times New Roman" w:eastAsia="Times New Roman" w:hAnsi="Times New Roman"/>
          <w:color w:val="333333"/>
          <w:sz w:val="22"/>
          <w:szCs w:val="22"/>
        </w:rPr>
        <w:t xml:space="preserve">Structural compression encodes data against a model of the data-generating process rather than a model of the observer. Genomic compressors such as GeCo3 [19] achieve ratios exceeding 1,000 : 1 by exploiting the repetitive grammar of DNA sequences — a structural property of the biological domain. Seismic deconvolution exploits the wave equation to separate source signatures from subsurface reflections. At this level, the compression algorithm encodes domain-specific knowledge; moving to a new domain requires building a new compressor.</w:t>
      </w:r>
    </w:p>
    <w:p>
      <w:pPr>
        <w:pStyle w:val="Heading2"/>
        <w:spacing w:after="160" w:before="280"/>
      </w:pPr>
      <w:r>
        <w:rPr>
          <w:rFonts w:ascii="Times New Roman" w:cs="Times New Roman" w:eastAsia="Times New Roman" w:hAnsi="Times New Roman"/>
          <w:b/>
          <w:bCs/>
          <w:color w:val="1F3864"/>
          <w:sz w:val="24"/>
          <w:szCs w:val="24"/>
        </w:rPr>
        <w:t xml:space="preserve">4.4  Level 4: Sufficient Statistic Extraction</w:t>
      </w:r>
    </w:p>
    <w:p>
      <w:pPr>
        <w:spacing w:after="180" w:line="276"/>
      </w:pPr>
      <w:r>
        <w:rPr>
          <w:rFonts w:ascii="Times New Roman" w:cs="Times New Roman" w:eastAsia="Times New Roman" w:hAnsi="Times New Roman"/>
          <w:color w:val="333333"/>
          <w:sz w:val="22"/>
          <w:szCs w:val="22"/>
        </w:rPr>
        <w:t xml:space="preserve">At Level 4, the reduction abandons reconstruction entirely. The question is no longer about the signal — it is about a </w:t>
      </w:r>
      <w:r>
        <w:rPr>
          <w:rFonts w:ascii="Times New Roman" w:cs="Times New Roman" w:eastAsia="Times New Roman" w:hAnsi="Times New Roman"/>
          <w:i/>
          <w:iCs/>
          <w:color w:val="333333"/>
          <w:sz w:val="22"/>
          <w:szCs w:val="22"/>
        </w:rPr>
        <w:t xml:space="preserve">parameter</w:t>
      </w:r>
      <w:r>
        <w:rPr>
          <w:rFonts w:ascii="Times New Roman" w:cs="Times New Roman" w:eastAsia="Times New Roman" w:hAnsi="Times New Roman"/>
          <w:color w:val="333333"/>
          <w:sz w:val="22"/>
          <w:szCs w:val="22"/>
        </w:rPr>
        <w:t xml:space="preserve">. The representation is evaluated not by its fidelity to the original data but by its completeness with respect to a specified inference task. Statistical mechanics [11][12][16] is the canonical example: ~10²³ particle coordinates reduce to a handful of thermodynamic variables that are sufficient for equilibrium questions. The HUF PreParser operates at this level, reducing empirical datasets to governance fingerprints that are sufficient for the question of distributional regime drift.</w:t>
      </w:r>
    </w:p>
    <w:p>
      <w:pPr>
        <w:spacing w:after="180" w:line="276"/>
      </w:pPr>
      <w:r>
        <w:rPr>
          <w:rFonts w:ascii="Times New Roman" w:cs="Times New Roman" w:eastAsia="Times New Roman" w:hAnsi="Times New Roman"/>
          <w:color w:val="333333"/>
          <w:sz w:val="22"/>
          <w:szCs w:val="22"/>
        </w:rPr>
        <w:t xml:space="preserve">The boundary between Levels 3 and 4 is not merely quantitative. It is </w:t>
      </w:r>
      <w:r>
        <w:rPr>
          <w:rFonts w:ascii="Times New Roman" w:cs="Times New Roman" w:eastAsia="Times New Roman" w:hAnsi="Times New Roman"/>
          <w:i/>
          <w:iCs/>
          <w:color w:val="333333"/>
          <w:sz w:val="22"/>
          <w:szCs w:val="22"/>
        </w:rPr>
        <w:t xml:space="preserve">epistemological</w:t>
      </w:r>
      <w:r>
        <w:rPr>
          <w:rFonts w:ascii="Times New Roman" w:cs="Times New Roman" w:eastAsia="Times New Roman" w:hAnsi="Times New Roman"/>
          <w:color w:val="333333"/>
          <w:sz w:val="22"/>
          <w:szCs w:val="22"/>
        </w:rPr>
        <w:t xml:space="preserve">: the definition of "information" changes. At Level 3 and below, information is defined relative to the signal (or the observer's perception of it). At Level 4, information is defined relative to the inference task. Data that is informative about the signal but uninformative about the parameter of interest is, in Fisher's precise terminology, </w:t>
      </w:r>
      <w:r>
        <w:rPr>
          <w:rFonts w:ascii="Times New Roman" w:cs="Times New Roman" w:eastAsia="Times New Roman" w:hAnsi="Times New Roman"/>
          <w:i/>
          <w:iCs/>
          <w:color w:val="333333"/>
          <w:sz w:val="22"/>
          <w:szCs w:val="22"/>
        </w:rPr>
        <w:t xml:space="preserve">ancillary</w:t>
      </w:r>
      <w:r>
        <w:rPr>
          <w:rFonts w:ascii="Times New Roman" w:cs="Times New Roman" w:eastAsia="Times New Roman" w:hAnsi="Times New Roman"/>
          <w:color w:val="333333"/>
          <w:sz w:val="22"/>
          <w:szCs w:val="22"/>
        </w:rPr>
        <w:t xml:space="preserve"> [4] — and ancillary data can be discarded without loss of inferential content.</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5. The HUF PreParser: Method and Measurement</w:t>
      </w:r>
    </w:p>
    <w:p>
      <w:pPr>
        <w:pStyle w:val="Heading2"/>
        <w:spacing w:after="160" w:before="280"/>
      </w:pPr>
      <w:r>
        <w:rPr>
          <w:rFonts w:ascii="Times New Roman" w:cs="Times New Roman" w:eastAsia="Times New Roman" w:hAnsi="Times New Roman"/>
          <w:b/>
          <w:bCs/>
          <w:color w:val="1F3864"/>
          <w:sz w:val="24"/>
          <w:szCs w:val="24"/>
        </w:rPr>
        <w:t xml:space="preserve">5.1  Algorithm</w:t>
      </w:r>
    </w:p>
    <w:p>
      <w:pPr>
        <w:spacing w:after="180" w:line="276"/>
      </w:pPr>
      <w:r>
        <w:rPr>
          <w:rFonts w:ascii="Times New Roman" w:cs="Times New Roman" w:eastAsia="Times New Roman" w:hAnsi="Times New Roman"/>
          <w:color w:val="333333"/>
          <w:sz w:val="22"/>
          <w:szCs w:val="22"/>
        </w:rPr>
        <w:t xml:space="preserve">The PreParser operates in three stages. First, it ingests an arbitrary tabular or structured dataset and identifies the continuous measurement column(s) constituting the analytical layer. Second, it partitions the measurement space into K = 4 regimes using the empirical quartiles of the data, assigning each record to a regime. Third, it computes the governance fingerprint: the regime proportion vector ρ ∈ Δ³, the effective regime count K_eff, and the Monotonic Drift Gauge (MDG). This process is repeated for each analytical layer within the dataset.</w:t>
      </w:r>
    </w:p>
    <w:p>
      <w:pPr>
        <w:spacing w:after="180" w:line="276"/>
      </w:pPr>
      <w:r>
        <w:rPr>
          <w:rFonts w:ascii="Times New Roman" w:cs="Times New Roman" w:eastAsia="Times New Roman" w:hAnsi="Times New Roman"/>
          <w:color w:val="333333"/>
          <w:sz w:val="22"/>
          <w:szCs w:val="22"/>
        </w:rPr>
        <w:t xml:space="preserve">The algorithm requires no domain-specific parameters, no training data, and no distributional assumptions beyond the existence of a continuous measurement. The quartile boundaries are computed from the data itself, making the method fully non-parametric.</w:t>
      </w:r>
    </w:p>
    <w:p>
      <w:pPr>
        <w:pStyle w:val="Heading2"/>
        <w:spacing w:after="160" w:before="280"/>
      </w:pPr>
      <w:r>
        <w:rPr>
          <w:rFonts w:ascii="Times New Roman" w:cs="Times New Roman" w:eastAsia="Times New Roman" w:hAnsi="Times New Roman"/>
          <w:b/>
          <w:bCs/>
          <w:color w:val="1F3864"/>
          <w:sz w:val="24"/>
          <w:szCs w:val="24"/>
        </w:rPr>
        <w:t xml:space="preserve">5.2  Empirical Corpus</w:t>
      </w:r>
    </w:p>
    <w:p>
      <w:pPr>
        <w:spacing w:after="180" w:line="276"/>
      </w:pPr>
      <w:r>
        <w:rPr>
          <w:rFonts w:ascii="Times New Roman" w:cs="Times New Roman" w:eastAsia="Times New Roman" w:hAnsi="Times New Roman"/>
          <w:color w:val="333333"/>
          <w:sz w:val="22"/>
          <w:szCs w:val="22"/>
        </w:rPr>
        <w:t xml:space="preserve">Table 3 summarizes the ten systems processed by the PreParser during the development and validation of HUF v4.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300"/>
        <w:gridCol w:w="1100"/>
        <w:gridCol w:w="1000"/>
        <w:gridCol w:w="2160"/>
      </w:tblGrid>
      <w:tr>
        <w:tc>
          <w:tcPr>
            <w:tcW w:type="dxa" w:w="2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Records</w:t>
            </w:r>
          </w:p>
        </w:tc>
        <w:tc>
          <w:tcPr>
            <w:tcW w:type="dxa" w:w="13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Size</w:t>
            </w:r>
          </w:p>
        </w:tc>
        <w:tc>
          <w:tcPr>
            <w:tcW w:type="dxa" w:w="11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Layers</w:t>
            </w:r>
          </w:p>
        </w:tc>
        <w:tc>
          <w:tcPr>
            <w:tcW w:type="dxa" w:w="1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Format</w:t>
            </w:r>
          </w:p>
        </w:tc>
        <w:tc>
          <w:tcPr>
            <w:tcW w:type="dxa" w:w="21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Domain</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Planck HFI Sky Maps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150,994,944</w:t>
            </w:r>
          </w:p>
        </w:tc>
        <w:tc>
          <w:tcPr>
            <w:tcW w:type="dxa" w:w="13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5.7 GB</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9</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FITS</w:t>
            </w:r>
          </w:p>
        </w:tc>
        <w:tc>
          <w:tcPr>
            <w:tcW w:type="dxa" w:w="21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Satellite astrophysics</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Planck Telemetry</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1,554</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0.2 MB</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CSV</w:t>
            </w:r>
          </w:p>
        </w:tc>
        <w:tc>
          <w:tcPr>
            <w:tcW w:type="dxa" w:w="21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Mission operations</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TTC Streetcar (King St)</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342,759</w:t>
            </w:r>
          </w:p>
        </w:tc>
        <w:tc>
          <w:tcPr>
            <w:tcW w:type="dxa" w:w="13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29 MB</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XLSX</w:t>
            </w:r>
          </w:p>
        </w:tc>
        <w:tc>
          <w:tcPr>
            <w:tcW w:type="dxa" w:w="21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Urban transit</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TTC Headways</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~90,000</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7 MB</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XLSX</w:t>
            </w:r>
          </w:p>
        </w:tc>
        <w:tc>
          <w:tcPr>
            <w:tcW w:type="dxa" w:w="21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Service reliability</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Toronto Bridge Conditions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3,762</w:t>
            </w:r>
          </w:p>
        </w:tc>
        <w:tc>
          <w:tcPr>
            <w:tcW w:type="dxa" w:w="13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1.2 MB</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CSV</w:t>
            </w:r>
          </w:p>
        </w:tc>
        <w:tc>
          <w:tcPr>
            <w:tcW w:type="dxa" w:w="21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Infrastructure</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Toronto Road Classification</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5,274</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0.8 MB</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CSV</w:t>
            </w:r>
          </w:p>
        </w:tc>
        <w:tc>
          <w:tcPr>
            <w:tcW w:type="dxa" w:w="21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Infrastructure</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Traffic Volumes (ATR)</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4,875,271</w:t>
            </w:r>
          </w:p>
        </w:tc>
        <w:tc>
          <w:tcPr>
            <w:tcW w:type="dxa" w:w="13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680 MB</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CSV</w:t>
            </w:r>
          </w:p>
        </w:tc>
        <w:tc>
          <w:tcPr>
            <w:tcW w:type="dxa" w:w="21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Traffic monitoring</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Signalized Intersections</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2,743</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0.4 MB</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CSV</w:t>
            </w:r>
          </w:p>
        </w:tc>
        <w:tc>
          <w:tcPr>
            <w:tcW w:type="dxa" w:w="21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Traffic control</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KSI Collisions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~18,000</w:t>
            </w:r>
          </w:p>
        </w:tc>
        <w:tc>
          <w:tcPr>
            <w:tcW w:type="dxa" w:w="13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3.5 MB</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CSV</w:t>
            </w:r>
          </w:p>
        </w:tc>
        <w:tc>
          <w:tcPr>
            <w:tcW w:type="dxa" w:w="21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Road safety</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Red Light Cameras</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~32,000</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1.8 MB</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CSV</w:t>
            </w:r>
          </w:p>
        </w:tc>
        <w:tc>
          <w:tcPr>
            <w:tcW w:type="dxa" w:w="21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Enforcement</w:t>
            </w:r>
          </w:p>
        </w:tc>
      </w:tr>
    </w:tbl>
    <w:p>
      <w:pPr>
        <w:spacing w:after="100" w:line="276"/>
      </w:pPr>
      <w:r>
        <w:rPr>
          <w:rFonts w:ascii="Times New Roman" w:cs="Times New Roman" w:eastAsia="Times New Roman" w:hAnsi="Times New Roman"/>
          <w:b/>
          <w:bCs/>
          <w:i/>
          <w:iCs/>
          <w:color w:val="333333"/>
          <w:sz w:val="22"/>
          <w:szCs w:val="22"/>
        </w:rPr>
        <w:t xml:space="preserve">Table 3. </w:t>
      </w:r>
      <w:r>
        <w:rPr>
          <w:rFonts w:ascii="Times New Roman" w:cs="Times New Roman" w:eastAsia="Times New Roman" w:hAnsi="Times New Roman"/>
          <w:i/>
          <w:iCs/>
          <w:color w:val="333333"/>
          <w:sz w:val="22"/>
          <w:szCs w:val="22"/>
        </w:rPr>
        <w:t xml:space="preserve">Empirical corpus: ten systems processed by the HUF PreParser.</w:t>
      </w:r>
    </w:p>
    <w:p>
      <w:pPr>
        <w:pStyle w:val="Heading2"/>
        <w:spacing w:after="160" w:before="280"/>
      </w:pPr>
      <w:r>
        <w:rPr>
          <w:rFonts w:ascii="Times New Roman" w:cs="Times New Roman" w:eastAsia="Times New Roman" w:hAnsi="Times New Roman"/>
          <w:b/>
          <w:bCs/>
          <w:color w:val="1F3864"/>
          <w:sz w:val="24"/>
          <w:szCs w:val="24"/>
        </w:rPr>
        <w:t xml:space="preserve">5.3  The Measured Ratio</w:t>
      </w:r>
    </w:p>
    <w:p>
      <w:pPr>
        <w:spacing w:after="180" w:line="276"/>
      </w:pPr>
      <w:r>
        <w:rPr>
          <w:rFonts w:ascii="Times New Roman" w:cs="Times New Roman" w:eastAsia="Times New Roman" w:hAnsi="Times New Roman"/>
          <w:color w:val="333333"/>
          <w:sz w:val="22"/>
          <w:szCs w:val="22"/>
        </w:rPr>
        <w:t xml:space="preserve">Table 4 presents the reduction computation.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Metric</w:t>
            </w:r>
          </w:p>
        </w:tc>
        <w:tc>
          <w:tcPr>
            <w:tcW w:type="dxa" w:w="308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Value</w:t>
            </w:r>
          </w:p>
        </w:tc>
        <w:tc>
          <w:tcPr>
            <w:tcW w:type="dxa" w:w="308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Derivation</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Total input records</w:t>
            </w:r>
          </w:p>
        </w:tc>
        <w:tc>
          <w:tcPr>
            <w:tcW w:type="dxa" w:w="308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156,326,693</w:t>
            </w:r>
          </w:p>
        </w:tc>
        <w:tc>
          <w:tcPr>
            <w:tcW w:type="dxa" w:w="308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Sum across 10 systems</w:t>
            </w:r>
          </w:p>
        </w:tc>
      </w:tr>
      <w:tr>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Raw input size</w:t>
            </w:r>
          </w:p>
        </w:tc>
        <w:tc>
          <w:tcPr>
            <w:tcW w:type="dxa" w:w="308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6.41 GB</w:t>
            </w:r>
          </w:p>
        </w:tc>
        <w:tc>
          <w:tcPr>
            <w:tcW w:type="dxa" w:w="308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CSV + XLSX + FITS binary</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Analytical layers</w:t>
            </w:r>
          </w:p>
        </w:tc>
        <w:tc>
          <w:tcPr>
            <w:tcW w:type="dxa" w:w="308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21</w:t>
            </w:r>
          </w:p>
        </w:tc>
        <w:tc>
          <w:tcPr>
            <w:tcW w:type="dxa" w:w="308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Multiple layers per system</w:t>
            </w:r>
          </w:p>
        </w:tc>
      </w:tr>
      <w:tr>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Output values per layer</w:t>
            </w:r>
          </w:p>
        </w:tc>
        <w:tc>
          <w:tcPr>
            <w:tcW w:type="dxa" w:w="308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6 (ρ₁, ρ₂, ρ₃, ρ₄, K_eff, MDG)</w:t>
            </w:r>
          </w:p>
        </w:tc>
        <w:tc>
          <w:tcPr>
            <w:tcW w:type="dxa" w:w="308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Governance fingerprint</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Total output values</w:t>
            </w:r>
          </w:p>
        </w:tc>
        <w:tc>
          <w:tcPr>
            <w:tcW w:type="dxa" w:w="308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126</w:t>
            </w:r>
          </w:p>
        </w:tc>
        <w:tc>
          <w:tcPr>
            <w:tcW w:type="dxa" w:w="308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21 layers × 6 values</w:t>
            </w:r>
          </w:p>
        </w:tc>
      </w:tr>
      <w:tr>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Output size</w:t>
            </w:r>
          </w:p>
        </w:tc>
        <w:tc>
          <w:tcPr>
            <w:tcW w:type="dxa" w:w="308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1,008 bytes</w:t>
            </w:r>
          </w:p>
        </w:tc>
        <w:tc>
          <w:tcPr>
            <w:tcW w:type="dxa" w:w="308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126 × 8 bytes (float64)</w:t>
            </w:r>
          </w:p>
        </w:tc>
      </w:tr>
      <w:tr>
        <w:tc>
          <w:tcPr>
            <w:tcW w:type="dxa" w:w="32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Byte reduction ratio</w:t>
            </w:r>
          </w:p>
        </w:tc>
        <w:tc>
          <w:tcPr>
            <w:tcW w:type="dxa" w:w="308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6,357,738 : 1</w:t>
            </w:r>
          </w:p>
        </w:tc>
        <w:tc>
          <w:tcPr>
            <w:tcW w:type="dxa" w:w="308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6.41 × 10⁹ ÷ 1,008</w:t>
            </w:r>
          </w:p>
        </w:tc>
      </w:tr>
    </w:tbl>
    <w:p>
      <w:pPr>
        <w:spacing w:after="100" w:line="276"/>
      </w:pPr>
      <w:r>
        <w:rPr>
          <w:rFonts w:ascii="Times New Roman" w:cs="Times New Roman" w:eastAsia="Times New Roman" w:hAnsi="Times New Roman"/>
          <w:b/>
          <w:bCs/>
          <w:i/>
          <w:iCs/>
          <w:color w:val="333333"/>
          <w:sz w:val="22"/>
          <w:szCs w:val="22"/>
        </w:rPr>
        <w:t xml:space="preserve">Table 4. </w:t>
      </w:r>
      <w:r>
        <w:rPr>
          <w:rFonts w:ascii="Times New Roman" w:cs="Times New Roman" w:eastAsia="Times New Roman" w:hAnsi="Times New Roman"/>
          <w:i/>
          <w:iCs/>
          <w:color w:val="333333"/>
          <w:sz w:val="22"/>
          <w:szCs w:val="22"/>
        </w:rPr>
        <w:t xml:space="preserve">Reduction computation. The ratio is a direct measurement, not an estimate or extrapolation.</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6. Comparative Landscape: The Sufficiency Frontier</w:t>
      </w:r>
    </w:p>
    <w:p>
      <w:pPr>
        <w:spacing w:after="180" w:line="276"/>
      </w:pPr>
      <w:r>
        <w:rPr>
          <w:rFonts w:ascii="Times New Roman" w:cs="Times New Roman" w:eastAsia="Times New Roman" w:hAnsi="Times New Roman"/>
          <w:color w:val="333333"/>
          <w:sz w:val="22"/>
          <w:szCs w:val="22"/>
        </w:rPr>
        <w:t xml:space="preserve">Table 5 places the HUF PreParser within the full landscape of information reduction systems, ordered by level and ratio. The table is intended to be descriptive rather than competitive; systems at different levels answer different questions, and comparing their ratios directly would be a category error.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1100"/>
        <w:gridCol w:w="1100"/>
        <w:gridCol w:w="3360"/>
      </w:tblGrid>
      <w:tr>
        <w:tc>
          <w:tcPr>
            <w:tcW w:type="dxa" w:w="2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System</w:t>
            </w:r>
          </w:p>
        </w:tc>
        <w:tc>
          <w:tcPr>
            <w:tcW w:type="dxa" w:w="11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Ratio</w:t>
            </w:r>
          </w:p>
        </w:tc>
        <w:tc>
          <w:tcPr>
            <w:tcW w:type="dxa" w:w="7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Level</w:t>
            </w:r>
          </w:p>
        </w:tc>
        <w:tc>
          <w:tcPr>
            <w:tcW w:type="dxa" w:w="11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Reconstructs?</w:t>
            </w:r>
          </w:p>
        </w:tc>
        <w:tc>
          <w:tcPr>
            <w:tcW w:type="dxa" w:w="11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Domain</w:t>
            </w:r>
          </w:p>
        </w:tc>
        <w:tc>
          <w:tcPr>
            <w:tcW w:type="dxa" w:w="33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Foundational Reference</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gzip / zstd</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3 : 1</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Exact</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Any</w:t>
            </w:r>
          </w:p>
        </w:tc>
        <w:tc>
          <w:tcPr>
            <w:tcW w:type="dxa" w:w="33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Ziv &amp; Lempel (1977); Collet (2016)</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bzip2</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6 : 1</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Exact</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Any</w:t>
            </w:r>
          </w:p>
        </w:tc>
        <w:tc>
          <w:tcPr>
            <w:tcW w:type="dxa" w:w="3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Burrows &amp; Wheeler [17]</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FLAC</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3 : 1</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Exact</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Audio</w:t>
            </w:r>
          </w:p>
        </w:tc>
        <w:tc>
          <w:tcPr>
            <w:tcW w:type="dxa" w:w="33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Coalson (2001)</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JPEG</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20 : 1</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Approximate</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Visual</w:t>
            </w:r>
          </w:p>
        </w:tc>
        <w:tc>
          <w:tcPr>
            <w:tcW w:type="dxa" w:w="3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Wallace [18]</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MP3 / AAC</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12 : 1</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Approximate</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Audio</w:t>
            </w:r>
          </w:p>
        </w:tc>
        <w:tc>
          <w:tcPr>
            <w:tcW w:type="dxa" w:w="33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ISO/IEC 11172-3 (1993)</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H.265 / HEVC</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3,000 : 1</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Approximate</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Video</w:t>
            </w:r>
          </w:p>
        </w:tc>
        <w:tc>
          <w:tcPr>
            <w:tcW w:type="dxa" w:w="3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Sullivan et al. [3]</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GeCo3</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1,200 : 1</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3</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Exact</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Genomic</w:t>
            </w:r>
          </w:p>
        </w:tc>
        <w:tc>
          <w:tcPr>
            <w:tcW w:type="dxa" w:w="33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Silva et al. [19]</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Seismic deconv.</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~5,000 : 1</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3</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Approximate</w:t>
            </w:r>
          </w:p>
        </w:tc>
        <w:tc>
          <w:tcPr>
            <w:tcW w:type="dxa" w:w="1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Geophysics</w:t>
            </w:r>
          </w:p>
        </w:tc>
        <w:tc>
          <w:tcPr>
            <w:tcW w:type="dxa" w:w="3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Domain-specific wave models</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Stat. mechanics</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~10²³ : 1</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4</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No</w:t>
            </w:r>
          </w:p>
        </w:tc>
        <w:tc>
          <w:tcPr>
            <w:tcW w:type="dxa" w:w="11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Equilibrium</w:t>
            </w:r>
          </w:p>
        </w:tc>
        <w:tc>
          <w:tcPr>
            <w:tcW w:type="dxa" w:w="33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Boltzmann [11]; Gibbs [12]; Jaynes [16]</w:t>
            </w:r>
          </w:p>
        </w:tc>
      </w:tr>
      <w:tr>
        <w:tc>
          <w:tcPr>
            <w:tcW w:type="dxa" w:w="20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HUF PreParser</w:t>
            </w:r>
          </w:p>
        </w:tc>
        <w:tc>
          <w:tcPr>
            <w:tcW w:type="dxa" w:w="11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6,357,738 : 1</w:t>
            </w:r>
          </w:p>
        </w:tc>
        <w:tc>
          <w:tcPr>
            <w:tcW w:type="dxa" w:w="7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4</w:t>
            </w:r>
          </w:p>
        </w:tc>
        <w:tc>
          <w:tcPr>
            <w:tcW w:type="dxa" w:w="11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No</w:t>
            </w:r>
          </w:p>
        </w:tc>
        <w:tc>
          <w:tcPr>
            <w:tcW w:type="dxa" w:w="11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Any</w:t>
            </w:r>
          </w:p>
        </w:tc>
        <w:tc>
          <w:tcPr>
            <w:tcW w:type="dxa" w:w="336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7"/>
                <w:szCs w:val="17"/>
              </w:rPr>
              <w:t xml:space="preserve">This work</w:t>
            </w:r>
          </w:p>
        </w:tc>
      </w:tr>
    </w:tbl>
    <w:p>
      <w:pPr>
        <w:spacing w:after="100" w:line="276"/>
      </w:pPr>
      <w:r>
        <w:rPr>
          <w:rFonts w:ascii="Times New Roman" w:cs="Times New Roman" w:eastAsia="Times New Roman" w:hAnsi="Times New Roman"/>
          <w:b/>
          <w:bCs/>
          <w:i/>
          <w:iCs/>
          <w:color w:val="333333"/>
          <w:sz w:val="22"/>
          <w:szCs w:val="22"/>
        </w:rPr>
        <w:t xml:space="preserve">Table 5. </w:t>
      </w:r>
      <w:r>
        <w:rPr>
          <w:rFonts w:ascii="Times New Roman" w:cs="Times New Roman" w:eastAsia="Times New Roman" w:hAnsi="Times New Roman"/>
          <w:i/>
          <w:iCs/>
          <w:color w:val="333333"/>
          <w:sz w:val="22"/>
          <w:szCs w:val="22"/>
        </w:rPr>
        <w:t xml:space="preserve">Comparative landscape of information reduction systems. Systems at different levels answer categorically different questions; ratio comparisons across levels are not meaningful.</w:t>
      </w:r>
    </w:p>
    <w:p>
      <w:pPr>
        <w:spacing w:after="60"/>
      </w:pPr>
    </w:p>
    <w:p>
      <w:pPr>
        <w:spacing w:after="180" w:line="276"/>
      </w:pPr>
      <w:r>
        <w:rPr>
          <w:rFonts w:ascii="Times New Roman" w:cs="Times New Roman" w:eastAsia="Times New Roman" w:hAnsi="Times New Roman"/>
          <w:color w:val="333333"/>
          <w:sz w:val="22"/>
          <w:szCs w:val="22"/>
        </w:rPr>
        <w:t xml:space="preserve">Two observations merit attention. First, the transition from Level 3 to Level 4 involves a qualitative change in what is being measured: below Level 4, reduction ratios are bounded by the information content of the signal; at Level 4, they are bounded by the dimensionality of the inference question, which may be arbitrarily smaller. Second, statistical mechanics and the HUF PreParser are, to our knowledge, the only two systems that operate at Level 4 — and they differ in a significant respect. Statistical mechanics requires the Hamiltonian and is restricted to equilibrium thermodynamics. The HUF PreParser requires no domain model and has been applied, without modification, across ten systems drawn from astrophysics, urban transit, civil infrastructure, traffic engineering, and road safety.</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7. External Validation</w:t>
      </w:r>
    </w:p>
    <w:p>
      <w:pPr>
        <w:spacing w:after="180" w:line="276"/>
      </w:pPr>
      <w:r>
        <w:rPr>
          <w:rFonts w:ascii="Times New Roman" w:cs="Times New Roman" w:eastAsia="Times New Roman" w:hAnsi="Times New Roman"/>
          <w:color w:val="333333"/>
          <w:sz w:val="22"/>
          <w:szCs w:val="22"/>
        </w:rPr>
        <w:t xml:space="preserve">A sufficient statistic that agrees only with itself provides no evidence of correctness. The critical test is whether the extracted governance fingerprint converges on conclusions that domain experts reached independently through different methods and different data. We report two such validations.</w:t>
      </w:r>
    </w:p>
    <w:p>
      <w:pPr>
        <w:pStyle w:val="Heading2"/>
        <w:spacing w:after="160" w:before="280"/>
      </w:pPr>
      <w:r>
        <w:rPr>
          <w:rFonts w:ascii="Times New Roman" w:cs="Times New Roman" w:eastAsia="Times New Roman" w:hAnsi="Times New Roman"/>
          <w:b/>
          <w:bCs/>
          <w:color w:val="1F3864"/>
          <w:sz w:val="24"/>
          <w:szCs w:val="24"/>
        </w:rPr>
        <w:t xml:space="preserve">7.1  ESA Planck: Changepoint Detection</w:t>
      </w:r>
    </w:p>
    <w:p>
      <w:pPr>
        <w:spacing w:after="180" w:line="276"/>
      </w:pPr>
      <w:r>
        <w:rPr>
          <w:rFonts w:ascii="Times New Roman" w:cs="Times New Roman" w:eastAsia="Times New Roman" w:hAnsi="Times New Roman"/>
          <w:color w:val="333333"/>
          <w:sz w:val="22"/>
          <w:szCs w:val="22"/>
        </w:rPr>
        <w:t xml:space="preserve">The Pettitt non-parametric changepoint test [13], applied to the time series of HUF regime proportions across Planck operational days, identified a structural break at Operational Day (OD) 975 with p &lt; 0.001. Converting from the mission epoch (launch: 14 May 2009), OD 975 corresponds to 14 January 2012.</w:t>
      </w:r>
    </w:p>
    <w:p>
      <w:pPr>
        <w:spacing w:after="180" w:line="276"/>
      </w:pPr>
      <w:r>
        <w:rPr>
          <w:rFonts w:ascii="Times New Roman" w:cs="Times New Roman" w:eastAsia="Times New Roman" w:hAnsi="Times New Roman"/>
          <w:color w:val="333333"/>
          <w:sz w:val="22"/>
          <w:szCs w:val="22"/>
        </w:rPr>
        <w:t xml:space="preserve">This date matches the publicly documented exhaustion of Planck's helium-4 (⁴He) sorption cooler, as reported in the ESA mission operations record [20]. The HUF analysis was performed on sky-map pixel statistics with no access to engineering telemetry, cryogenic models, or the ESA evaluation. The PreParser identified a mission-critical hardware transition from distributional regime shifts alone.</w:t>
      </w:r>
    </w:p>
    <w:p>
      <w:pPr>
        <w:pStyle w:val="Heading2"/>
        <w:spacing w:after="160" w:before="280"/>
      </w:pPr>
      <w:r>
        <w:rPr>
          <w:rFonts w:ascii="Times New Roman" w:cs="Times New Roman" w:eastAsia="Times New Roman" w:hAnsi="Times New Roman"/>
          <w:b/>
          <w:bCs/>
          <w:color w:val="1F3864"/>
          <w:sz w:val="24"/>
          <w:szCs w:val="24"/>
        </w:rPr>
        <w:t xml:space="preserve">7.2  City of Toronto King Street Pilot</w:t>
      </w:r>
    </w:p>
    <w:p>
      <w:pPr>
        <w:spacing w:after="180" w:line="276"/>
      </w:pPr>
      <w:r>
        <w:rPr>
          <w:rFonts w:ascii="Times New Roman" w:cs="Times New Roman" w:eastAsia="Times New Roman" w:hAnsi="Times New Roman"/>
          <w:color w:val="333333"/>
          <w:sz w:val="22"/>
          <w:szCs w:val="22"/>
        </w:rPr>
        <w:t xml:space="preserve">The City of Toronto's 2019 evaluation of the King Street Transit Priority Corridor [21] reported directional improvements in travel time, reliability, and ridership following the November 2017 policy intervention. The HUF interrupted time series analysis [14], performed on disaggregate Bluetooth travel-time data (342,759 records) with no access to the City's analysis, produced:</w:t>
      </w:r>
    </w:p>
    <w:p>
      <w:pPr>
        <w:spacing w:after="80" w:line="276"/>
        <w:ind w:left="720"/>
      </w:pPr>
      <w:r>
        <w:rPr>
          <w:rFonts w:ascii="Times New Roman" w:cs="Times New Roman" w:eastAsia="Times New Roman" w:hAnsi="Times New Roman"/>
          <w:color w:val="333333"/>
          <w:sz w:val="22"/>
          <w:szCs w:val="22"/>
        </w:rPr>
        <w:t xml:space="preserve"> •  Level shift: −3.30 minutes (t = −9.47, p &lt; 0.001)</w:t>
      </w:r>
    </w:p>
    <w:p>
      <w:pPr>
        <w:spacing w:after="80" w:line="276"/>
        <w:ind w:left="720"/>
      </w:pPr>
      <w:r>
        <w:rPr>
          <w:rFonts w:ascii="Times New Roman" w:cs="Times New Roman" w:eastAsia="Times New Roman" w:hAnsi="Times New Roman"/>
          <w:color w:val="333333"/>
          <w:sz w:val="22"/>
          <w:szCs w:val="22"/>
        </w:rPr>
        <w:t xml:space="preserve"> •  Bootstrap 95% CI: [−1.72, −1.67] minutes (1,000 resamples)</w:t>
      </w:r>
    </w:p>
    <w:p>
      <w:pPr>
        <w:spacing w:after="80" w:line="276"/>
        <w:ind w:left="720"/>
      </w:pPr>
      <w:r>
        <w:rPr>
          <w:rFonts w:ascii="Times New Roman" w:cs="Times New Roman" w:eastAsia="Times New Roman" w:hAnsi="Times New Roman"/>
          <w:color w:val="333333"/>
          <w:sz w:val="22"/>
          <w:szCs w:val="22"/>
        </w:rPr>
        <w:t xml:space="preserve"> •  Cohen's d [15]: −0.454 (medium effect)</w:t>
      </w:r>
    </w:p>
    <w:p>
      <w:pPr>
        <w:spacing w:after="80" w:line="276"/>
        <w:ind w:left="720"/>
      </w:pPr>
      <w:r>
        <w:rPr>
          <w:rFonts w:ascii="Times New Roman" w:cs="Times New Roman" w:eastAsia="Times New Roman" w:hAnsi="Times New Roman"/>
          <w:color w:val="333333"/>
          <w:sz w:val="22"/>
          <w:szCs w:val="22"/>
        </w:rPr>
        <w:t xml:space="preserve"> •  Regime transition: Congested (34.6%) → Fast (34.0%) dominant</w:t>
      </w:r>
    </w:p>
    <w:p>
      <w:pPr>
        <w:spacing w:after="140" w:line="276"/>
        <w:ind w:left="720"/>
      </w:pPr>
      <w:r>
        <w:rPr>
          <w:rFonts w:ascii="Times New Roman" w:cs="Times New Roman" w:eastAsia="Times New Roman" w:hAnsi="Times New Roman"/>
          <w:color w:val="333333"/>
          <w:sz w:val="22"/>
          <w:szCs w:val="22"/>
        </w:rPr>
        <w:t xml:space="preserve"> •  Directional agreement with City benchmarks: 5 of 5</w:t>
      </w:r>
    </w:p>
    <w:p>
      <w:pPr>
        <w:pStyle w:val="Heading2"/>
        <w:spacing w:after="160" w:before="280"/>
      </w:pPr>
      <w:r>
        <w:rPr>
          <w:rFonts w:ascii="Times New Roman" w:cs="Times New Roman" w:eastAsia="Times New Roman" w:hAnsi="Times New Roman"/>
          <w:b/>
          <w:bCs/>
          <w:color w:val="1F3864"/>
          <w:sz w:val="24"/>
          <w:szCs w:val="24"/>
        </w:rPr>
        <w:t xml:space="preserve">7.3  Interpretation: The Fixed Point</w:t>
      </w:r>
    </w:p>
    <w:p>
      <w:pPr>
        <w:spacing w:after="180" w:line="276"/>
      </w:pPr>
      <w:r>
        <w:rPr>
          <w:rFonts w:ascii="Times New Roman" w:cs="Times New Roman" w:eastAsia="Times New Roman" w:hAnsi="Times New Roman"/>
          <w:color w:val="333333"/>
          <w:sz w:val="22"/>
          <w:szCs w:val="22"/>
        </w:rPr>
        <w:t xml:space="preserve">When a domain-agnostic method and a domain-specific method independently converge on the same empirical conclusion, the result constitutes what we term a </w:t>
      </w:r>
      <w:r>
        <w:rPr>
          <w:rFonts w:ascii="Times New Roman" w:cs="Times New Roman" w:eastAsia="Times New Roman" w:hAnsi="Times New Roman"/>
          <w:i/>
          <w:iCs/>
          <w:color w:val="333333"/>
          <w:sz w:val="22"/>
          <w:szCs w:val="22"/>
        </w:rPr>
        <w:t xml:space="preserve">fixed point</w:t>
      </w:r>
      <w:r>
        <w:rPr>
          <w:rFonts w:ascii="Times New Roman" w:cs="Times New Roman" w:eastAsia="Times New Roman" w:hAnsi="Times New Roman"/>
          <w:color w:val="333333"/>
          <w:sz w:val="22"/>
          <w:szCs w:val="22"/>
        </w:rPr>
        <w:t xml:space="preserve">: in the notation of dynamical systems, f(x) = x. The governance fingerprint, derived from 1,008 bytes with no domain knowledge, recovered the same conclusion that ESA's cryogenic engineering team and the City of Toronto's transportation analysts reached through years of domain-specific investigation. This convergence provides evidence — though not proof — that the extracted sufficient statistic captures genuine structure in the data rather than an artifact of the reduction method.</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8. Discussion</w:t>
      </w:r>
    </w:p>
    <w:p>
      <w:pPr>
        <w:pStyle w:val="Heading2"/>
        <w:spacing w:after="160" w:before="280"/>
      </w:pPr>
      <w:r>
        <w:rPr>
          <w:rFonts w:ascii="Times New Roman" w:cs="Times New Roman" w:eastAsia="Times New Roman" w:hAnsi="Times New Roman"/>
          <w:b/>
          <w:bCs/>
          <w:color w:val="1F3864"/>
          <w:sz w:val="24"/>
          <w:szCs w:val="24"/>
        </w:rPr>
        <w:t xml:space="preserve">8.1  Governance Drift as a Universal Observable</w:t>
      </w:r>
    </w:p>
    <w:p>
      <w:pPr>
        <w:spacing w:after="180" w:line="276"/>
      </w:pPr>
      <w:r>
        <w:rPr>
          <w:rFonts w:ascii="Times New Roman" w:cs="Times New Roman" w:eastAsia="Times New Roman" w:hAnsi="Times New Roman"/>
          <w:color w:val="333333"/>
          <w:sz w:val="22"/>
          <w:szCs w:val="22"/>
        </w:rPr>
        <w:t xml:space="preserve">The results across ten systems are consistent with the hypothesis that governance drift — operationalized as movement of the regime proportion vector on the probability simplex — constitutes a universal observable: a macroscopic quantity that emerges from distributional structure regardless of the microscopic constituents generating the data. The analogy to temperature is suggestive. Temperature is not a property of any individual molecule; it is a property of the ensemble. Similarly, the governance fingerprint is not a property of any individual transit trip or sky pixel; it is a property of the distributional regime structure of the system.</w:t>
      </w:r>
    </w:p>
    <w:p>
      <w:pPr>
        <w:spacing w:after="180" w:line="276"/>
      </w:pPr>
      <w:r>
        <w:rPr>
          <w:rFonts w:ascii="Times New Roman" w:cs="Times New Roman" w:eastAsia="Times New Roman" w:hAnsi="Times New Roman"/>
          <w:color w:val="333333"/>
          <w:sz w:val="22"/>
          <w:szCs w:val="22"/>
        </w:rPr>
        <w:t xml:space="preserve">Whether this analogy extends to a formal equivalence — whether there exists a variational principle for governance drift analogous to the maximum entropy principle for thermodynamic equilibria — is an open question that the present work does not attempt to resolve.</w:t>
      </w:r>
    </w:p>
    <w:p>
      <w:pPr>
        <w:pStyle w:val="Heading2"/>
        <w:spacing w:after="160" w:before="280"/>
      </w:pPr>
      <w:r>
        <w:rPr>
          <w:rFonts w:ascii="Times New Roman" w:cs="Times New Roman" w:eastAsia="Times New Roman" w:hAnsi="Times New Roman"/>
          <w:b/>
          <w:bCs/>
          <w:color w:val="1F3864"/>
          <w:sz w:val="24"/>
          <w:szCs w:val="24"/>
        </w:rPr>
        <w:t xml:space="preserve">8.2  The 51/49 Boundary</w:t>
      </w:r>
    </w:p>
    <w:p>
      <w:pPr>
        <w:spacing w:after="180" w:line="276"/>
      </w:pPr>
      <w:r>
        <w:rPr>
          <w:rFonts w:ascii="Times New Roman" w:cs="Times New Roman" w:eastAsia="Times New Roman" w:hAnsi="Times New Roman"/>
          <w:color w:val="333333"/>
          <w:sz w:val="22"/>
          <w:szCs w:val="22"/>
        </w:rPr>
        <w:t xml:space="preserve">The OCC 51/49 threshold appears as a structurally significant feature across the systems analysed. In the Planck data, it marks the transition between cryo-nominal and cryo-degraded mission phases. In the King Street data, it marks the policy intervention. In the Toronto infrastructure data, it distinguishes maintained from deteriorating asset classes. The recurrence of this threshold across unrelated domains is consistent with it being a geometric property of the probability simplex — specifically, the boundary of the dominant-regime cone — rather than a domain-specific coincidence. Further theoretical work is needed to determine whether this boundary has a formal characterization in terms of information geometry or optimal transport on the simplex.</w:t>
      </w:r>
    </w:p>
    <w:p>
      <w:pPr>
        <w:pStyle w:val="Heading2"/>
        <w:spacing w:after="160" w:before="280"/>
      </w:pPr>
      <w:r>
        <w:rPr>
          <w:rFonts w:ascii="Times New Roman" w:cs="Times New Roman" w:eastAsia="Times New Roman" w:hAnsi="Times New Roman"/>
          <w:b/>
          <w:bCs/>
          <w:color w:val="1F3864"/>
          <w:sz w:val="24"/>
          <w:szCs w:val="24"/>
        </w:rPr>
        <w:t xml:space="preserve">8.3  Limitations</w:t>
      </w:r>
    </w:p>
    <w:p>
      <w:pPr>
        <w:spacing w:after="180" w:line="276"/>
      </w:pPr>
      <w:r>
        <w:rPr>
          <w:rFonts w:ascii="Times New Roman" w:cs="Times New Roman" w:eastAsia="Times New Roman" w:hAnsi="Times New Roman"/>
          <w:color w:val="333333"/>
          <w:sz w:val="22"/>
          <w:szCs w:val="22"/>
        </w:rPr>
        <w:t xml:space="preserve">Several limitations should be noted. First, the quartile-based regime partition, while non-parametric and universal, is not necessarily optimal for all domains; systems with non-unimodal distributions or natural category boundaries may benefit from domain-informed partitioning. Second, the sufficiency claim is conditioned on the governance drift question; the extracted fingerprint is not sufficient for other questions one might ask of the same data (e.g., forecasting individual trip times). Third, the empirical corpus, while diverse, is concentrated in Canadian municipal and European space agency systems; broader geographic and sectoral validation would strengthen the generalizability claim. Fourth, the K = 4 regime count, while well-suited to quartile analysis, has not been systematically compared against alternative values of K.</w:t>
      </w:r>
    </w:p>
    <w:p>
      <w:pPr>
        <w:pStyle w:val="Heading2"/>
        <w:spacing w:after="160" w:before="280"/>
      </w:pPr>
      <w:r>
        <w:rPr>
          <w:rFonts w:ascii="Times New Roman" w:cs="Times New Roman" w:eastAsia="Times New Roman" w:hAnsi="Times New Roman"/>
          <w:b/>
          <w:bCs/>
          <w:color w:val="1F3864"/>
          <w:sz w:val="24"/>
          <w:szCs w:val="24"/>
        </w:rPr>
        <w:t xml:space="preserve">8.4  Relationship to Existing Work</w:t>
      </w:r>
    </w:p>
    <w:p>
      <w:pPr>
        <w:spacing w:after="180" w:line="276"/>
      </w:pPr>
      <w:r>
        <w:rPr>
          <w:rFonts w:ascii="Times New Roman" w:cs="Times New Roman" w:eastAsia="Times New Roman" w:hAnsi="Times New Roman"/>
          <w:color w:val="333333"/>
          <w:sz w:val="22"/>
          <w:szCs w:val="22"/>
        </w:rPr>
        <w:t xml:space="preserve">The HUF PreParser is not a compression algorithm and does not compete with existing compression systems on their own terms. The Hutter Prize (based on Kolmogorov complexity [22]), the Canterbury Corpus, and the Silesia benchmark evaluate reconstruction fidelity — a property the PreParser does not claim. Similarly, machine learning dimensionality reduction methods (PCA, autoencoders, t-SNE) optimize for variance preservation or embedding fidelity, not inferential sufficiency for a specified parameter.</w:t>
      </w:r>
    </w:p>
    <w:p>
      <w:pPr>
        <w:spacing w:after="180" w:line="276"/>
      </w:pPr>
      <w:r>
        <w:rPr>
          <w:rFonts w:ascii="Times New Roman" w:cs="Times New Roman" w:eastAsia="Times New Roman" w:hAnsi="Times New Roman"/>
          <w:color w:val="333333"/>
          <w:sz w:val="22"/>
          <w:szCs w:val="22"/>
        </w:rPr>
        <w:t xml:space="preserve">The closest intellectual relatives are the information-theoretic approach to statistical mechanics developed by Jaynes [16] and the theory of minimal sufficient statistics formalized by Halmos and Savage [10]. The contribution of the present work is the demonstration that sufficient statistic extraction can be performed </w:t>
      </w:r>
      <w:r>
        <w:rPr>
          <w:rFonts w:ascii="Times New Roman" w:cs="Times New Roman" w:eastAsia="Times New Roman" w:hAnsi="Times New Roman"/>
          <w:i/>
          <w:iCs/>
          <w:color w:val="333333"/>
          <w:sz w:val="22"/>
          <w:szCs w:val="22"/>
        </w:rPr>
        <w:t xml:space="preserve">domain-agnostically</w:t>
      </w:r>
      <w:r>
        <w:rPr>
          <w:rFonts w:ascii="Times New Roman" w:cs="Times New Roman" w:eastAsia="Times New Roman" w:hAnsi="Times New Roman"/>
          <w:color w:val="333333"/>
          <w:sz w:val="22"/>
          <w:szCs w:val="22"/>
        </w:rPr>
        <w:t xml:space="preserve"> at scale, with empirical validation against institutional benchmarks — a combination that, to our knowledge, has not been previously reported.</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9. Conclusion</w:t>
      </w:r>
    </w:p>
    <w:p>
      <w:pPr>
        <w:spacing w:after="180" w:line="276"/>
      </w:pPr>
      <w:r>
        <w:rPr>
          <w:rFonts w:ascii="Times New Roman" w:cs="Times New Roman" w:eastAsia="Times New Roman" w:hAnsi="Times New Roman"/>
          <w:color w:val="333333"/>
          <w:sz w:val="22"/>
          <w:szCs w:val="22"/>
        </w:rPr>
        <w:t xml:space="preserve">This paper has proposed a four-level hierarchy of information reduction and introduced the concept of the sufficiency frontier: the boundary at which the reduction question shifts from signal reconstruction to inferential completeness. We have described a system — the HUF PreParser — that operates at Level 4 of this hierarchy, achieving a measured reduction ratio of 6,357,738 : 1 across ten empirical systems without domain-specific models, training data, or parameter tuning.</w:t>
      </w:r>
    </w:p>
    <w:p>
      <w:pPr>
        <w:spacing w:after="180" w:line="276"/>
      </w:pPr>
      <w:r>
        <w:rPr>
          <w:rFonts w:ascii="Times New Roman" w:cs="Times New Roman" w:eastAsia="Times New Roman" w:hAnsi="Times New Roman"/>
          <w:color w:val="333333"/>
          <w:sz w:val="22"/>
          <w:szCs w:val="22"/>
        </w:rPr>
        <w:t xml:space="preserve">The ratio itself, while striking, is less significant than what it implies: that for the governance drift question, the overwhelming majority of data in these systems is ancillary. The sufficient statistic lives on a four-dimensional probability simplex, and the projection from record-level data to that simplex discards nothing the governance question requires. External validation against ESA and City of Toronto benchmarks — including exact date correspondence for a mission-critical hardware event — provides evidence that the extracted fingerprint captures genuine structure.</w:t>
      </w:r>
    </w:p>
    <w:p>
      <w:pPr>
        <w:spacing w:after="180" w:line="276"/>
      </w:pPr>
      <w:r>
        <w:rPr>
          <w:rFonts w:ascii="Times New Roman" w:cs="Times New Roman" w:eastAsia="Times New Roman" w:hAnsi="Times New Roman"/>
          <w:color w:val="333333"/>
          <w:sz w:val="22"/>
          <w:szCs w:val="22"/>
        </w:rPr>
        <w:t xml:space="preserve">The sufficiency frontier is, by construction, a function of the question being asked. Different questions will yield different frontiers and different reduction ratios. What the present work demonstrates is that for at least one important class of questions — distributional governance drift — the frontier lies far beyond what reconstruction-oriented methods can reach, and that it can be accessed without domain expertise. Whether other questions admit similarly dramatic reductions is an open and, we believe, productive direction for future investigation.</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00" w:line="276"/>
        <w:ind w:left="480" w:hanging="480"/>
      </w:pPr>
      <w:r>
        <w:rPr>
          <w:rFonts w:ascii="Times New Roman" w:cs="Times New Roman" w:eastAsia="Times New Roman" w:hAnsi="Times New Roman"/>
          <w:b/>
          <w:bCs/>
          <w:color w:val="333333"/>
          <w:sz w:val="22"/>
          <w:szCs w:val="22"/>
        </w:rPr>
        <w:t xml:space="preserve">[1]  </w:t>
      </w:r>
      <w:r>
        <w:rPr>
          <w:rFonts w:ascii="Times New Roman" w:cs="Times New Roman" w:eastAsia="Times New Roman" w:hAnsi="Times New Roman"/>
          <w:color w:val="333333"/>
          <w:sz w:val="22"/>
          <w:szCs w:val="22"/>
        </w:rPr>
        <w:t xml:space="preserve">Shannon, C. E. (1948). "A Mathematical Theory of Communication." Bell System Technical Journal, 27(3–4), 379–423, 623–656.</w:t>
      </w:r>
    </w:p>
    <w:p>
      <w:pPr>
        <w:spacing w:after="100" w:line="276"/>
        <w:ind w:left="480" w:hanging="480"/>
      </w:pPr>
      <w:r>
        <w:rPr>
          <w:rFonts w:ascii="Times New Roman" w:cs="Times New Roman" w:eastAsia="Times New Roman" w:hAnsi="Times New Roman"/>
          <w:b/>
          <w:bCs/>
          <w:color w:val="333333"/>
          <w:sz w:val="22"/>
          <w:szCs w:val="22"/>
        </w:rPr>
        <w:t xml:space="preserve">[2]  </w:t>
      </w:r>
      <w:r>
        <w:rPr>
          <w:rFonts w:ascii="Times New Roman" w:cs="Times New Roman" w:eastAsia="Times New Roman" w:hAnsi="Times New Roman"/>
          <w:color w:val="333333"/>
          <w:sz w:val="22"/>
          <w:szCs w:val="22"/>
        </w:rPr>
        <w:t xml:space="preserve">Huffman, D. A. (1952). "A Method for the Construction of Minimum-Redundancy Codes." Proceedings of the IRE, 40(9), 1098–1101.</w:t>
      </w:r>
    </w:p>
    <w:p>
      <w:pPr>
        <w:spacing w:after="100" w:line="276"/>
        <w:ind w:left="480" w:hanging="480"/>
      </w:pPr>
      <w:r>
        <w:rPr>
          <w:rFonts w:ascii="Times New Roman" w:cs="Times New Roman" w:eastAsia="Times New Roman" w:hAnsi="Times New Roman"/>
          <w:b/>
          <w:bCs/>
          <w:color w:val="333333"/>
          <w:sz w:val="22"/>
          <w:szCs w:val="22"/>
        </w:rPr>
        <w:t xml:space="preserve">[3]  </w:t>
      </w:r>
      <w:r>
        <w:rPr>
          <w:rFonts w:ascii="Times New Roman" w:cs="Times New Roman" w:eastAsia="Times New Roman" w:hAnsi="Times New Roman"/>
          <w:color w:val="333333"/>
          <w:sz w:val="22"/>
          <w:szCs w:val="22"/>
        </w:rPr>
        <w:t xml:space="preserve">Sullivan, G. J., Ohm, J.-R., Han, W.-J., and Wiegand, T. (2012). "Overview of the High Efficiency Video Coding (HEVC) Standard." IEEE Transactions on Circuits and Systems for Video Technology, 22(12), 1649–1668. doi:10.1109/TCSVT.2012.2221191.</w:t>
      </w:r>
    </w:p>
    <w:p>
      <w:pPr>
        <w:spacing w:after="100" w:line="276"/>
        <w:ind w:left="480" w:hanging="480"/>
      </w:pPr>
      <w:r>
        <w:rPr>
          <w:rFonts w:ascii="Times New Roman" w:cs="Times New Roman" w:eastAsia="Times New Roman" w:hAnsi="Times New Roman"/>
          <w:b/>
          <w:bCs/>
          <w:color w:val="333333"/>
          <w:sz w:val="22"/>
          <w:szCs w:val="22"/>
        </w:rPr>
        <w:t xml:space="preserve">[4]  </w:t>
      </w:r>
      <w:r>
        <w:rPr>
          <w:rFonts w:ascii="Times New Roman" w:cs="Times New Roman" w:eastAsia="Times New Roman" w:hAnsi="Times New Roman"/>
          <w:color w:val="333333"/>
          <w:sz w:val="22"/>
          <w:szCs w:val="22"/>
        </w:rPr>
        <w:t xml:space="preserve">Fisher, R. A. (1922). "On the Mathematical Foundations of Theoretical Statistics." Philosophical Transactions of the Royal Society A, 222(594–604), 309–368. doi:10.1098/rsta.1922.0009.</w:t>
      </w:r>
    </w:p>
    <w:p>
      <w:pPr>
        <w:spacing w:after="100" w:line="276"/>
        <w:ind w:left="480" w:hanging="480"/>
      </w:pPr>
      <w:r>
        <w:rPr>
          <w:rFonts w:ascii="Times New Roman" w:cs="Times New Roman" w:eastAsia="Times New Roman" w:hAnsi="Times New Roman"/>
          <w:b/>
          <w:bCs/>
          <w:color w:val="333333"/>
          <w:sz w:val="22"/>
          <w:szCs w:val="22"/>
        </w:rPr>
        <w:t xml:space="preserve">[5]  </w:t>
      </w:r>
      <w:r>
        <w:rPr>
          <w:rFonts w:ascii="Times New Roman" w:cs="Times New Roman" w:eastAsia="Times New Roman" w:hAnsi="Times New Roman"/>
          <w:color w:val="333333"/>
          <w:sz w:val="22"/>
          <w:szCs w:val="22"/>
        </w:rPr>
        <w:t xml:space="preserve">Rao, C. R. (1945). "Information and Accuracy Attainable in the Estimation of Statistical Parameters." Bulletin of the Calcutta Mathematical Society, 37, 81–91.</w:t>
      </w:r>
    </w:p>
    <w:p>
      <w:pPr>
        <w:spacing w:after="100" w:line="276"/>
        <w:ind w:left="480" w:hanging="480"/>
      </w:pPr>
      <w:r>
        <w:rPr>
          <w:rFonts w:ascii="Times New Roman" w:cs="Times New Roman" w:eastAsia="Times New Roman" w:hAnsi="Times New Roman"/>
          <w:b/>
          <w:bCs/>
          <w:color w:val="333333"/>
          <w:sz w:val="22"/>
          <w:szCs w:val="22"/>
        </w:rPr>
        <w:t xml:space="preserve">[6]  </w:t>
      </w:r>
      <w:r>
        <w:rPr>
          <w:rFonts w:ascii="Times New Roman" w:cs="Times New Roman" w:eastAsia="Times New Roman" w:hAnsi="Times New Roman"/>
          <w:color w:val="333333"/>
          <w:sz w:val="22"/>
          <w:szCs w:val="22"/>
        </w:rPr>
        <w:t xml:space="preserve">Blackwell, D. (1947). "Conditional Expectation and Unbiased Sequential Estimation." Annals of Mathematical Statistics, 18(1), 105–110.</w:t>
      </w:r>
    </w:p>
    <w:p>
      <w:pPr>
        <w:spacing w:after="100" w:line="276"/>
        <w:ind w:left="480" w:hanging="480"/>
      </w:pPr>
      <w:r>
        <w:rPr>
          <w:rFonts w:ascii="Times New Roman" w:cs="Times New Roman" w:eastAsia="Times New Roman" w:hAnsi="Times New Roman"/>
          <w:b/>
          <w:bCs/>
          <w:color w:val="333333"/>
          <w:sz w:val="22"/>
          <w:szCs w:val="22"/>
        </w:rPr>
        <w:t xml:space="preserve">[7]  </w:t>
      </w:r>
      <w:r>
        <w:rPr>
          <w:rFonts w:ascii="Times New Roman" w:cs="Times New Roman" w:eastAsia="Times New Roman" w:hAnsi="Times New Roman"/>
          <w:color w:val="333333"/>
          <w:sz w:val="22"/>
          <w:szCs w:val="22"/>
        </w:rPr>
        <w:t xml:space="preserve">Pitman, E. J. G. (1936). "Sufficient Statistics and Intrinsic Accuracy." Mathematical Proceedings of the Cambridge Philosophical Society, 32(4), 567–579.</w:t>
      </w:r>
    </w:p>
    <w:p>
      <w:pPr>
        <w:spacing w:after="100" w:line="276"/>
        <w:ind w:left="480" w:hanging="480"/>
      </w:pPr>
      <w:r>
        <w:rPr>
          <w:rFonts w:ascii="Times New Roman" w:cs="Times New Roman" w:eastAsia="Times New Roman" w:hAnsi="Times New Roman"/>
          <w:b/>
          <w:bCs/>
          <w:color w:val="333333"/>
          <w:sz w:val="22"/>
          <w:szCs w:val="22"/>
        </w:rPr>
        <w:t xml:space="preserve">[8]  </w:t>
      </w:r>
      <w:r>
        <w:rPr>
          <w:rFonts w:ascii="Times New Roman" w:cs="Times New Roman" w:eastAsia="Times New Roman" w:hAnsi="Times New Roman"/>
          <w:color w:val="333333"/>
          <w:sz w:val="22"/>
          <w:szCs w:val="22"/>
        </w:rPr>
        <w:t xml:space="preserve">Koopman, B. O. (1936). "On Distribution Admitting a Sufficient Statistic." Transactions of the American Mathematical Society, 39(3), 399–409.</w:t>
      </w:r>
    </w:p>
    <w:p>
      <w:pPr>
        <w:spacing w:after="100" w:line="276"/>
        <w:ind w:left="480" w:hanging="480"/>
      </w:pPr>
      <w:r>
        <w:rPr>
          <w:rFonts w:ascii="Times New Roman" w:cs="Times New Roman" w:eastAsia="Times New Roman" w:hAnsi="Times New Roman"/>
          <w:b/>
          <w:bCs/>
          <w:color w:val="333333"/>
          <w:sz w:val="22"/>
          <w:szCs w:val="22"/>
        </w:rPr>
        <w:t xml:space="preserve">[9]  </w:t>
      </w:r>
      <w:r>
        <w:rPr>
          <w:rFonts w:ascii="Times New Roman" w:cs="Times New Roman" w:eastAsia="Times New Roman" w:hAnsi="Times New Roman"/>
          <w:color w:val="333333"/>
          <w:sz w:val="22"/>
          <w:szCs w:val="22"/>
        </w:rPr>
        <w:t xml:space="preserve">Darmois, G. (1935). "Sur les Lois de Probabilité à Estimation Exhaustive." Comptes Rendus de l’Académie des Sciences, 200, 1265–1266.</w:t>
      </w:r>
    </w:p>
    <w:p>
      <w:pPr>
        <w:spacing w:after="100" w:line="276"/>
        <w:ind w:left="480" w:hanging="480"/>
      </w:pPr>
      <w:r>
        <w:rPr>
          <w:rFonts w:ascii="Times New Roman" w:cs="Times New Roman" w:eastAsia="Times New Roman" w:hAnsi="Times New Roman"/>
          <w:b/>
          <w:bCs/>
          <w:color w:val="333333"/>
          <w:sz w:val="22"/>
          <w:szCs w:val="22"/>
        </w:rPr>
        <w:t xml:space="preserve">[10]  </w:t>
      </w:r>
      <w:r>
        <w:rPr>
          <w:rFonts w:ascii="Times New Roman" w:cs="Times New Roman" w:eastAsia="Times New Roman" w:hAnsi="Times New Roman"/>
          <w:color w:val="333333"/>
          <w:sz w:val="22"/>
          <w:szCs w:val="22"/>
        </w:rPr>
        <w:t xml:space="preserve">Halmos, P. R. and Savage, L. J. (1949). "Application of the Radon-Nikodym Theorem to the Theory of Sufficient Statistics." Annals of Mathematical Statistics, 20(2), 225–241. doi:10.1214/aoms/1177730032.</w:t>
      </w:r>
    </w:p>
    <w:p>
      <w:pPr>
        <w:spacing w:after="100" w:line="276"/>
        <w:ind w:left="480" w:hanging="480"/>
      </w:pPr>
      <w:r>
        <w:rPr>
          <w:rFonts w:ascii="Times New Roman" w:cs="Times New Roman" w:eastAsia="Times New Roman" w:hAnsi="Times New Roman"/>
          <w:b/>
          <w:bCs/>
          <w:color w:val="333333"/>
          <w:sz w:val="22"/>
          <w:szCs w:val="22"/>
        </w:rPr>
        <w:t xml:space="preserve">[11]  </w:t>
      </w:r>
      <w:r>
        <w:rPr>
          <w:rFonts w:ascii="Times New Roman" w:cs="Times New Roman" w:eastAsia="Times New Roman" w:hAnsi="Times New Roman"/>
          <w:color w:val="333333"/>
          <w:sz w:val="22"/>
          <w:szCs w:val="22"/>
        </w:rPr>
        <w:t xml:space="preserve">Boltzmann, L. (1877). "Über die Beziehung zwischen dem zweiten Hauptsatz der mechanischen Wärmetheorie und der Wahrscheinlichkeitsrechnung." Sitzungsberichte der Kaiserlichen Akademie der Wissenschaften, 76, 373–435.</w:t>
      </w:r>
    </w:p>
    <w:p>
      <w:pPr>
        <w:spacing w:after="100" w:line="276"/>
        <w:ind w:left="480" w:hanging="480"/>
      </w:pPr>
      <w:r>
        <w:rPr>
          <w:rFonts w:ascii="Times New Roman" w:cs="Times New Roman" w:eastAsia="Times New Roman" w:hAnsi="Times New Roman"/>
          <w:b/>
          <w:bCs/>
          <w:color w:val="333333"/>
          <w:sz w:val="22"/>
          <w:szCs w:val="22"/>
        </w:rPr>
        <w:t xml:space="preserve">[12]  </w:t>
      </w:r>
      <w:r>
        <w:rPr>
          <w:rFonts w:ascii="Times New Roman" w:cs="Times New Roman" w:eastAsia="Times New Roman" w:hAnsi="Times New Roman"/>
          <w:color w:val="333333"/>
          <w:sz w:val="22"/>
          <w:szCs w:val="22"/>
        </w:rPr>
        <w:t xml:space="preserve">Gibbs, J. W. (1902). Elementary Principles in Statistical Mechanics. New Haven: Yale University Press.</w:t>
      </w:r>
    </w:p>
    <w:p>
      <w:pPr>
        <w:spacing w:after="100" w:line="276"/>
        <w:ind w:left="480" w:hanging="480"/>
      </w:pPr>
      <w:r>
        <w:rPr>
          <w:rFonts w:ascii="Times New Roman" w:cs="Times New Roman" w:eastAsia="Times New Roman" w:hAnsi="Times New Roman"/>
          <w:b/>
          <w:bCs/>
          <w:color w:val="333333"/>
          <w:sz w:val="22"/>
          <w:szCs w:val="22"/>
        </w:rPr>
        <w:t xml:space="preserve">[13]  </w:t>
      </w:r>
      <w:r>
        <w:rPr>
          <w:rFonts w:ascii="Times New Roman" w:cs="Times New Roman" w:eastAsia="Times New Roman" w:hAnsi="Times New Roman"/>
          <w:color w:val="333333"/>
          <w:sz w:val="22"/>
          <w:szCs w:val="22"/>
        </w:rPr>
        <w:t xml:space="preserve">Pettitt, A. N. (1979). "A Non-Parametric Approach to the Change-Point Problem." Journal of the Royal Statistical Society: Series C, 28(2), 126–135. doi:10.2307/2346729.</w:t>
      </w:r>
    </w:p>
    <w:p>
      <w:pPr>
        <w:spacing w:after="100" w:line="276"/>
        <w:ind w:left="480" w:hanging="480"/>
      </w:pPr>
      <w:r>
        <w:rPr>
          <w:rFonts w:ascii="Times New Roman" w:cs="Times New Roman" w:eastAsia="Times New Roman" w:hAnsi="Times New Roman"/>
          <w:b/>
          <w:bCs/>
          <w:color w:val="333333"/>
          <w:sz w:val="22"/>
          <w:szCs w:val="22"/>
        </w:rPr>
        <w:t xml:space="preserve">[14]  </w:t>
      </w:r>
      <w:r>
        <w:rPr>
          <w:rFonts w:ascii="Times New Roman" w:cs="Times New Roman" w:eastAsia="Times New Roman" w:hAnsi="Times New Roman"/>
          <w:color w:val="333333"/>
          <w:sz w:val="22"/>
          <w:szCs w:val="22"/>
        </w:rPr>
        <w:t xml:space="preserve">Wagner, A. K., Soumerai, S. B., Zhang, F., and Ross-Degnan, D. (2002). "Segmented Regression Analysis of Interrupted Time Series Studies in Medication Use Research." Journal of Clinical Pharmacy and Therapeutics, 27(4), 299–309. doi:10.1046/j.1365-2710.2002.00430.x.</w:t>
      </w:r>
    </w:p>
    <w:p>
      <w:pPr>
        <w:spacing w:after="100" w:line="276"/>
        <w:ind w:left="480" w:hanging="480"/>
      </w:pPr>
      <w:r>
        <w:rPr>
          <w:rFonts w:ascii="Times New Roman" w:cs="Times New Roman" w:eastAsia="Times New Roman" w:hAnsi="Times New Roman"/>
          <w:b/>
          <w:bCs/>
          <w:color w:val="333333"/>
          <w:sz w:val="22"/>
          <w:szCs w:val="22"/>
        </w:rPr>
        <w:t xml:space="preserve">[15]  </w:t>
      </w:r>
      <w:r>
        <w:rPr>
          <w:rFonts w:ascii="Times New Roman" w:cs="Times New Roman" w:eastAsia="Times New Roman" w:hAnsi="Times New Roman"/>
          <w:color w:val="333333"/>
          <w:sz w:val="22"/>
          <w:szCs w:val="22"/>
        </w:rPr>
        <w:t xml:space="preserve">Cohen, J. (1988). Statistical Power Analysis for the Behavioral Sciences (2nd ed.). Hillsdale, NJ: Lawrence Erlbaum Associates.</w:t>
      </w:r>
    </w:p>
    <w:p>
      <w:pPr>
        <w:spacing w:after="100" w:line="276"/>
        <w:ind w:left="480" w:hanging="480"/>
      </w:pPr>
      <w:r>
        <w:rPr>
          <w:rFonts w:ascii="Times New Roman" w:cs="Times New Roman" w:eastAsia="Times New Roman" w:hAnsi="Times New Roman"/>
          <w:b/>
          <w:bCs/>
          <w:color w:val="333333"/>
          <w:sz w:val="22"/>
          <w:szCs w:val="22"/>
        </w:rPr>
        <w:t xml:space="preserve">[16]  </w:t>
      </w:r>
      <w:r>
        <w:rPr>
          <w:rFonts w:ascii="Times New Roman" w:cs="Times New Roman" w:eastAsia="Times New Roman" w:hAnsi="Times New Roman"/>
          <w:color w:val="333333"/>
          <w:sz w:val="22"/>
          <w:szCs w:val="22"/>
        </w:rPr>
        <w:t xml:space="preserve">Jaynes, E. T. (1957). "Information Theory and Statistical Mechanics." Physical Review, 106(4), 620–630. doi:10.1103/PhysRev.106.620.</w:t>
      </w:r>
    </w:p>
    <w:p>
      <w:pPr>
        <w:spacing w:after="100" w:line="276"/>
        <w:ind w:left="480" w:hanging="480"/>
      </w:pPr>
      <w:r>
        <w:rPr>
          <w:rFonts w:ascii="Times New Roman" w:cs="Times New Roman" w:eastAsia="Times New Roman" w:hAnsi="Times New Roman"/>
          <w:b/>
          <w:bCs/>
          <w:color w:val="333333"/>
          <w:sz w:val="22"/>
          <w:szCs w:val="22"/>
        </w:rPr>
        <w:t xml:space="preserve">[17]  </w:t>
      </w:r>
      <w:r>
        <w:rPr>
          <w:rFonts w:ascii="Times New Roman" w:cs="Times New Roman" w:eastAsia="Times New Roman" w:hAnsi="Times New Roman"/>
          <w:color w:val="333333"/>
          <w:sz w:val="22"/>
          <w:szCs w:val="22"/>
        </w:rPr>
        <w:t xml:space="preserve">Burrows, M. and Wheeler, D. J. (1994). "A Block Sorting Lossless Data Compression Algorithm." Technical Report 124, Digital Equipment Corporation.</w:t>
      </w:r>
    </w:p>
    <w:p>
      <w:pPr>
        <w:spacing w:after="100" w:line="276"/>
        <w:ind w:left="480" w:hanging="480"/>
      </w:pPr>
      <w:r>
        <w:rPr>
          <w:rFonts w:ascii="Times New Roman" w:cs="Times New Roman" w:eastAsia="Times New Roman" w:hAnsi="Times New Roman"/>
          <w:b/>
          <w:bCs/>
          <w:color w:val="333333"/>
          <w:sz w:val="22"/>
          <w:szCs w:val="22"/>
        </w:rPr>
        <w:t xml:space="preserve">[18]  </w:t>
      </w:r>
      <w:r>
        <w:rPr>
          <w:rFonts w:ascii="Times New Roman" w:cs="Times New Roman" w:eastAsia="Times New Roman" w:hAnsi="Times New Roman"/>
          <w:color w:val="333333"/>
          <w:sz w:val="22"/>
          <w:szCs w:val="22"/>
        </w:rPr>
        <w:t xml:space="preserve">Wallace, G. K. (1991). "The JPEG Still Picture Compression Standard." Communications of the ACM, 34(4), 30–44. doi:10.1145/103085.103089.</w:t>
      </w:r>
    </w:p>
    <w:p>
      <w:pPr>
        <w:spacing w:after="100" w:line="276"/>
        <w:ind w:left="480" w:hanging="480"/>
      </w:pPr>
      <w:r>
        <w:rPr>
          <w:rFonts w:ascii="Times New Roman" w:cs="Times New Roman" w:eastAsia="Times New Roman" w:hAnsi="Times New Roman"/>
          <w:b/>
          <w:bCs/>
          <w:color w:val="333333"/>
          <w:sz w:val="22"/>
          <w:szCs w:val="22"/>
        </w:rPr>
        <w:t xml:space="preserve">[19]  </w:t>
      </w:r>
      <w:r>
        <w:rPr>
          <w:rFonts w:ascii="Times New Roman" w:cs="Times New Roman" w:eastAsia="Times New Roman" w:hAnsi="Times New Roman"/>
          <w:color w:val="333333"/>
          <w:sz w:val="22"/>
          <w:szCs w:val="22"/>
        </w:rPr>
        <w:t xml:space="preserve">Silva, M., Pratas, D., and Pinho, A. J. (2020). "Efficient DNA Sequence Compression with Neural Networks." GigaScience, 9(11), giaa119. doi:10.1093/gigascience/giaa119.</w:t>
      </w:r>
    </w:p>
    <w:p>
      <w:pPr>
        <w:spacing w:after="100" w:line="276"/>
        <w:ind w:left="480" w:hanging="480"/>
      </w:pPr>
      <w:r>
        <w:rPr>
          <w:rFonts w:ascii="Times New Roman" w:cs="Times New Roman" w:eastAsia="Times New Roman" w:hAnsi="Times New Roman"/>
          <w:b/>
          <w:bCs/>
          <w:color w:val="333333"/>
          <w:sz w:val="22"/>
          <w:szCs w:val="22"/>
        </w:rPr>
        <w:t xml:space="preserve">[20]  </w:t>
      </w:r>
      <w:r>
        <w:rPr>
          <w:rFonts w:ascii="Times New Roman" w:cs="Times New Roman" w:eastAsia="Times New Roman" w:hAnsi="Times New Roman"/>
          <w:color w:val="333333"/>
          <w:sz w:val="22"/>
          <w:szCs w:val="22"/>
        </w:rPr>
        <w:t xml:space="preserve">Planck Collaboration (2014). "Planck 2013 Results. I. Overview of Products and Scientific Results." Astronomy &amp; Astrophysics, 571, A1. doi:10.1051/0004-6361/201321529.</w:t>
      </w:r>
    </w:p>
    <w:p>
      <w:pPr>
        <w:spacing w:after="100" w:line="276"/>
        <w:ind w:left="480" w:hanging="480"/>
      </w:pPr>
      <w:r>
        <w:rPr>
          <w:rFonts w:ascii="Times New Roman" w:cs="Times New Roman" w:eastAsia="Times New Roman" w:hAnsi="Times New Roman"/>
          <w:b/>
          <w:bCs/>
          <w:color w:val="333333"/>
          <w:sz w:val="22"/>
          <w:szCs w:val="22"/>
        </w:rPr>
        <w:t xml:space="preserve">[21]  </w:t>
      </w:r>
      <w:r>
        <w:rPr>
          <w:rFonts w:ascii="Times New Roman" w:cs="Times New Roman" w:eastAsia="Times New Roman" w:hAnsi="Times New Roman"/>
          <w:color w:val="333333"/>
          <w:sz w:val="22"/>
          <w:szCs w:val="22"/>
        </w:rPr>
        <w:t xml:space="preserve">City of Toronto Transportation Services (2019). "King Street Transit Priority Corridor — Evaluation Report." Report for Action to City Council, April 2, 2019.</w:t>
      </w:r>
    </w:p>
    <w:p>
      <w:pPr>
        <w:spacing w:after="100" w:line="276"/>
        <w:ind w:left="480" w:hanging="480"/>
      </w:pPr>
      <w:r>
        <w:rPr>
          <w:rFonts w:ascii="Times New Roman" w:cs="Times New Roman" w:eastAsia="Times New Roman" w:hAnsi="Times New Roman"/>
          <w:b/>
          <w:bCs/>
          <w:color w:val="333333"/>
          <w:sz w:val="22"/>
          <w:szCs w:val="22"/>
        </w:rPr>
        <w:t xml:space="preserve">[22]  </w:t>
      </w:r>
      <w:r>
        <w:rPr>
          <w:rFonts w:ascii="Times New Roman" w:cs="Times New Roman" w:eastAsia="Times New Roman" w:hAnsi="Times New Roman"/>
          <w:color w:val="333333"/>
          <w:sz w:val="22"/>
          <w:szCs w:val="22"/>
        </w:rPr>
        <w:t xml:space="preserve">Kolmogorov, A. N. (1965). "Three Approaches to the Definition of the Amount of Information." Problems of Information Transmission, 1(1), 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Times New Roman" w:cs="Times New Roman" w:eastAsia="Times New Roman" w:hAnsi="Times New Roman"/>
        <w:i/>
        <w:iCs/>
        <w:color w:val="999999"/>
        <w:sz w:val="16"/>
        <w:szCs w:val="16"/>
      </w:rPr>
      <w:t xml:space="preserve">Higgins  |  The Sufficiency Frontier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2026-03-09T05:42:32.136Z</dcterms:created>
  <dcterms:modified xsi:type="dcterms:W3CDTF">2026-03-09T05:42:32.136Z</dcterms:modified>
</cp:coreProperties>
</file>

<file path=docProps/custom.xml><?xml version="1.0" encoding="utf-8"?>
<Properties xmlns="http://schemas.openxmlformats.org/officeDocument/2006/custom-properties" xmlns:vt="http://schemas.openxmlformats.org/officeDocument/2006/docPropsVTypes"/>
</file>