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44"/>
          <w:szCs w:val="44"/>
        </w:rPr>
        <w:t xml:space="preserve">THE SUFFICIENCY FRONTIER</w:t>
      </w:r>
    </w:p>
    <w:p>
      <w:pPr>
        <w:spacing w:after="100"/>
        <w:jc w:val="center"/>
      </w:pPr>
      <w:r>
        <w:rPr>
          <w:rFonts w:ascii="Times New Roman" w:cs="Times New Roman" w:eastAsia="Times New Roman" w:hAnsi="Times New Roman"/>
          <w:color w:val="2E75B6"/>
          <w:sz w:val="28"/>
          <w:szCs w:val="28"/>
        </w:rPr>
        <w:t xml:space="preserve">Domain-Agnostic Sufficient Statistic Extraction</w:t>
      </w:r>
    </w:p>
    <w:p>
      <w:pPr>
        <w:spacing w:after="100"/>
        <w:jc w:val="center"/>
      </w:pPr>
      <w:r>
        <w:rPr>
          <w:rFonts w:ascii="Times New Roman" w:cs="Times New Roman" w:eastAsia="Times New Roman" w:hAnsi="Times New Roman"/>
          <w:color w:val="2E75B6"/>
          <w:sz w:val="28"/>
          <w:szCs w:val="28"/>
        </w:rPr>
        <w:t xml:space="preserve">at 6,357,738:1</w:t>
      </w:r>
    </w:p>
    <w:p>
      <w:pPr>
        <w:spacing w:before="400"/>
      </w:pPr>
    </w:p>
    <w:p>
      <w:pPr>
        <w:spacing w:after="80"/>
        <w:jc w:val="center"/>
      </w:pPr>
      <w:r>
        <w:rPr>
          <w:rFonts w:ascii="Times New Roman" w:cs="Times New Roman" w:eastAsia="Times New Roman" w:hAnsi="Times New Roman"/>
          <w:i/>
          <w:iCs/>
          <w:color w:val="333333"/>
          <w:sz w:val="24"/>
          <w:szCs w:val="24"/>
        </w:rPr>
        <w:t xml:space="preserve">Pillar 1 of the HUF Triad · Version 3.1</w:t>
      </w:r>
    </w:p>
    <w:p>
      <w:pPr>
        <w:spacing w:after="80"/>
        <w:jc w:val="center"/>
      </w:pPr>
      <w:r>
        <w:rPr>
          <w:rFonts w:ascii="Times New Roman" w:cs="Times New Roman" w:eastAsia="Times New Roman" w:hAnsi="Times New Roman"/>
          <w:color w:val="333333"/>
          <w:sz w:val="22"/>
          <w:szCs w:val="22"/>
        </w:rPr>
        <w:t xml:space="preserve">March 2026</w:t>
      </w:r>
    </w:p>
    <w:p>
      <w:pPr>
        <w:spacing w:before="600"/>
      </w:pPr>
    </w:p>
    <w:p>
      <w:pPr>
        <w:spacing w:after="60"/>
        <w:jc w:val="center"/>
      </w:pPr>
      <w:r>
        <w:rPr>
          <w:rFonts w:ascii="Times New Roman" w:cs="Times New Roman" w:eastAsia="Times New Roman" w:hAnsi="Times New Roman"/>
          <w:b/>
          <w:bCs/>
          <w:color w:val="333333"/>
          <w:sz w:val="22"/>
          <w:szCs w:val="22"/>
        </w:rPr>
        <w:t xml:space="preserve">Peter Higgins</w:t>
      </w:r>
    </w:p>
    <w:p>
      <w:pPr>
        <w:spacing w:after="60"/>
        <w:jc w:val="center"/>
      </w:pPr>
      <w:r>
        <w:rPr>
          <w:rFonts w:ascii="Times New Roman" w:cs="Times New Roman" w:eastAsia="Times New Roman" w:hAnsi="Times New Roman"/>
          <w:color w:val="333333"/>
          <w:sz w:val="20"/>
          <w:szCs w:val="20"/>
        </w:rPr>
        <w:t xml:space="preserve">Rogue Wave Audio, Markham, Ontario</w:t>
      </w:r>
    </w:p>
    <w:p>
      <w:pPr>
        <w:jc w:val="center"/>
      </w:pPr>
      <w:r>
        <w:rPr>
          <w:rFonts w:ascii="Times New Roman" w:cs="Times New Roman" w:eastAsia="Times New Roman" w:hAnsi="Times New Roman"/>
          <w:color w:val="999999"/>
          <w:sz w:val="20"/>
          <w:szCs w:val="20"/>
        </w:rPr>
        <w:t xml:space="preserve">HUF v1.2.0 · MIT License</w:t>
      </w:r>
    </w:p>
    <w:p>
      <w:r>
        <w:br w:type="page"/>
      </w:r>
    </w:p>
    <w:p>
      <w:pPr>
        <w:pStyle w:val="Heading1"/>
        <w:spacing w:after="200" w:before="360"/>
      </w:pPr>
      <w:r>
        <w:rPr>
          <w:rFonts w:ascii="Times New Roman" w:cs="Times New Roman" w:eastAsia="Times New Roman" w:hAnsi="Times New Roman"/>
          <w:b/>
          <w:bCs/>
          <w:color w:val="1F3864"/>
          <w:sz w:val="28"/>
          <w:szCs w:val="28"/>
        </w:rPr>
        <w:t xml:space="preserve">Abstract</w:t>
      </w:r>
    </w:p>
    <w:p>
      <w:pPr>
        <w:spacing w:after="180" w:line="276"/>
      </w:pPr>
      <w:r>
        <w:rPr>
          <w:rFonts w:ascii="Times New Roman" w:cs="Times New Roman" w:eastAsia="Times New Roman" w:hAnsi="Times New Roman"/>
          <w:color w:val="333333"/>
          <w:sz w:val="22"/>
          <w:szCs w:val="22"/>
        </w:rPr>
        <w:t xml:space="preserve">Information reduction in science and engineering proceeds through a well-understood hierarchy: syntactic redundancy removal (2:1–10:1), perceptual irrelevance removal (10:1–3,000:1), and structural model-based extraction (10²–10⁴:1). This paper identifies a fourth level—sufficient statistic extraction—and presents an empirical system operating at this level. The Higgins Unity Framework (HUF) PreParser processes 156,266,500 records from 10 heterogeneous domains and produces a 1,008-byte output that preserves the information necessary for portfolio governance inference, yielding a ratio of 6,357,738:1. We define the sufficiency frontier as the boundary in reduction-ratio space where this transition occurs, formalize its relationship to Fisher sufficiency and Boltzmann phase-space reduction, and provide external validation through changepoint detection on ESA Planck satellite data (Pettitt OD 975 = January 14, 2012, exact match with He-4 exhaustion). This expanded version (v3.1) includes complete data provenance for all 10 systems, computational reproducibility paths, cross-references to the HUF Triad companion volumes, and an intuitive analogy for teaching the sufficiency frontier concept.</w:t>
      </w:r>
    </w:p>
    <w:p>
      <w:r>
        <w:br w:type="page"/>
      </w:r>
    </w:p>
    <w:p>
      <w:pPr>
        <w:pStyle w:val="Heading1"/>
        <w:spacing w:after="200" w:before="360"/>
      </w:pPr>
      <w:r>
        <w:rPr>
          <w:rFonts w:ascii="Times New Roman" w:cs="Times New Roman" w:eastAsia="Times New Roman" w:hAnsi="Times New Roman"/>
          <w:b/>
          <w:bCs/>
          <w:color w:val="1F3864"/>
          <w:sz w:val="28"/>
          <w:szCs w:val="28"/>
        </w:rPr>
        <w:t xml:space="preserve">1. Introduction</w:t>
      </w:r>
    </w:p>
    <w:p>
      <w:pPr>
        <w:spacing w:after="180" w:line="276"/>
      </w:pPr>
      <w:r>
        <w:rPr>
          <w:rFonts w:ascii="Times New Roman" w:cs="Times New Roman" w:eastAsia="Times New Roman" w:hAnsi="Times New Roman"/>
          <w:color w:val="333333"/>
          <w:sz w:val="22"/>
          <w:szCs w:val="22"/>
        </w:rPr>
        <w:t xml:space="preserve">The question of how much a dataset can be reduced while preserving the information needed for a specific inference has a long history. Shannon’s source coding theorem [1] establishes the fundamental limit for lossless compression. Fisher’s concept of sufficiency [2] establishes when a statistic captures everything a sample says about a parameter. Boltzmann’s statistical mechanics achieves the most extreme reduction in physics: from 10²³ particle states to a handful of thermodynamic variables.</w:t>
      </w:r>
    </w:p>
    <w:p>
      <w:pPr>
        <w:spacing w:after="180" w:line="276"/>
      </w:pPr>
      <w:r>
        <w:rPr>
          <w:rFonts w:ascii="Times New Roman" w:cs="Times New Roman" w:eastAsia="Times New Roman" w:hAnsi="Times New Roman"/>
          <w:color w:val="333333"/>
          <w:sz w:val="22"/>
          <w:szCs w:val="22"/>
        </w:rPr>
        <w:t xml:space="preserve">These results share a common structure: they identify conditions under which massive data reduction preserves inferential power. They differ in the nature of the preserved quantity—syntactic fidelity for Shannon, parametric information for Fisher, macroscopic observables for Boltzmann.</w:t>
      </w:r>
    </w:p>
    <w:p>
      <w:pPr>
        <w:spacing w:after="180" w:line="276"/>
      </w:pPr>
      <w:r>
        <w:rPr>
          <w:rFonts w:ascii="Times New Roman" w:cs="Times New Roman" w:eastAsia="Times New Roman" w:hAnsi="Times New Roman"/>
          <w:color w:val="333333"/>
          <w:sz w:val="22"/>
          <w:szCs w:val="22"/>
        </w:rPr>
        <w:t xml:space="preserve">This paper presents a system that achieves reduction at the scale of Boltzmann’s phase-space collapse (10⁶⋅⁸:1) while operating across arbitrary domains without prior physical knowledge. The HUF PreParser extracts the sufficient statistics for portfolio governance from heterogeneous data, producing a vector of shares on the probability simplex. We argue that this constitutes a fourth level in the hierarchy of information reduction and define the sufficiency frontier as the boundary marking this transition.</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Volume 8, The Triad Synthesis</w:t>
      </w:r>
    </w:p>
    <w:p>
      <w:pPr>
        <w:spacing w:after="160" w:before="80"/>
      </w:pPr>
      <w:r>
        <w:rPr>
          <w:rFonts w:ascii="Times New Roman" w:cs="Times New Roman" w:eastAsia="Times New Roman" w:hAnsi="Times New Roman"/>
          <w:i/>
          <w:iCs/>
          <w:color w:val="2E75B6"/>
          <w:sz w:val="20"/>
          <w:szCs w:val="20"/>
        </w:rPr>
        <w:t xml:space="preserve">▶ Interactive introduction: Volume 0, Notebooks 1–5</w:t>
      </w:r>
    </w:p>
    <w:p>
      <w:r>
        <w:br w:type="page"/>
      </w:r>
    </w:p>
    <w:p>
      <w:pPr>
        <w:pStyle w:val="Heading1"/>
        <w:spacing w:after="200" w:before="360"/>
      </w:pPr>
      <w:r>
        <w:rPr>
          <w:rFonts w:ascii="Times New Roman" w:cs="Times New Roman" w:eastAsia="Times New Roman" w:hAnsi="Times New Roman"/>
          <w:b/>
          <w:bCs/>
          <w:color w:val="1F3864"/>
          <w:sz w:val="28"/>
          <w:szCs w:val="28"/>
        </w:rPr>
        <w:t xml:space="preserve">2. Definitions and Notation</w:t>
      </w:r>
    </w:p>
    <w:p>
      <w:pPr>
        <w:spacing w:after="180" w:line="276"/>
      </w:pPr>
      <w:r>
        <w:rPr>
          <w:rFonts w:ascii="Times New Roman" w:cs="Times New Roman" w:eastAsia="Times New Roman" w:hAnsi="Times New Roman"/>
          <w:color w:val="333333"/>
          <w:sz w:val="22"/>
          <w:szCs w:val="22"/>
        </w:rPr>
        <w:t xml:space="preserve">The following terms are used throughout this paper. All definitions are consistent with the HUF Triad unified glossary (Volume 8, Section 8).</w:t>
      </w:r>
    </w:p>
    <w:p>
      <w:pPr>
        <w:spacing w:after="180" w:line="276"/>
      </w:pPr>
      <w:r>
        <w:rPr>
          <w:rFonts w:ascii="Times New Roman" w:cs="Times New Roman" w:eastAsia="Times New Roman" w:hAnsi="Times New Roman"/>
          <w:b/>
          <w:bCs/>
          <w:i/>
          <w:iCs/>
          <w:color w:val="333333"/>
          <w:sz w:val="22"/>
          <w:szCs w:val="22"/>
        </w:rPr>
        <w:t xml:space="preserve">Budget ceiling (M)</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total of a finite-budget system, indexed to 1.0. The ceiling is fixed; it does not grow or shrink with usage.</w:t>
      </w:r>
    </w:p>
    <w:p>
      <w:pPr>
        <w:spacing w:after="180" w:line="276"/>
      </w:pPr>
      <w:r>
        <w:rPr>
          <w:rFonts w:ascii="Times New Roman" w:cs="Times New Roman" w:eastAsia="Times New Roman" w:hAnsi="Times New Roman"/>
          <w:b/>
          <w:bCs/>
          <w:i/>
          <w:iCs/>
          <w:color w:val="333333"/>
          <w:sz w:val="22"/>
          <w:szCs w:val="22"/>
        </w:rPr>
        <w:t xml:space="preserve">Element (i)</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Any constituent of a portfolio that holds a share of the budget ceiling. Minimum: two elements per portfolio.</w:t>
      </w:r>
    </w:p>
    <w:p>
      <w:pPr>
        <w:spacing w:after="180" w:line="276"/>
      </w:pPr>
      <w:r>
        <w:rPr>
          <w:rFonts w:ascii="Times New Roman" w:cs="Times New Roman" w:eastAsia="Times New Roman" w:hAnsi="Times New Roman"/>
          <w:b/>
          <w:bCs/>
          <w:i/>
          <w:iCs/>
          <w:color w:val="333333"/>
          <w:sz w:val="22"/>
          <w:szCs w:val="22"/>
        </w:rPr>
        <w:t xml:space="preserve">Share (ρᵢ)</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An element’s proportional portion of the budget ceiling at a given point in time: ρᵢ = mᵢ / M where M = Σmⱼ.</w:t>
      </w:r>
    </w:p>
    <w:p>
      <w:pPr>
        <w:spacing w:after="180" w:line="276"/>
      </w:pPr>
      <w:r>
        <w:rPr>
          <w:rFonts w:ascii="Times New Roman" w:cs="Times New Roman" w:eastAsia="Times New Roman" w:hAnsi="Times New Roman"/>
          <w:b/>
          <w:bCs/>
          <w:i/>
          <w:iCs/>
          <w:color w:val="333333"/>
          <w:sz w:val="22"/>
          <w:szCs w:val="22"/>
        </w:rPr>
        <w:t xml:space="preserve">Ratio state (ρ)</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complete description of a finite-budget system at a point in time, expressed as a vector of shares summing to 1.0.</w:t>
      </w:r>
    </w:p>
    <w:p>
      <w:pPr>
        <w:spacing w:after="180" w:line="276"/>
      </w:pPr>
      <w:r>
        <w:rPr>
          <w:rFonts w:ascii="Times New Roman" w:cs="Times New Roman" w:eastAsia="Times New Roman" w:hAnsi="Times New Roman"/>
          <w:b/>
          <w:bCs/>
          <w:i/>
          <w:iCs/>
          <w:color w:val="333333"/>
          <w:sz w:val="22"/>
          <w:szCs w:val="22"/>
        </w:rPr>
        <w:t xml:space="preserve">Unity constraint</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Σρᵢ = 1. Satisfied by every valid portfolio state. Tautological for any system where shares are defined as proportions of a fixed total.</w:t>
      </w:r>
    </w:p>
    <w:p>
      <w:pPr>
        <w:spacing w:after="180" w:line="276"/>
      </w:pPr>
      <w:r>
        <w:rPr>
          <w:rFonts w:ascii="Times New Roman" w:cs="Times New Roman" w:eastAsia="Times New Roman" w:hAnsi="Times New Roman"/>
          <w:b/>
          <w:bCs/>
          <w:i/>
          <w:iCs/>
          <w:color w:val="333333"/>
          <w:sz w:val="22"/>
          <w:szCs w:val="22"/>
        </w:rPr>
        <w:t xml:space="preserve">Probability simplex (Sᴷ)</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set of all K-dimensional vectors with non-negative components summing to 1. The geometric space on which all HUF operations occur.</w:t>
      </w:r>
    </w:p>
    <w:p>
      <w:pPr>
        <w:spacing w:after="180" w:line="276"/>
      </w:pPr>
      <w:r>
        <w:rPr>
          <w:rFonts w:ascii="Times New Roman" w:cs="Times New Roman" w:eastAsia="Times New Roman" w:hAnsi="Times New Roman"/>
          <w:b/>
          <w:bCs/>
          <w:i/>
          <w:iCs/>
          <w:color w:val="333333"/>
          <w:sz w:val="22"/>
          <w:szCs w:val="22"/>
        </w:rPr>
        <w:t xml:space="preserve">Mean drift gap (MDG)</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average absolute difference between declared and observed shares: MDG = (1/K)Σ|ρᵢᵈᵉᶜ − ρᵢᵒᵇˢ|. Reported in percentage points.</w:t>
      </w:r>
    </w:p>
    <w:p>
      <w:pPr>
        <w:spacing w:after="180" w:line="276"/>
      </w:pPr>
      <w:r>
        <w:rPr>
          <w:rFonts w:ascii="Times New Roman" w:cs="Times New Roman" w:eastAsia="Times New Roman" w:hAnsi="Times New Roman"/>
          <w:b/>
          <w:bCs/>
          <w:i/>
          <w:iCs/>
          <w:color w:val="333333"/>
          <w:sz w:val="22"/>
          <w:szCs w:val="22"/>
        </w:rPr>
        <w:t xml:space="preserve">Sufficient statistic</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function T(X) of data X such that the conditional distribution of X given T(X) does not depend on the parameter θ [2].</w:t>
      </w:r>
    </w:p>
    <w:p>
      <w:pPr>
        <w:spacing w:after="180" w:line="276"/>
      </w:pPr>
      <w:r>
        <w:rPr>
          <w:rFonts w:ascii="Times New Roman" w:cs="Times New Roman" w:eastAsia="Times New Roman" w:hAnsi="Times New Roman"/>
          <w:b/>
          <w:bCs/>
          <w:i/>
          <w:iCs/>
          <w:color w:val="333333"/>
          <w:sz w:val="22"/>
          <w:szCs w:val="22"/>
        </w:rPr>
        <w:t xml:space="preserve">Sufficiency frontier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boundary in reduction-ratio space where information reduction transitions from lossy approximation to inference-preserving extraction.</w:t>
      </w:r>
    </w:p>
    <w:p>
      <w:pPr>
        <w:spacing w:after="180" w:line="276"/>
      </w:pPr>
      <w:r>
        <w:rPr>
          <w:rFonts w:ascii="Times New Roman" w:cs="Times New Roman" w:eastAsia="Times New Roman" w:hAnsi="Times New Roman"/>
          <w:b/>
          <w:bCs/>
          <w:i/>
          <w:iCs/>
          <w:color w:val="333333"/>
          <w:sz w:val="22"/>
          <w:szCs w:val="22"/>
        </w:rPr>
        <w:t xml:space="preserve">Cross-domain normalization (CDN)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Ω = |ΔMDG| × β, where β = K/K_eff. Dimensionless metric enabling comparison across domains with different element counts.</w:t>
      </w:r>
    </w:p>
    <w:p>
      <w:pPr>
        <w:spacing w:after="180" w:line="276"/>
      </w:pPr>
      <w:r>
        <w:rPr>
          <w:rFonts w:ascii="Times New Roman" w:cs="Times New Roman" w:eastAsia="Times New Roman" w:hAnsi="Times New Roman"/>
          <w:b/>
          <w:bCs/>
          <w:i/>
          <w:iCs/>
          <w:color w:val="333333"/>
          <w:sz w:val="22"/>
          <w:szCs w:val="22"/>
        </w:rPr>
        <w:t xml:space="preserve">Phase-space reduction</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collapse from microscopic state descriptions to macroscopic sufficient statistics, as exemplified by Boltzmann’s derivation of thermodynamic quantities from particle-level data.</w:t>
      </w:r>
    </w:p>
    <w:p>
      <w:pPr>
        <w:spacing w:after="180" w:line="276"/>
      </w:pPr>
      <w:r>
        <w:rPr>
          <w:rFonts w:ascii="Times New Roman" w:cs="Times New Roman" w:eastAsia="Times New Roman" w:hAnsi="Times New Roman"/>
          <w:b/>
          <w:bCs/>
          <w:i/>
          <w:iCs/>
          <w:color w:val="333333"/>
          <w:sz w:val="22"/>
          <w:szCs w:val="22"/>
        </w:rPr>
        <w:t xml:space="preserve">PreParser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HUF analytical engine that performs domain-agnostic sufficient statistic extraction. Input: arbitrary tabular or structured data. Output: portfolio state vector on Sᴷ.</w:t>
      </w:r>
    </w:p>
    <w:p>
      <w:pPr>
        <w:spacing w:after="180" w:line="276"/>
      </w:pPr>
      <w:r>
        <w:rPr>
          <w:rFonts w:ascii="Times New Roman" w:cs="Times New Roman" w:eastAsia="Times New Roman" w:hAnsi="Times New Roman"/>
          <w:b/>
          <w:bCs/>
          <w:i/>
          <w:iCs/>
          <w:color w:val="333333"/>
          <w:sz w:val="22"/>
          <w:szCs w:val="22"/>
        </w:rPr>
        <w:t xml:space="preserve">Aitchison distance</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The natural metric on the probability simplex, defined as d_A(ρ, ρ′) = ||clr(ρ) − clr(ρ′)||, where clr is the centered log-ratio transformation [3]. MDG is a first-order approximation.</w:t>
      </w:r>
    </w:p>
    <w:p>
      <w:pPr>
        <w:spacing w:after="180" w:line="276"/>
      </w:pPr>
      <w:r>
        <w:rPr>
          <w:rFonts w:ascii="Times New Roman" w:cs="Times New Roman" w:eastAsia="Times New Roman" w:hAnsi="Times New Roman"/>
          <w:b/>
          <w:bCs/>
          <w:i/>
          <w:iCs/>
          <w:color w:val="333333"/>
          <w:sz w:val="22"/>
          <w:szCs w:val="22"/>
        </w:rPr>
        <w:t xml:space="preserve">Degenerate observer</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A state observer where y(t) = ρ(t): the output IS the state. Estimation gain L = 0; estimation error identically zero without requiring a dynamic model.</w:t>
      </w:r>
    </w:p>
    <w:p>
      <w:pPr>
        <w:spacing w:after="180" w:line="276"/>
      </w:pPr>
      <w:r>
        <w:rPr>
          <w:rFonts w:ascii="Times New Roman" w:cs="Times New Roman" w:eastAsia="Times New Roman" w:hAnsi="Times New Roman"/>
          <w:b/>
          <w:bCs/>
          <w:i/>
          <w:iCs/>
          <w:color w:val="333333"/>
          <w:sz w:val="22"/>
          <w:szCs w:val="22"/>
        </w:rPr>
        <w:t xml:space="preserve">Quality factor (Q)</w:t>
      </w:r>
      <w:r>
        <w:rPr>
          <w:rFonts w:ascii="Times New Roman" w:cs="Times New Roman" w:eastAsia="Times New Roman" w:hAnsi="Times New Roman"/>
          <w:color w:val="333333"/>
          <w:sz w:val="22"/>
          <w:szCs w:val="22"/>
        </w:rPr>
        <w:t xml:space="preserve">. </w:t>
      </w:r>
      <w:r>
        <w:rPr>
          <w:rFonts w:ascii="Times New Roman" w:cs="Times New Roman" w:eastAsia="Times New Roman" w:hAnsi="Times New Roman"/>
          <w:color w:val="333333"/>
          <w:sz w:val="22"/>
          <w:szCs w:val="22"/>
        </w:rPr>
        <w:t xml:space="preserve">Q = T_char / T_obs. The ratio of an element’s characteristic contribution period to its observation bandwidth. Determines vulnerability to snapshot error.</w:t>
      </w:r>
    </w:p>
    <w:p>
      <w:r>
        <w:br w:type="page"/>
      </w:r>
    </w:p>
    <w:p>
      <w:pPr>
        <w:pStyle w:val="Heading1"/>
        <w:spacing w:after="200" w:before="360"/>
      </w:pPr>
      <w:r>
        <w:rPr>
          <w:rFonts w:ascii="Times New Roman" w:cs="Times New Roman" w:eastAsia="Times New Roman" w:hAnsi="Times New Roman"/>
          <w:b/>
          <w:bCs/>
          <w:color w:val="1F3864"/>
          <w:sz w:val="28"/>
          <w:szCs w:val="28"/>
        </w:rPr>
        <w:t xml:space="preserve">3. Phase-Space Reduction: From Boltzmann to the Probability Simplex</w:t>
      </w:r>
    </w:p>
    <w:p>
      <w:pPr>
        <w:pStyle w:val="Heading2"/>
        <w:spacing w:after="160" w:before="280"/>
      </w:pPr>
      <w:r>
        <w:rPr>
          <w:rFonts w:ascii="Times New Roman" w:cs="Times New Roman" w:eastAsia="Times New Roman" w:hAnsi="Times New Roman"/>
          <w:b/>
          <w:bCs/>
          <w:color w:val="1F3864"/>
          <w:sz w:val="24"/>
          <w:szCs w:val="24"/>
        </w:rPr>
        <w:t xml:space="preserve">3.1 The Boltzmann Precedent</w:t>
      </w:r>
    </w:p>
    <w:p>
      <w:pPr>
        <w:spacing w:after="180" w:line="276"/>
      </w:pPr>
      <w:r>
        <w:rPr>
          <w:rFonts w:ascii="Times New Roman" w:cs="Times New Roman" w:eastAsia="Times New Roman" w:hAnsi="Times New Roman"/>
          <w:color w:val="333333"/>
          <w:sz w:val="22"/>
          <w:szCs w:val="22"/>
        </w:rPr>
        <w:t xml:space="preserve">Statistical mechanics achieves the most extreme information reduction in the physical sciences. A mole of gas contains approximately 6.022 × 10²³ particles, each described by six phase-space coordinates (three position, three momentum). The full state description requires ~3.6 × 10²⁴ floating-point numbers. Boltzmann’s partition function reduces this to a handful of thermodynamic variables—temperature, pressure, entropy—that are sufficient for predicting macroscopic behavior [4]. The reduction ratio exceeds 10²³:1.</w:t>
      </w:r>
    </w:p>
    <w:p>
      <w:pPr>
        <w:spacing w:after="180" w:line="276"/>
      </w:pPr>
      <w:r>
        <w:rPr>
          <w:rFonts w:ascii="Times New Roman" w:cs="Times New Roman" w:eastAsia="Times New Roman" w:hAnsi="Times New Roman"/>
          <w:color w:val="333333"/>
          <w:sz w:val="22"/>
          <w:szCs w:val="22"/>
        </w:rPr>
        <w:t xml:space="preserve">This reduction is not compression. No algorithm can reconstruct the microscopic states from the thermodynamic variables. The reduction preserves exactly the information needed for the inference at hand: macroscopic predictions. In Fisher’s terminology, the thermodynamic variables are sufficient statistics for the macroscopic parameters.</w:t>
      </w:r>
    </w:p>
    <w:p>
      <w:pPr>
        <w:pStyle w:val="Heading2"/>
        <w:spacing w:after="160" w:before="280"/>
      </w:pPr>
      <w:r>
        <w:rPr>
          <w:rFonts w:ascii="Times New Roman" w:cs="Times New Roman" w:eastAsia="Times New Roman" w:hAnsi="Times New Roman"/>
          <w:b/>
          <w:bCs/>
          <w:color w:val="1F3864"/>
          <w:sz w:val="24"/>
          <w:szCs w:val="24"/>
        </w:rPr>
        <w:t xml:space="preserve">3.2 Fisher Sufficiency</w:t>
      </w:r>
    </w:p>
    <w:p>
      <w:pPr>
        <w:spacing w:after="180" w:line="276"/>
      </w:pPr>
      <w:r>
        <w:rPr>
          <w:rFonts w:ascii="Times New Roman" w:cs="Times New Roman" w:eastAsia="Times New Roman" w:hAnsi="Times New Roman"/>
          <w:color w:val="333333"/>
          <w:sz w:val="22"/>
          <w:szCs w:val="22"/>
        </w:rPr>
        <w:t xml:space="preserve">Fisher’s factorization theorem [2] states that T(X) is sufficient for θ if and only if the likelihood can be written as L(θ; X) = g(T(X), θ) · h(X), where h does not depend on θ. The Pitman–Koopman–Darmois theorem [5, 6] restricts the existence of fixed-dimensional sufficient statistics to exponential family distributions, except in degenerate cases.</w:t>
      </w:r>
    </w:p>
    <w:p>
      <w:pPr>
        <w:spacing w:after="180" w:line="276"/>
      </w:pPr>
      <w:r>
        <w:rPr>
          <w:rFonts w:ascii="Times New Roman" w:cs="Times New Roman" w:eastAsia="Times New Roman" w:hAnsi="Times New Roman"/>
          <w:color w:val="333333"/>
          <w:sz w:val="22"/>
          <w:szCs w:val="22"/>
        </w:rPr>
        <w:t xml:space="preserve">The HUF departure from this classical result is significant. The PreParser does not assume an exponential family. It does not estimate a parametric model. Instead, it exploits a structural invariant—the unity constraint Σρᵢ = 1—that holds for any system expressible as proportional allocation. The portfolio state vector ρ on the probability simplex Sᴷ captures everything needed for governance inference without requiring knowledge of the generating distribution.</w:t>
      </w:r>
    </w:p>
    <w:p>
      <w:pPr>
        <w:pStyle w:val="Heading2"/>
        <w:spacing w:after="160" w:before="280"/>
      </w:pPr>
      <w:r>
        <w:rPr>
          <w:rFonts w:ascii="Times New Roman" w:cs="Times New Roman" w:eastAsia="Times New Roman" w:hAnsi="Times New Roman"/>
          <w:b/>
          <w:bCs/>
          <w:color w:val="1F3864"/>
          <w:sz w:val="24"/>
          <w:szCs w:val="24"/>
        </w:rPr>
        <w:t xml:space="preserve">3.3 HUF as Phase-Space Reduction</w:t>
      </w:r>
    </w:p>
    <w:p>
      <w:pPr>
        <w:spacing w:after="180" w:line="276"/>
      </w:pPr>
      <w:r>
        <w:rPr>
          <w:rFonts w:ascii="Times New Roman" w:cs="Times New Roman" w:eastAsia="Times New Roman" w:hAnsi="Times New Roman"/>
          <w:color w:val="333333"/>
          <w:sz w:val="22"/>
          <w:szCs w:val="22"/>
        </w:rPr>
        <w:t xml:space="preserve">The HUF PreParser processes 156,266,500 records occupying approximately 6.4 × 10⁹ bytes and produces a 1,008-byte output: 10 portfolio state vectors, each a point on the appropriate simplex Sᴷ. The reduction ratio is 6,357,738:1.</w:t>
      </w:r>
    </w:p>
    <w:p>
      <w:pPr>
        <w:spacing w:after="180" w:line="276"/>
      </w:pPr>
      <w:r>
        <w:rPr>
          <w:rFonts w:ascii="Times New Roman" w:cs="Times New Roman" w:eastAsia="Times New Roman" w:hAnsi="Times New Roman"/>
          <w:color w:val="333333"/>
          <w:sz w:val="22"/>
          <w:szCs w:val="22"/>
        </w:rPr>
        <w:t xml:space="preserve">Like Boltzmann’s reduction, this is irreversible—the original records cannot be reconstructed. Like Boltzmann’s reduction, it preserves the information needed for the intended inference. Unlike Boltzmann’s reduction, it operates without prior knowledge of the domain’s physics. The unity constraint replaces the Hamiltonian as the structural invariant that makes the reduction possible.</w:t>
      </w:r>
    </w:p>
    <w:p>
      <w:pPr>
        <w:spacing w:after="160" w:before="80"/>
      </w:pPr>
      <w:r>
        <w:rPr>
          <w:rFonts w:ascii="Times New Roman" w:cs="Times New Roman" w:eastAsia="Times New Roman" w:hAnsi="Times New Roman"/>
          <w:i/>
          <w:iCs/>
          <w:color w:val="2E75B6"/>
          <w:sz w:val="20"/>
          <w:szCs w:val="20"/>
        </w:rPr>
        <w:t xml:space="preserve">▶ Interactive demonstration: Vol 0, Notebooks 3–5 (sourdough, TTC, Planck)</w:t>
      </w:r>
    </w:p>
    <w:p>
      <w:r>
        <w:br w:type="page"/>
      </w:r>
    </w:p>
    <w:p>
      <w:pPr>
        <w:pStyle w:val="Heading1"/>
        <w:spacing w:after="200" w:before="360"/>
      </w:pPr>
      <w:r>
        <w:rPr>
          <w:rFonts w:ascii="Times New Roman" w:cs="Times New Roman" w:eastAsia="Times New Roman" w:hAnsi="Times New Roman"/>
          <w:b/>
          <w:bCs/>
          <w:color w:val="1F3864"/>
          <w:sz w:val="28"/>
          <w:szCs w:val="28"/>
        </w:rPr>
        <w:t xml:space="preserve">4. The Hierarchy of Information Reduction</w:t>
      </w:r>
    </w:p>
    <w:p>
      <w:pPr>
        <w:spacing w:after="180" w:line="276"/>
      </w:pPr>
      <w:r>
        <w:rPr>
          <w:rFonts w:ascii="Times New Roman" w:cs="Times New Roman" w:eastAsia="Times New Roman" w:hAnsi="Times New Roman"/>
          <w:color w:val="333333"/>
          <w:sz w:val="22"/>
          <w:szCs w:val="22"/>
        </w:rPr>
        <w:t xml:space="preserve">We propose a four-level hierarchy that organizes established and novel reduction methods by the nature of what is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600"/>
        <w:gridCol w:w="1900"/>
        <w:gridCol w:w="2860"/>
      </w:tblGrid>
      <w:tr>
        <w:tc>
          <w:tcPr>
            <w:tcW w:type="dxa" w:w="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Name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 Range</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Preserved Quantity</w:t>
            </w:r>
          </w:p>
        </w:tc>
        <w:tc>
          <w:tcPr>
            <w:tcW w:type="dxa" w:w="1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Mechanism</w:t>
            </w:r>
          </w:p>
        </w:tc>
        <w:tc>
          <w:tcPr>
            <w:tcW w:type="dxa" w:w="28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Canonical Example</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Syntactic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2:1–10:1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reconstruction</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Entropy coding</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ZIP, gzip [7]</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10:1–3,000:1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Psychoacoustic/visual models</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[8], MP3 [9], H.265 [10]</w:t>
            </w:r>
          </w:p>
        </w:tc>
      </w:tr>
      <w:tr>
        <w:tc>
          <w:tcPr>
            <w:tcW w:type="dxa" w:w="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10²–10⁴:1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 parameters</w:t>
            </w:r>
          </w:p>
        </w:tc>
        <w:tc>
          <w:tcPr>
            <w:tcW w:type="dxa" w:w="19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Basis decomposition, state estimation</w:t>
            </w:r>
          </w:p>
        </w:tc>
        <w:tc>
          <w:tcPr>
            <w:tcW w:type="dxa" w:w="28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Kalman filter [11]</w:t>
            </w:r>
          </w:p>
        </w:tc>
      </w:tr>
      <w:tr>
        <w:tc>
          <w:tcPr>
            <w:tcW w:type="dxa" w:w="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Sufficient Statistic</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10⁵–10²³:1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Inferential content</w:t>
            </w:r>
          </w:p>
        </w:tc>
        <w:tc>
          <w:tcPr>
            <w:tcW w:type="dxa" w:w="1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Structural invariant exploitation</w:t>
            </w:r>
          </w:p>
        </w:tc>
        <w:tc>
          <w:tcPr>
            <w:tcW w:type="dxa" w:w="28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 [4], HUF PreParser</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Each level subsumes the previous: Level 2 methods discard syntactically relevant information that is perceptually irrelevant; Level 3 methods discard structure beyond what the model captures; Level 4 methods reduce to the sufficient statistics for a specified inference. The transitions between levels are qualitative, not merely quantitative. A Level 4 system that happens to achieve a moderate ratio (e.g., 100:1) is still qualitatively different from a Level 3 system at the same ratio, because the nature of the preserved quantity differs.</w:t>
      </w:r>
    </w:p>
    <w:p>
      <w:pPr>
        <w:spacing w:after="180" w:line="276"/>
      </w:pPr>
      <w:r>
        <w:rPr>
          <w:rFonts w:ascii="Times New Roman" w:cs="Times New Roman" w:eastAsia="Times New Roman" w:hAnsi="Times New Roman"/>
          <w:color w:val="333333"/>
          <w:sz w:val="22"/>
          <w:szCs w:val="22"/>
        </w:rPr>
        <w:t xml:space="preserve">The sufficiency frontier is the boundary between Level 3 and Level 4. Below it, reduction preserves model parameters or approximations. Above it, reduction preserves exactly the information needed for the target inference—no more, no less.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The HUF PreParser: Method and Corpus</w:t>
      </w:r>
    </w:p>
    <w:p>
      <w:pPr>
        <w:pStyle w:val="Heading2"/>
        <w:spacing w:after="160" w:before="280"/>
      </w:pPr>
      <w:r>
        <w:rPr>
          <w:rFonts w:ascii="Times New Roman" w:cs="Times New Roman" w:eastAsia="Times New Roman" w:hAnsi="Times New Roman"/>
          <w:b/>
          <w:bCs/>
          <w:color w:val="1F3864"/>
          <w:sz w:val="24"/>
          <w:szCs w:val="24"/>
        </w:rPr>
        <w:t xml:space="preserve">5.1 Method</w:t>
      </w:r>
    </w:p>
    <w:p>
      <w:pPr>
        <w:spacing w:after="180" w:line="276"/>
      </w:pPr>
      <w:r>
        <w:rPr>
          <w:rFonts w:ascii="Times New Roman" w:cs="Times New Roman" w:eastAsia="Times New Roman" w:hAnsi="Times New Roman"/>
          <w:color w:val="333333"/>
          <w:sz w:val="22"/>
          <w:szCs w:val="22"/>
        </w:rPr>
        <w:t xml:space="preserve">The PreParser accepts heterogeneous tabular or structured data and performs three operations: (1) identify the budget ceiling and elements, (2) compute observed shares ρᵢ = mᵢ / Σmⱼ, (3) verify Σρᵢ = 1 and output the portfolio state vector. No domain-specific configuration is required beyond specifying which columns represent element magnitudes. The operation is deterministic and reproducible.</w:t>
      </w:r>
    </w:p>
    <w:p>
      <w:pPr>
        <w:pStyle w:val="Heading2"/>
        <w:spacing w:after="160" w:before="280"/>
      </w:pPr>
      <w:r>
        <w:rPr>
          <w:rFonts w:ascii="Times New Roman" w:cs="Times New Roman" w:eastAsia="Times New Roman" w:hAnsi="Times New Roman"/>
          <w:b/>
          <w:bCs/>
          <w:color w:val="1F3864"/>
          <w:sz w:val="24"/>
          <w:szCs w:val="24"/>
        </w:rPr>
        <w:t xml:space="preserve">5.2 Corpus</w:t>
      </w:r>
    </w:p>
    <w:p>
      <w:pPr>
        <w:spacing w:after="180" w:line="276"/>
      </w:pPr>
      <w:r>
        <w:rPr>
          <w:rFonts w:ascii="Times New Roman" w:cs="Times New Roman" w:eastAsia="Times New Roman" w:hAnsi="Times New Roman"/>
          <w:color w:val="333333"/>
          <w:sz w:val="22"/>
          <w:szCs w:val="22"/>
        </w:rPr>
        <w:t xml:space="preserve">The following table presents the complete 10-system corpus with full data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000"/>
        <w:gridCol w:w="1200"/>
        <w:gridCol w:w="1000"/>
        <w:gridCol w:w="1600"/>
        <w:gridCol w:w="29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ID</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Records</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Elements (K)</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Source</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DOI / URL</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HDI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Mechanical</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1,048,576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~40 models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backblaze.com/cloud-storage/resources/hard-drive-test-data</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Energy policy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6–8 sources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Our World in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10.1038/s41560-020-0695-4</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 Ridership</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Urban transit</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~2,400,000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 routes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open.toronto.ca/dataset/ttc-ridership-analysis</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Municipal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~127,000,000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 categories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open.toronto.ca</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Planck HFI</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Astrophysics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~5,700,000,000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 channels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Legacy Archive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10.1051/0004-6361/201321529</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Fermentation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ingredients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7</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Ecology</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5 Ramsar sites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Information Service</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rsis.ramsar.org</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8</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Software CI/CD</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Digital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~10,000</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namespaces</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system logs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9</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Acoustics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~1,500,000</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 freq bands</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primary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roguewaveaudio.com</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 Rep</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Nature Scientific Reports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Published</w:t>
            </w:r>
          </w:p>
        </w:tc>
      </w:tr>
    </w:tbl>
    <w:p>
      <w:pPr>
        <w:spacing w:after="180" w:line="276"/>
      </w:pPr>
      <w:r>
        <w:rPr>
          <w:rFonts w:ascii="Times New Roman" w:cs="Times New Roman" w:eastAsia="Times New Roman" w:hAnsi="Times New Roman"/>
          <w:color w:val="333333"/>
          <w:sz w:val="22"/>
          <w:szCs w:val="22"/>
        </w:rPr>
        <w:t xml:space="preserve"/>
      </w:r>
    </w:p>
    <w:p>
      <w:pPr>
        <w:pStyle w:val="Heading2"/>
        <w:spacing w:after="160" w:before="280"/>
      </w:pPr>
      <w:r>
        <w:rPr>
          <w:rFonts w:ascii="Times New Roman" w:cs="Times New Roman" w:eastAsia="Times New Roman" w:hAnsi="Times New Roman"/>
          <w:b/>
          <w:bCs/>
          <w:color w:val="1F3864"/>
          <w:sz w:val="24"/>
          <w:szCs w:val="24"/>
        </w:rPr>
        <w:t xml:space="preserve">5.3 Reduction Computation</w:t>
      </w:r>
    </w:p>
    <w:p>
      <w:pPr>
        <w:spacing w:after="180" w:line="276"/>
      </w:pPr>
      <w:r>
        <w:rPr>
          <w:rFonts w:ascii="Times New Roman" w:cs="Times New Roman" w:eastAsia="Times New Roman" w:hAnsi="Times New Roman"/>
          <w:color w:val="333333"/>
          <w:sz w:val="22"/>
          <w:szCs w:val="22"/>
        </w:rPr>
        <w:t xml:space="preserve">Total input: 156,266,500 records occupying approximately 6.4 × 10⁹ bytes across CSV, FITS, GeoJSON, WAV, and system log formats. Total output: 10 portfolio state vectors totaling 1,008 bytes. Reduction ratio: 6,357,738:1.</w:t>
      </w:r>
    </w:p>
    <w:p>
      <w:pPr>
        <w:spacing w:after="180" w:line="276"/>
      </w:pPr>
      <w:r>
        <w:rPr>
          <w:rFonts w:ascii="Times New Roman" w:cs="Times New Roman" w:eastAsia="Times New Roman" w:hAnsi="Times New Roman"/>
          <w:color w:val="333333"/>
          <w:sz w:val="22"/>
          <w:szCs w:val="22"/>
        </w:rPr>
        <w:t xml:space="preserve">The output preserves: (a) the relative allocation of every element within each system, (b) the cross-system comparability via CDN normalization, and (c) the temporal trajectory when multiple cycles are available. The output does not preserve: raw magnitudes, individual record-level detail, domain-specific metadata, or any information not relevant to portfolio governance inference.</w:t>
      </w:r>
    </w:p>
    <w:p>
      <w:pPr>
        <w:pStyle w:val="Heading2"/>
        <w:spacing w:after="160" w:before="280"/>
      </w:pPr>
      <w:r>
        <w:rPr>
          <w:rFonts w:ascii="Times New Roman" w:cs="Times New Roman" w:eastAsia="Times New Roman" w:hAnsi="Times New Roman"/>
          <w:b/>
          <w:bCs/>
          <w:color w:val="1F3864"/>
          <w:sz w:val="24"/>
          <w:szCs w:val="24"/>
        </w:rPr>
        <w:t xml:space="preserve">5.4 Data Provenance (New in v3.0)</w:t>
      </w:r>
    </w:p>
    <w:p>
      <w:pPr>
        <w:spacing w:after="180" w:line="276"/>
      </w:pPr>
      <w:r>
        <w:rPr>
          <w:rFonts w:ascii="Times New Roman" w:cs="Times New Roman" w:eastAsia="Times New Roman" w:hAnsi="Times New Roman"/>
          <w:color w:val="333333"/>
          <w:sz w:val="22"/>
          <w:szCs w:val="22"/>
        </w:rPr>
        <w:t xml:space="preserve">Complete provenance for each system, enabling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400"/>
        <w:gridCol w:w="1800"/>
        <w:gridCol w:w="2560"/>
      </w:tblGrid>
      <w:tr>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Date Range</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Retrieval Date</w:t>
            </w:r>
          </w:p>
        </w:tc>
        <w:tc>
          <w:tcPr>
            <w:tcW w:type="dxa" w:w="1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Format</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Access Method</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Checksum Available</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BackBlaze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2023 Q1–Q3</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 (compressed)</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HTTP download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(SHA-256)</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OWID Energy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1985–2023</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GitHub clone</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(git hash)</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TTC</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2015–2019</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CSV</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Infra</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2016–2024</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GeoJSON, CSV</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Toronto Open Data API</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Planck HFI</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OD 91–1604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FITS (HEALPix)</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ESA PLA FTP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(FITS header)</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Sourdough</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Manual records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Operator notebook</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Crna Mlaka</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1993–2024</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March 2026</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RIS reports</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RIS database</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w:t>
            </w:r>
          </w:p>
        </w:tc>
      </w:tr>
      <w:tr>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CI/CD</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2025–2026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System logs</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Direct export</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r>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RogueWaveAudio</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2024–2026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Primary</w:t>
            </w:r>
          </w:p>
        </w:tc>
        <w:tc>
          <w:tcPr>
            <w:tcW w:type="dxa" w:w="1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WAV, spectral</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Studio recording</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N/A</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All publicly available datasets can be independently retrieved using the URLs provided in Table 2. The PreParser code is available under MIT license. Checksums for downloaded files are stored in checksums.txt within the HUFv4 repository.</w:t>
      </w:r>
    </w:p>
    <w:p>
      <w:pPr>
        <w:spacing w:after="160" w:before="80"/>
      </w:pPr>
      <w:r>
        <w:rPr>
          <w:rFonts w:ascii="Times New Roman" w:cs="Times New Roman" w:eastAsia="Times New Roman" w:hAnsi="Times New Roman"/>
          <w:i/>
          <w:iCs/>
          <w:color w:val="2E75B6"/>
          <w:sz w:val="20"/>
          <w:szCs w:val="20"/>
        </w:rPr>
        <w:t xml:space="preserve">▶ Code repository: HUFv4/ directory, build_corpus_preparser.js</w:t>
      </w:r>
    </w:p>
    <w:p>
      <w:pPr>
        <w:spacing w:after="160" w:before="80"/>
      </w:pPr>
      <w:r>
        <w:rPr>
          <w:rFonts w:ascii="Times New Roman" w:cs="Times New Roman" w:eastAsia="Times New Roman" w:hAnsi="Times New Roman"/>
          <w:i/>
          <w:iCs/>
          <w:color w:val="2E75B6"/>
          <w:sz w:val="20"/>
          <w:szCs w:val="20"/>
        </w:rPr>
        <w:t xml:space="preserve">▶ Full corpus analysis: HUF_Corpus_PreParser_v1.0.docx</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Sufficiency Frontier: Comparative Landscape</w:t>
      </w:r>
    </w:p>
    <w:p>
      <w:pPr>
        <w:spacing w:after="180" w:line="276"/>
      </w:pPr>
      <w:r>
        <w:rPr>
          <w:rFonts w:ascii="Times New Roman" w:cs="Times New Roman" w:eastAsia="Times New Roman" w:hAnsi="Times New Roman"/>
          <w:color w:val="333333"/>
          <w:sz w:val="22"/>
          <w:szCs w:val="22"/>
        </w:rPr>
        <w:t xml:space="preserve">The following table positions the HUF PreParser relative to established reduction systems. The comparison is descriptive, not competitive: systems at different hierarchy levels solve different problems. Comparing HUF to JPEG is a category error, included only to illustrate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700"/>
        <w:gridCol w:w="1500"/>
        <w:gridCol w:w="1500"/>
        <w:gridCol w:w="2960"/>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System</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Ratio</w:t>
            </w:r>
          </w:p>
        </w:tc>
        <w:tc>
          <w:tcPr>
            <w:tcW w:type="dxa" w:w="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Reconstructible?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Domain-Specific?</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Preserves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gzip</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Yes (lossless)</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Exact bytes</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JPEG (quality 50)</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 (lossy)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Perceptual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MP3 (128 kbps)</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~11:1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Audio only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Psychoacoustic fidelity</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H.265</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Video only</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Visual sequence fidelity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PCA (95%)</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Calibrated</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Variance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Kalman filter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~1,000:1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Approximate</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Model-dependent</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State trajectory</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 (1,200:1)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1,200:1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Genomic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Variant structure</w:t>
            </w:r>
          </w:p>
        </w:tc>
      </w:tr>
      <w:tr>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Boltzmann</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~10²³:1</w:t>
            </w:r>
          </w:p>
        </w:tc>
        <w:tc>
          <w:tcPr>
            <w:tcW w:type="dxa" w:w="7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Physical systems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Thermodynamic observables</w:t>
            </w:r>
          </w:p>
        </w:tc>
      </w:tr>
      <w:tr>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HUF PreParser</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6,357,738:1</w:t>
            </w:r>
          </w:p>
        </w:tc>
        <w:tc>
          <w:tcPr>
            <w:tcW w:type="dxa" w:w="7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Domain-agnostic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governance statistics</w:t>
            </w:r>
          </w:p>
        </w:tc>
      </w:tr>
    </w:tbl>
    <w:p>
      <w:pPr>
        <w:spacing w:after="180" w:line="276"/>
      </w:pPr>
      <w:r>
        <w:rPr>
          <w:rFonts w:ascii="Times New Roman" w:cs="Times New Roman" w:eastAsia="Times New Roman" w:hAnsi="Times New Roman"/>
          <w:color w:val="333333"/>
          <w:sz w:val="22"/>
          <w:szCs w:val="22"/>
        </w:rPr>
        <w:t xml:space="preserve"/>
      </w:r>
    </w:p>
    <w:p>
      <w:pPr>
        <w:spacing w:after="180" w:line="276"/>
      </w:pPr>
      <w:r>
        <w:rPr>
          <w:rFonts w:ascii="Times New Roman" w:cs="Times New Roman" w:eastAsia="Times New Roman" w:hAnsi="Times New Roman"/>
          <w:color w:val="333333"/>
          <w:sz w:val="22"/>
          <w:szCs w:val="22"/>
        </w:rPr>
        <w:t xml:space="preserve">The HUF PreParser’s distinguishing feature is not the ratio alone—Boltzmann exceeds it by many orders of magnitude—but the combination of Level 4 reduction with domain agnosticism. Boltzmann requires knowledge of the Hamiltonian; HUF requires only the existence of a budget ceiling. To our knowledge, no prior system achieves Level 4 reduction across arbitrary domains.</w:t>
      </w:r>
    </w:p>
    <w:p>
      <w:r>
        <w:br w:type="page"/>
      </w:r>
    </w:p>
    <w:p>
      <w:pPr>
        <w:pStyle w:val="Heading1"/>
        <w:spacing w:after="200" w:before="360"/>
      </w:pPr>
      <w:r>
        <w:rPr>
          <w:rFonts w:ascii="Times New Roman" w:cs="Times New Roman" w:eastAsia="Times New Roman" w:hAnsi="Times New Roman"/>
          <w:b/>
          <w:bCs/>
          <w:color w:val="1F3864"/>
          <w:sz w:val="28"/>
          <w:szCs w:val="28"/>
        </w:rPr>
        <w:t xml:space="preserve">7. External Validation</w:t>
      </w:r>
    </w:p>
    <w:p>
      <w:pPr>
        <w:pStyle w:val="Heading2"/>
        <w:spacing w:after="160" w:before="280"/>
      </w:pPr>
      <w:r>
        <w:rPr>
          <w:rFonts w:ascii="Times New Roman" w:cs="Times New Roman" w:eastAsia="Times New Roman" w:hAnsi="Times New Roman"/>
          <w:b/>
          <w:bCs/>
          <w:color w:val="1F3864"/>
          <w:sz w:val="24"/>
          <w:szCs w:val="24"/>
        </w:rPr>
        <w:t xml:space="preserve">7.1 ESA Planck: Pettitt Changepoint</w:t>
      </w:r>
    </w:p>
    <w:p>
      <w:pPr>
        <w:spacing w:after="180" w:line="276"/>
      </w:pPr>
      <w:r>
        <w:rPr>
          <w:rFonts w:ascii="Times New Roman" w:cs="Times New Roman" w:eastAsia="Times New Roman" w:hAnsi="Times New Roman"/>
          <w:color w:val="333333"/>
          <w:sz w:val="22"/>
          <w:szCs w:val="22"/>
        </w:rPr>
        <w:t xml:space="preserve">The strongest single validation comes from the ESA Planck HFI dataset. The six HFI channels (100–857 GHz) form a frequency portfolio. Applying the Pettitt non-parametric changepoint test [14] to the MDG time series yields a changepoint at Operational Day 975 with p &lt; 0.001.</w:t>
      </w:r>
    </w:p>
    <w:p>
      <w:pPr>
        <w:spacing w:after="180" w:line="276"/>
      </w:pPr>
      <w:r>
        <w:rPr>
          <w:rFonts w:ascii="Times New Roman" w:cs="Times New Roman" w:eastAsia="Times New Roman" w:hAnsi="Times New Roman"/>
          <w:color w:val="333333"/>
          <w:sz w:val="22"/>
          <w:szCs w:val="22"/>
        </w:rPr>
        <w:t xml:space="preserve">ESA’s engineering records document the exhaustion of He-4 cryogen on January 14, 2012, which corresponds to OD 975. The HUF analysis identified the exact operational day of a known physical event from portfolio share changes alone, without access to engineering telemetry, without knowledge of cryogenic physics, and without domain-specific calibration.</w:t>
      </w:r>
    </w:p>
    <w:p>
      <w:pPr>
        <w:pStyle w:val="Heading2"/>
        <w:spacing w:after="160" w:before="280"/>
      </w:pPr>
      <w:r>
        <w:rPr>
          <w:rFonts w:ascii="Times New Roman" w:cs="Times New Roman" w:eastAsia="Times New Roman" w:hAnsi="Times New Roman"/>
          <w:b/>
          <w:bCs/>
          <w:color w:val="1F3864"/>
          <w:sz w:val="24"/>
          <w:szCs w:val="24"/>
        </w:rPr>
        <w:t xml:space="preserve">7.2 King Street Pilot: Interrupted Time Series</w:t>
      </w:r>
    </w:p>
    <w:p>
      <w:pPr>
        <w:spacing w:after="180" w:line="276"/>
      </w:pPr>
      <w:r>
        <w:rPr>
          <w:rFonts w:ascii="Times New Roman" w:cs="Times New Roman" w:eastAsia="Times New Roman" w:hAnsi="Times New Roman"/>
          <w:color w:val="333333"/>
          <w:sz w:val="22"/>
          <w:szCs w:val="22"/>
        </w:rPr>
        <w:t xml:space="preserve">The Toronto King Street Transit Priority Pilot (November 2017) provides a second validation modality. Interrupted Time Series (ITS) analysis of route ridership shares detected a statistically significant level change (β₂) at the intervention point, with 5 out of 5 confirmatory tests passing. The portfolio share analysis detected a differential effect that raw ridership counts obscured.</w:t>
      </w:r>
    </w:p>
    <w:p>
      <w:pPr>
        <w:pStyle w:val="Heading2"/>
        <w:spacing w:after="160" w:before="280"/>
      </w:pPr>
      <w:r>
        <w:rPr>
          <w:rFonts w:ascii="Times New Roman" w:cs="Times New Roman" w:eastAsia="Times New Roman" w:hAnsi="Times New Roman"/>
          <w:b/>
          <w:bCs/>
          <w:color w:val="1F3864"/>
          <w:sz w:val="24"/>
          <w:szCs w:val="24"/>
        </w:rPr>
        <w:t xml:space="preserve">7.3 Three-Domain Confirmation</w:t>
      </w:r>
    </w:p>
    <w:p>
      <w:pPr>
        <w:spacing w:after="180" w:line="276"/>
      </w:pPr>
      <w:r>
        <w:rPr>
          <w:rFonts w:ascii="Times New Roman" w:cs="Times New Roman" w:eastAsia="Times New Roman" w:hAnsi="Times New Roman"/>
          <w:color w:val="333333"/>
          <w:sz w:val="22"/>
          <w:szCs w:val="22"/>
        </w:rPr>
        <w:t xml:space="preserve">Three independent domains—sourdough fermentation (p = 0.021, Pettitt), Croatia Ramsar wetlands (p &lt; 0.0027, ITS), and software CI/CD (p &lt; 0.0001, Fisher exact)—provide formal statistical confirmation using different test methodologies. The absence of structural overlap between the biological, ecological, and digital domains strengthens the domain-agnostic claim.</w:t>
      </w:r>
    </w:p>
    <w:p>
      <w:pPr>
        <w:spacing w:after="160" w:before="80"/>
      </w:pPr>
      <w:r>
        <w:rPr>
          <w:rFonts w:ascii="Times New Roman" w:cs="Times New Roman" w:eastAsia="Times New Roman" w:hAnsi="Times New Roman"/>
          <w:i/>
          <w:iCs/>
          <w:color w:val="2E75B6"/>
          <w:sz w:val="20"/>
          <w:szCs w:val="20"/>
        </w:rPr>
        <w:t xml:space="preserve">▶ Full Planck analysis: HUF_External_Validation_v1.0.docx</w:t>
      </w:r>
    </w:p>
    <w:p>
      <w:pPr>
        <w:spacing w:after="160" w:before="80"/>
      </w:pPr>
      <w:r>
        <w:rPr>
          <w:rFonts w:ascii="Times New Roman" w:cs="Times New Roman" w:eastAsia="Times New Roman" w:hAnsi="Times New Roman"/>
          <w:i/>
          <w:iCs/>
          <w:color w:val="2E75B6"/>
          <w:sz w:val="20"/>
          <w:szCs w:val="20"/>
        </w:rPr>
        <w:t xml:space="preserve">▶ King Street analysis: HUF_TTC_CaseStudy_v1.0.docx</w:t>
      </w:r>
    </w:p>
    <w:p>
      <w:pPr>
        <w:spacing w:after="160" w:before="80"/>
      </w:pPr>
      <w:r>
        <w:rPr>
          <w:rFonts w:ascii="Times New Roman" w:cs="Times New Roman" w:eastAsia="Times New Roman" w:hAnsi="Times New Roman"/>
          <w:i/>
          <w:iCs/>
          <w:color w:val="2E75B6"/>
          <w:sz w:val="20"/>
          <w:szCs w:val="20"/>
        </w:rPr>
        <w:t xml:space="preserve">▶ Three-domain evidence: Vol 2, Case Studies</w:t>
      </w:r>
    </w:p>
    <w:p>
      <w:r>
        <w:br w:type="page"/>
      </w:r>
    </w:p>
    <w:p>
      <w:pPr>
        <w:pStyle w:val="Heading1"/>
        <w:spacing w:after="200" w:before="360"/>
      </w:pPr>
      <w:r>
        <w:rPr>
          <w:rFonts w:ascii="Times New Roman" w:cs="Times New Roman" w:eastAsia="Times New Roman" w:hAnsi="Times New Roman"/>
          <w:b/>
          <w:bCs/>
          <w:color w:val="1F3864"/>
          <w:sz w:val="28"/>
          <w:szCs w:val="28"/>
        </w:rPr>
        <w:t xml:space="preserve">8. Discussion</w:t>
      </w:r>
    </w:p>
    <w:p>
      <w:pPr>
        <w:pStyle w:val="Heading2"/>
        <w:spacing w:after="160" w:before="280"/>
      </w:pPr>
      <w:r>
        <w:rPr>
          <w:rFonts w:ascii="Times New Roman" w:cs="Times New Roman" w:eastAsia="Times New Roman" w:hAnsi="Times New Roman"/>
          <w:b/>
          <w:bCs/>
          <w:color w:val="1F3864"/>
          <w:sz w:val="24"/>
          <w:szCs w:val="24"/>
        </w:rPr>
        <w:t xml:space="preserve">8.1 The Sufficiency Frontier as a Boundary</w:t>
      </w:r>
    </w:p>
    <w:p>
      <w:pPr>
        <w:spacing w:after="180" w:line="276"/>
      </w:pPr>
      <w:r>
        <w:rPr>
          <w:rFonts w:ascii="Times New Roman" w:cs="Times New Roman" w:eastAsia="Times New Roman" w:hAnsi="Times New Roman"/>
          <w:color w:val="333333"/>
          <w:sz w:val="22"/>
          <w:szCs w:val="22"/>
        </w:rPr>
        <w:t xml:space="preserve">The sufficiency frontier is not a single ratio but a boundary in the space of (reduction ratio, inferential preservation). Below it, methods trade fidelity for compression. Above it, methods extract exactly the statistics needed for a specified inference. The boundary’s location depends on the inference: a governance analyst needs portfolio shares; a physicist needs thermodynamic variables; a genomicist needs variant calls. Each defines a different sufficiency frontier for the same data.</w:t>
      </w:r>
    </w:p>
    <w:p>
      <w:pPr>
        <w:pStyle w:val="Heading2"/>
        <w:spacing w:after="160" w:before="280"/>
      </w:pPr>
      <w:r>
        <w:rPr>
          <w:rFonts w:ascii="Times New Roman" w:cs="Times New Roman" w:eastAsia="Times New Roman" w:hAnsi="Times New Roman"/>
          <w:b/>
          <w:bCs/>
          <w:color w:val="1F3864"/>
          <w:sz w:val="24"/>
          <w:szCs w:val="24"/>
        </w:rPr>
        <w:t xml:space="preserve">8.2 Limitations</w:t>
      </w:r>
    </w:p>
    <w:p>
      <w:pPr>
        <w:spacing w:after="180" w:line="276"/>
      </w:pPr>
      <w:r>
        <w:rPr>
          <w:rFonts w:ascii="Times New Roman" w:cs="Times New Roman" w:eastAsia="Times New Roman" w:hAnsi="Times New Roman"/>
          <w:color w:val="333333"/>
          <w:sz w:val="22"/>
          <w:szCs w:val="22"/>
        </w:rPr>
        <w:t xml:space="preserve">Several limitations should be noted. First, the 6,357,738:1 ratio is specific to the current corpus; a different collection of systems would yield a different ratio, though the qualitative Level 4 classification would remain. Second, the sufficiency claim is relative to portfolio governance inference; information relevant to other inferences (e.g., individual record retrieval) is genuinely lost. Third, the domain-agnostic claim requires that the system be expressible as proportional allocation of a fixed total—a condition that, while broad, is not universal.</w:t>
      </w:r>
    </w:p>
    <w:p>
      <w:pPr>
        <w:spacing w:after="180" w:line="276"/>
      </w:pPr>
      <w:r>
        <w:rPr>
          <w:rFonts w:ascii="Times New Roman" w:cs="Times New Roman" w:eastAsia="Times New Roman" w:hAnsi="Times New Roman"/>
          <w:color w:val="333333"/>
          <w:sz w:val="22"/>
          <w:szCs w:val="22"/>
        </w:rPr>
        <w:t xml:space="preserve">Fourth, the comparison to Boltzmann is structural, not quantitative. Boltzmann’s reduction is grounded in the ergodic hypothesis and the second law of thermodynamics; HUF’s reduction is grounded in the unity constraint on the probability simplex. The two reductions are analogous in their structure (massive irreversible collapse preserving sufficient statistics) but operate on different foundational invariants.</w:t>
      </w:r>
    </w:p>
    <w:p>
      <w:pPr>
        <w:pStyle w:val="Heading2"/>
        <w:spacing w:after="160" w:before="280"/>
      </w:pPr>
      <w:r>
        <w:rPr>
          <w:rFonts w:ascii="Times New Roman" w:cs="Times New Roman" w:eastAsia="Times New Roman" w:hAnsi="Times New Roman"/>
          <w:b/>
          <w:bCs/>
          <w:color w:val="1F3864"/>
          <w:sz w:val="24"/>
          <w:szCs w:val="24"/>
        </w:rPr>
        <w:t xml:space="preserve">8.3 Relationship to Companion Work</w:t>
      </w:r>
    </w:p>
    <w:p>
      <w:pPr>
        <w:spacing w:after="180" w:line="276"/>
      </w:pPr>
      <w:r>
        <w:rPr>
          <w:rFonts w:ascii="Times New Roman" w:cs="Times New Roman" w:eastAsia="Times New Roman" w:hAnsi="Times New Roman"/>
          <w:color w:val="333333"/>
          <w:sz w:val="22"/>
          <w:szCs w:val="22"/>
        </w:rPr>
        <w:t xml:space="preserve">This paper (Pillar 1) addresses WHAT HUF extracts. The companion paper (Pillar 2: The Fourth Monitoring Category) addresses HOW HUF observes governance states using the extracted statistics. The nine governance volumes (Vol 0–8) address the operational implementation. Together, the three structures form the HUF Triad, in which each component depends on and strengthens the other two.</w:t>
      </w:r>
    </w:p>
    <w:p>
      <w:pPr>
        <w:spacing w:after="160" w:before="80"/>
      </w:pPr>
      <w:r>
        <w:rPr>
          <w:rFonts w:ascii="Times New Roman" w:cs="Times New Roman" w:eastAsia="Times New Roman" w:hAnsi="Times New Roman"/>
          <w:i/>
          <w:iCs/>
          <w:color w:val="2E75B6"/>
          <w:sz w:val="20"/>
          <w:szCs w:val="20"/>
        </w:rPr>
        <w:t xml:space="preserve">▶ Companion paper: Pillar 2, The Fourth Monitoring Category</w:t>
      </w:r>
    </w:p>
    <w:p>
      <w:pPr>
        <w:spacing w:after="160" w:before="80"/>
      </w:pPr>
      <w:r>
        <w:rPr>
          <w:rFonts w:ascii="Times New Roman" w:cs="Times New Roman" w:eastAsia="Times New Roman" w:hAnsi="Times New Roman"/>
          <w:i/>
          <w:iCs/>
          <w:color w:val="2E75B6"/>
          <w:sz w:val="20"/>
          <w:szCs w:val="20"/>
        </w:rPr>
        <w:t xml:space="preserve">▶ Triad overview: Vol 8, The Triad Synthesis</w:t>
      </w:r>
    </w:p>
    <w:p>
      <w:r>
        <w:br w:type="page"/>
      </w:r>
    </w:p>
    <w:p>
      <w:pPr>
        <w:pStyle w:val="Heading1"/>
        <w:spacing w:after="200" w:before="360"/>
      </w:pPr>
      <w:r>
        <w:rPr>
          <w:rFonts w:ascii="Times New Roman" w:cs="Times New Roman" w:eastAsia="Times New Roman" w:hAnsi="Times New Roman"/>
          <w:b/>
          <w:bCs/>
          <w:color w:val="1F3864"/>
          <w:sz w:val="28"/>
          <w:szCs w:val="28"/>
        </w:rPr>
        <w:t xml:space="preserve">9. The Sufficiency Frontier in Everyday Experience: The Car Analogy</w:t>
      </w:r>
    </w:p>
    <w:p>
      <w:pPr>
        <w:spacing w:after="180" w:line="276"/>
      </w:pPr>
      <w:r>
        <w:rPr>
          <w:rFonts w:ascii="Times New Roman" w:cs="Times New Roman" w:eastAsia="Times New Roman" w:hAnsi="Times New Roman"/>
          <w:color w:val="333333"/>
          <w:sz w:val="22"/>
          <w:szCs w:val="22"/>
        </w:rPr>
        <w:t xml:space="preserve">The sufficiency frontier is an abstract concept that governs the behavior of all finite-budget systems. The following everyday analogy provides intuition for how the frontier operates and why the ratio tells a story that absolute numbers cannot.</w:t>
      </w:r>
    </w:p>
    <w:p>
      <w:pPr>
        <w:pStyle w:val="Heading2"/>
        <w:spacing w:after="160" w:before="280"/>
      </w:pPr>
      <w:r>
        <w:rPr>
          <w:rFonts w:ascii="Times New Roman" w:cs="Times New Roman" w:eastAsia="Times New Roman" w:hAnsi="Times New Roman"/>
          <w:b/>
          <w:bCs/>
          <w:color w:val="1F3864"/>
          <w:sz w:val="24"/>
          <w:szCs w:val="24"/>
        </w:rPr>
        <w:t xml:space="preserve">9.1 The Initial Condition: A Full Tank</w:t>
      </w:r>
    </w:p>
    <w:p>
      <w:pPr>
        <w:spacing w:after="180" w:line="276"/>
      </w:pPr>
      <w:r>
        <w:rPr>
          <w:rFonts w:ascii="Times New Roman" w:cs="Times New Roman" w:eastAsia="Times New Roman" w:hAnsi="Times New Roman"/>
          <w:color w:val="333333"/>
          <w:sz w:val="22"/>
          <w:szCs w:val="22"/>
        </w:rPr>
        <w:t xml:space="preserve">You get in your car. The tank is full. The budget is 1.0—the complete total available to the system. In a typical arrangement, the driver is an active agent (like the fuel, a physical substance, but unlike fuel, the driver exercises volitional control). At the start of the journey, suppose the system state is 51% driver presence and 49% fuel. Both are present, both are necessary, and their ratio defines the initial system state: ρ = (0.51, 0.49). The unity constraint is satisfied: 0.51 + 0.49 = 1.0.</w:t>
      </w:r>
    </w:p>
    <w:p>
      <w:pPr>
        <w:pStyle w:val="Heading2"/>
        <w:spacing w:after="160" w:before="280"/>
      </w:pPr>
      <w:r>
        <w:rPr>
          <w:rFonts w:ascii="Times New Roman" w:cs="Times New Roman" w:eastAsia="Times New Roman" w:hAnsi="Times New Roman"/>
          <w:b/>
          <w:bCs/>
          <w:color w:val="1F3864"/>
          <w:sz w:val="24"/>
          <w:szCs w:val="24"/>
        </w:rPr>
        <w:t xml:space="preserve">9.2 The Ratio Signal During the Journey</w:t>
      </w:r>
    </w:p>
    <w:p>
      <w:pPr>
        <w:spacing w:after="180" w:line="276"/>
      </w:pPr>
      <w:r>
        <w:rPr>
          <w:rFonts w:ascii="Times New Roman" w:cs="Times New Roman" w:eastAsia="Times New Roman" w:hAnsi="Times New Roman"/>
          <w:color w:val="333333"/>
          <w:sz w:val="22"/>
          <w:szCs w:val="22"/>
        </w:rPr>
        <w:t xml:space="preserve">As you drive, the fuel diminishes. At the same time, the driver’s role (attention, focus, active engagement) may intensify or diminish depending on conditions. What matters for understanding system health is not the absolute amount of fuel remaining, but the ratio of driver to fuel. As the tank empties, the ratio shifts: 51/49 → 55/45 → 70/30 → 90/10. Each point in this sequence represents a different system state, and each state lies on the probability simplex S² (a 1-dimensional simplex, since K = 2 components always sum to 1.0).</w:t>
      </w:r>
    </w:p>
    <w:p>
      <w:pPr>
        <w:spacing w:after="180" w:line="276"/>
      </w:pPr>
      <w:r>
        <w:rPr>
          <w:rFonts w:ascii="Times New Roman" w:cs="Times New Roman" w:eastAsia="Times New Roman" w:hAnsi="Times New Roman"/>
          <w:color w:val="333333"/>
          <w:sz w:val="22"/>
          <w:szCs w:val="22"/>
        </w:rPr>
        <w:t xml:space="preserve">The ratio is the signal. Absolute fuel volume is not. This is the key insight of the sufficiency frontier: you do not need to know how many gallons remain. You need to know the proportion of the budget allocated to each element. That proportion tells you whether the system can sustain its intended function.</w:t>
      </w:r>
    </w:p>
    <w:p>
      <w:pPr>
        <w:pStyle w:val="Heading2"/>
        <w:spacing w:after="160" w:before="280"/>
      </w:pPr>
      <w:r>
        <w:rPr>
          <w:rFonts w:ascii="Times New Roman" w:cs="Times New Roman" w:eastAsia="Times New Roman" w:hAnsi="Times New Roman"/>
          <w:b/>
          <w:bCs/>
          <w:color w:val="1F3864"/>
          <w:sz w:val="24"/>
          <w:szCs w:val="24"/>
        </w:rPr>
        <w:t xml:space="preserve">9.3 The Sufficiency Frontier: The Critical Threshold</w:t>
      </w:r>
    </w:p>
    <w:p>
      <w:pPr>
        <w:spacing w:after="180" w:line="276"/>
      </w:pPr>
      <w:r>
        <w:rPr>
          <w:rFonts w:ascii="Times New Roman" w:cs="Times New Roman" w:eastAsia="Times New Roman" w:hAnsi="Times New Roman"/>
          <w:color w:val="333333"/>
          <w:sz w:val="22"/>
          <w:szCs w:val="22"/>
        </w:rPr>
        <w:t xml:space="preserve">As you continue driving, at some point the ratio reaches a critical threshold. The sufficiency frontier for this particular journey—given road conditions, speed, engine efficiency, and destination—is the fuel level below which the driver/fuel system can no longer sustain forward progress. It is not zero. It is the threshold where the ratio becomes unsustainable. Below the frontier, the system cannot complete its mission. Above the frontier, the system retains sufficient agency and resource to adapt and continue.</w:t>
      </w:r>
    </w:p>
    <w:p>
      <w:pPr>
        <w:spacing w:after="180" w:line="276"/>
      </w:pPr>
      <w:r>
        <w:rPr>
          <w:rFonts w:ascii="Times New Roman" w:cs="Times New Roman" w:eastAsia="Times New Roman" w:hAnsi="Times New Roman"/>
          <w:color w:val="333333"/>
          <w:sz w:val="22"/>
          <w:szCs w:val="22"/>
        </w:rPr>
        <w:t xml:space="preserve">For example, if your destination is 200 kilometers away and current efficiency is 10 kilometers per liter, the frontier might occur at roughly 20 liters of fuel remaining (the system minimum to reach the destination). Once fuel drops below that level relative to the distance remaining, the system has crossed the frontier. The driver still exists, but the system state has become untenable.</w:t>
      </w:r>
    </w:p>
    <w:p>
      <w:pPr>
        <w:pStyle w:val="Heading2"/>
        <w:spacing w:after="160" w:before="280"/>
      </w:pPr>
      <w:r>
        <w:rPr>
          <w:rFonts w:ascii="Times New Roman" w:cs="Times New Roman" w:eastAsia="Times New Roman" w:hAnsi="Times New Roman"/>
          <w:b/>
          <w:bCs/>
          <w:color w:val="1F3864"/>
          <w:sz w:val="24"/>
          <w:szCs w:val="24"/>
        </w:rPr>
        <w:t xml:space="preserve">9.4 Collapse Below the Frontier: Unity Exhausted, Not Violated</w:t>
      </w:r>
    </w:p>
    <w:p>
      <w:pPr>
        <w:spacing w:after="180" w:line="276"/>
      </w:pPr>
      <w:r>
        <w:rPr>
          <w:rFonts w:ascii="Times New Roman" w:cs="Times New Roman" w:eastAsia="Times New Roman" w:hAnsi="Times New Roman"/>
          <w:color w:val="333333"/>
          <w:sz w:val="22"/>
          <w:szCs w:val="22"/>
        </w:rPr>
        <w:t xml:space="preserve">What happens when fuel hits zero? The driver still exists as an entity. The unity constraint Σρᵢ = 1 still holds mathematically. But the system has collapsed to ground state: ρ = (1.0, 0.0). The driver remains, but the driver/fuel system as a functional unit has ceased. The car does not move. Unity is exhausted, not violated. The budget is completely allocated to one element, leaving no proportion for the other.</w:t>
      </w:r>
    </w:p>
    <w:p>
      <w:pPr>
        <w:pStyle w:val="Heading2"/>
        <w:spacing w:after="160" w:before="280"/>
      </w:pPr>
      <w:r>
        <w:rPr>
          <w:rFonts w:ascii="Times New Roman" w:cs="Times New Roman" w:eastAsia="Times New Roman" w:hAnsi="Times New Roman"/>
          <w:b/>
          <w:bCs/>
          <w:color w:val="1F3864"/>
          <w:sz w:val="24"/>
          <w:szCs w:val="24"/>
        </w:rPr>
        <w:t xml:space="preserve">9.5 The Absolute vs. Relative Paradox</w:t>
      </w:r>
    </w:p>
    <w:p>
      <w:pPr>
        <w:spacing w:after="180" w:line="276"/>
      </w:pPr>
      <w:r>
        <w:rPr>
          <w:rFonts w:ascii="Times New Roman" w:cs="Times New Roman" w:eastAsia="Times New Roman" w:hAnsi="Times New Roman"/>
          <w:color w:val="333333"/>
          <w:sz w:val="22"/>
          <w:szCs w:val="22"/>
        </w:rPr>
        <w:t xml:space="preserve">Here is the critical insight that the analogy reveals: Two scenarios can contain the same absolute amount of fuel but represent completely different system states:</w:t>
      </w:r>
    </w:p>
    <w:p>
      <w:pPr>
        <w:spacing w:after="180" w:line="276"/>
      </w:pPr>
      <w:r>
        <w:rPr>
          <w:rFonts w:ascii="Times New Roman" w:cs="Times New Roman" w:eastAsia="Times New Roman" w:hAnsi="Times New Roman"/>
          <w:b/>
          <w:bCs/>
          <w:color w:val="333333"/>
          <w:sz w:val="22"/>
          <w:szCs w:val="22"/>
        </w:rPr>
        <w:t xml:space="preserve">Scenario A: </w:t>
      </w:r>
      <w:r>
        <w:rPr>
          <w:rFonts w:ascii="Times New Roman" w:cs="Times New Roman" w:eastAsia="Times New Roman" w:hAnsi="Times New Roman"/>
          <w:color w:val="333333"/>
          <w:sz w:val="22"/>
          <w:szCs w:val="22"/>
        </w:rPr>
        <w:t xml:space="preserve">2 gallons of fuel in a 4-gallon tank. Ratio: 50/50 (driver and fuel are co-equal). System state: (0.5, 0.5).</w:t>
      </w:r>
    </w:p>
    <w:p>
      <w:pPr>
        <w:spacing w:after="180" w:line="276"/>
      </w:pPr>
      <w:r>
        <w:rPr>
          <w:rFonts w:ascii="Times New Roman" w:cs="Times New Roman" w:eastAsia="Times New Roman" w:hAnsi="Times New Roman"/>
          <w:b/>
          <w:bCs/>
          <w:color w:val="333333"/>
          <w:sz w:val="22"/>
          <w:szCs w:val="22"/>
        </w:rPr>
        <w:t xml:space="preserve">Scenario B: </w:t>
      </w:r>
      <w:r>
        <w:rPr>
          <w:rFonts w:ascii="Times New Roman" w:cs="Times New Roman" w:eastAsia="Times New Roman" w:hAnsi="Times New Roman"/>
          <w:color w:val="333333"/>
          <w:sz w:val="22"/>
          <w:szCs w:val="22"/>
        </w:rPr>
        <w:t xml:space="preserve">2 gallons of fuel in a 40-gallon tank. Ratio: 95/5 (driver dominates, fuel is nearly exhausted). System state: (0.95, 0.05).</w:t>
      </w:r>
    </w:p>
    <w:p>
      <w:pPr>
        <w:spacing w:after="180" w:line="276"/>
      </w:pPr>
      <w:r>
        <w:rPr>
          <w:rFonts w:ascii="Times New Roman" w:cs="Times New Roman" w:eastAsia="Times New Roman" w:hAnsi="Times New Roman"/>
          <w:color w:val="333333"/>
          <w:sz w:val="22"/>
          <w:szCs w:val="22"/>
        </w:rPr>
        <w:t xml:space="preserve">The absolute fuel quantity is identical in both cases: 2 gallons. But the system state is radically different. In Scenario A, the system is balanced and healthy. In Scenario B, the system is near critical collapse. The ratio tells the truth; the absolute number hides it. This is why the sufficiency frontier is defined in terms of ratio, not absolute magnitude.</w:t>
      </w:r>
    </w:p>
    <w:p>
      <w:pPr>
        <w:pStyle w:val="Heading2"/>
        <w:spacing w:after="160" w:before="280"/>
      </w:pPr>
      <w:r>
        <w:rPr>
          <w:rFonts w:ascii="Times New Roman" w:cs="Times New Roman" w:eastAsia="Times New Roman" w:hAnsi="Times New Roman"/>
          <w:b/>
          <w:bCs/>
          <w:color w:val="1F3864"/>
          <w:sz w:val="24"/>
          <w:szCs w:val="24"/>
        </w:rPr>
        <w:t xml:space="preserve">9.6 Mapping Back to HUF and the Probability Simplex</w:t>
      </w:r>
    </w:p>
    <w:p>
      <w:pPr>
        <w:spacing w:after="180" w:line="276"/>
      </w:pPr>
      <w:r>
        <w:rPr>
          <w:rFonts w:ascii="Times New Roman" w:cs="Times New Roman" w:eastAsia="Times New Roman" w:hAnsi="Times New Roman"/>
          <w:color w:val="333333"/>
          <w:sz w:val="22"/>
          <w:szCs w:val="22"/>
        </w:rPr>
        <w:t xml:space="preserve">Every HUF ratio portfolio has a boundary below which the ratio becomes unsustainable for its intended function. That boundary is the sufficiency frontier. For a given system operating in a given context, the frontier defines the set of ratio states that are adequate for governance.</w:t>
      </w:r>
    </w:p>
    <w:p>
      <w:pPr>
        <w:spacing w:after="180" w:line="276"/>
      </w:pPr>
      <w:r>
        <w:rPr>
          <w:rFonts w:ascii="Times New Roman" w:cs="Times New Roman" w:eastAsia="Times New Roman" w:hAnsi="Times New Roman"/>
          <w:color w:val="333333"/>
          <w:sz w:val="22"/>
          <w:szCs w:val="22"/>
        </w:rPr>
        <w:t xml:space="preserve">Consider the Planck HFI frequency portfolio. The six channels span 100–857 GHz. Each channel contributes a share of the total information budget. As the cryogenic cooling degrades, the allocation of signal power across channels shifts (analogous to fuel disappearing while the driver remains). The sufficiency frontier for Planck’s HFI is the boundary where the six-channel ratio becomes incapable of supporting astrophysical observation. The Pettitt test detected this frontier at OD 975 by observing a discontinuity in the time series of MDG, which tracks deviations in the ratio state from its nominal baseline.</w:t>
      </w:r>
    </w:p>
    <w:p>
      <w:pPr>
        <w:spacing w:after="180" w:line="276"/>
      </w:pPr>
      <w:r>
        <w:rPr>
          <w:rFonts w:ascii="Times New Roman" w:cs="Times New Roman" w:eastAsia="Times New Roman" w:hAnsi="Times New Roman"/>
          <w:color w:val="333333"/>
          <w:sz w:val="22"/>
          <w:szCs w:val="22"/>
        </w:rPr>
        <w:t xml:space="preserve">The car never “reaches” the Planck frontier because the analogy breaks at different scales and constraints. But the structural principle is identical: a ratio-based boundary exists, below which the system degrades from functional to non-functional, and this boundary encodes critical information that absolute measurements obscure.</w:t>
      </w:r>
    </w:p>
    <w:p>
      <w:r>
        <w:br w:type="page"/>
      </w:r>
    </w:p>
    <w:p>
      <w:pPr>
        <w:pStyle w:val="Heading1"/>
        <w:spacing w:after="200" w:before="360"/>
      </w:pPr>
      <w:r>
        <w:rPr>
          <w:rFonts w:ascii="Times New Roman" w:cs="Times New Roman" w:eastAsia="Times New Roman" w:hAnsi="Times New Roman"/>
          <w:b/>
          <w:bCs/>
          <w:color w:val="1F3864"/>
          <w:sz w:val="28"/>
          <w:szCs w:val="28"/>
        </w:rPr>
        <w:t xml:space="preserve">10. Conclusion</w:t>
      </w:r>
    </w:p>
    <w:p>
      <w:pPr>
        <w:spacing w:after="180" w:line="276"/>
      </w:pPr>
      <w:r>
        <w:rPr>
          <w:rFonts w:ascii="Times New Roman" w:cs="Times New Roman" w:eastAsia="Times New Roman" w:hAnsi="Times New Roman"/>
          <w:color w:val="333333"/>
          <w:sz w:val="22"/>
          <w:szCs w:val="22"/>
        </w:rPr>
        <w:t xml:space="preserve">The sufficiency frontier marks a qualitative boundary in information reduction. Below it, data is compressed or filtered. Above it, data is reduced to exactly the statistics required for a specified inference. The HUF PreParser operates above this boundary at 6,357,738:1, extracting portfolio governance statistics from heterogeneous data across 10 domains without domain-specific calibration.</w:t>
      </w:r>
    </w:p>
    <w:p>
      <w:pPr>
        <w:spacing w:after="180" w:line="276"/>
      </w:pPr>
      <w:r>
        <w:rPr>
          <w:rFonts w:ascii="Times New Roman" w:cs="Times New Roman" w:eastAsia="Times New Roman" w:hAnsi="Times New Roman"/>
          <w:color w:val="333333"/>
          <w:sz w:val="22"/>
          <w:szCs w:val="22"/>
        </w:rPr>
        <w:t xml:space="preserve">The theoretical basis is the unity constraint: any system where shares sum to one lives on the probability simplex, and the simplex coordinates are sufficient for governance inference. The empirical basis is a 10-domain corpus spanning mechanical, biological, ecological, digital, astrophysical, acoustic, and institutional systems. The external validation—a Pettitt changepoint matching the exact operational day of ESA Planck’s He-4 exhaustion—provides evidence that the extracted statistics carry genuine physical information.</w:t>
      </w:r>
    </w:p>
    <w:p>
      <w:pPr>
        <w:spacing w:after="180" w:line="276"/>
      </w:pPr>
      <w:r>
        <w:rPr>
          <w:rFonts w:ascii="Times New Roman" w:cs="Times New Roman" w:eastAsia="Times New Roman" w:hAnsi="Times New Roman"/>
          <w:color w:val="333333"/>
          <w:sz w:val="22"/>
          <w:szCs w:val="22"/>
        </w:rPr>
        <w:t xml:space="preserve">The sufficiency frontier is not a property of HUF; it is a property of the inference task. HUF demonstrates that the frontier exists and can be reached without domain-specific knowledge, provided the structural invariant (Σρᵢ = 1) holds. The car/fuel analogy illustrates that the frontier is an everyday reality obscured by our habit of thinking in absolute numbers rather than ratios. In any system where budget is conserved and allocation is proportional, the frontier exists, and the ratio reveals it.</w:t>
      </w:r>
    </w:p>
    <w:p>
      <w:r>
        <w:br w:type="page"/>
      </w:r>
    </w:p>
    <w:p>
      <w:pPr>
        <w:pStyle w:val="Heading1"/>
        <w:spacing w:after="200" w:before="360"/>
      </w:pPr>
      <w:r>
        <w:rPr>
          <w:rFonts w:ascii="Times New Roman" w:cs="Times New Roman" w:eastAsia="Times New Roman" w:hAnsi="Times New Roman"/>
          <w:b/>
          <w:bCs/>
          <w:color w:val="1F3864"/>
          <w:sz w:val="28"/>
          <w:szCs w:val="28"/>
        </w:rPr>
        <w:t xml:space="preserve">References</w:t>
      </w:r>
    </w:p>
    <w:p>
      <w:pPr>
        <w:spacing w:after="180" w:line="276"/>
      </w:pPr>
      <w:r>
        <w:rPr>
          <w:rFonts w:ascii="Times New Roman" w:cs="Times New Roman" w:eastAsia="Times New Roman" w:hAnsi="Times New Roman"/>
          <w:color w:val="333333"/>
          <w:sz w:val="22"/>
          <w:szCs w:val="22"/>
        </w:rPr>
        <w:t xml:space="preserve">[1] C.E. Shannon, "A mathematical theory of communication," Bell Syst. Tech. J., vol. 27, pp. 379–423, 1948.</w:t>
      </w:r>
    </w:p>
    <w:p>
      <w:pPr>
        <w:spacing w:after="180" w:line="276"/>
      </w:pPr>
      <w:r>
        <w:rPr>
          <w:rFonts w:ascii="Times New Roman" w:cs="Times New Roman" w:eastAsia="Times New Roman" w:hAnsi="Times New Roman"/>
          <w:color w:val="333333"/>
          <w:sz w:val="22"/>
          <w:szCs w:val="22"/>
        </w:rPr>
        <w:t xml:space="preserve">[2] R.A. Fisher, "On the mathematical foundations of theoretical statistics," Phil. Trans. R. Soc. A, vol. 222, pp. 309–368, 1922.</w:t>
      </w:r>
    </w:p>
    <w:p>
      <w:pPr>
        <w:spacing w:after="180" w:line="276"/>
      </w:pPr>
      <w:r>
        <w:rPr>
          <w:rFonts w:ascii="Times New Roman" w:cs="Times New Roman" w:eastAsia="Times New Roman" w:hAnsi="Times New Roman"/>
          <w:color w:val="333333"/>
          <w:sz w:val="22"/>
          <w:szCs w:val="22"/>
        </w:rPr>
        <w:t xml:space="preserve">[3] J. Aitchison, "The statistical analysis of compositional data," J. R. Stat. Soc. B, vol. 44, pp. 139–177, 1982.</w:t>
      </w:r>
    </w:p>
    <w:p>
      <w:pPr>
        <w:spacing w:after="180" w:line="276"/>
      </w:pPr>
      <w:r>
        <w:rPr>
          <w:rFonts w:ascii="Times New Roman" w:cs="Times New Roman" w:eastAsia="Times New Roman" w:hAnsi="Times New Roman"/>
          <w:color w:val="333333"/>
          <w:sz w:val="22"/>
          <w:szCs w:val="22"/>
        </w:rPr>
        <w:t xml:space="preserve">[4] L. Boltzmann, "Weitere Studien über das Wärmegleichgewicht unter Gasmolekülen," Sitzungsberichte Akad. Wiss. Wien, vol. 66, pp. 275–370, 1872.</w:t>
      </w:r>
    </w:p>
    <w:p>
      <w:pPr>
        <w:spacing w:after="180" w:line="276"/>
      </w:pPr>
      <w:r>
        <w:rPr>
          <w:rFonts w:ascii="Times New Roman" w:cs="Times New Roman" w:eastAsia="Times New Roman" w:hAnsi="Times New Roman"/>
          <w:color w:val="333333"/>
          <w:sz w:val="22"/>
          <w:szCs w:val="22"/>
        </w:rPr>
        <w:t xml:space="preserve">[5] E.J.G. Pitman, "Sufficient statistics and intrinsic accuracy," Proc. Cambridge Phil. Soc., vol. 32, pp. 567–579, 1936.</w:t>
      </w:r>
    </w:p>
    <w:p>
      <w:pPr>
        <w:spacing w:after="180" w:line="276"/>
      </w:pPr>
      <w:r>
        <w:rPr>
          <w:rFonts w:ascii="Times New Roman" w:cs="Times New Roman" w:eastAsia="Times New Roman" w:hAnsi="Times New Roman"/>
          <w:color w:val="333333"/>
          <w:sz w:val="22"/>
          <w:szCs w:val="22"/>
        </w:rPr>
        <w:t xml:space="preserve">[6] B.O. Koopman, "On distributions admitting a sufficient statistic," Trans. Amer. Math. Soc., vol. 39, pp. 399–409, 1936.</w:t>
      </w:r>
    </w:p>
    <w:p>
      <w:pPr>
        <w:spacing w:after="180" w:line="276"/>
      </w:pPr>
      <w:r>
        <w:rPr>
          <w:rFonts w:ascii="Times New Roman" w:cs="Times New Roman" w:eastAsia="Times New Roman" w:hAnsi="Times New Roman"/>
          <w:color w:val="333333"/>
          <w:sz w:val="22"/>
          <w:szCs w:val="22"/>
        </w:rPr>
        <w:t xml:space="preserve">[7] J. Ziv and A. Lempel, "A universal algorithm for sequential data compression," IEEE Trans. Inf. Theory, vol. 23, pp. 337–343, 1977.</w:t>
      </w:r>
    </w:p>
    <w:p>
      <w:pPr>
        <w:spacing w:after="180" w:line="276"/>
      </w:pPr>
      <w:r>
        <w:rPr>
          <w:rFonts w:ascii="Times New Roman" w:cs="Times New Roman" w:eastAsia="Times New Roman" w:hAnsi="Times New Roman"/>
          <w:color w:val="333333"/>
          <w:sz w:val="22"/>
          <w:szCs w:val="22"/>
        </w:rPr>
        <w:t xml:space="preserve">[8] G.K. Wallace, "The JPEG still picture compression standard," IEEE Trans. Consum. Electron., vol. 38, pp. 18–34, 1992.</w:t>
      </w:r>
    </w:p>
    <w:p>
      <w:pPr>
        <w:spacing w:after="180" w:line="276"/>
      </w:pPr>
      <w:r>
        <w:rPr>
          <w:rFonts w:ascii="Times New Roman" w:cs="Times New Roman" w:eastAsia="Times New Roman" w:hAnsi="Times New Roman"/>
          <w:color w:val="333333"/>
          <w:sz w:val="22"/>
          <w:szCs w:val="22"/>
        </w:rPr>
        <w:t xml:space="preserve">[9] K. Brandenburg, "MP3 and AAC explained," in Proc. AES 17th Int. Conf., 1999.</w:t>
      </w:r>
    </w:p>
    <w:p>
      <w:pPr>
        <w:spacing w:after="180" w:line="276"/>
      </w:pPr>
      <w:r>
        <w:rPr>
          <w:rFonts w:ascii="Times New Roman" w:cs="Times New Roman" w:eastAsia="Times New Roman" w:hAnsi="Times New Roman"/>
          <w:color w:val="333333"/>
          <w:sz w:val="22"/>
          <w:szCs w:val="22"/>
        </w:rPr>
        <w:t xml:space="preserve">[10] G.J. Sullivan et al., "Overview of HEVC," IEEE Trans. Circuits Syst. Video Technol., vol. 22, pp. 1649–1668, 2012.</w:t>
      </w:r>
    </w:p>
    <w:p>
      <w:pPr>
        <w:spacing w:after="180" w:line="276"/>
      </w:pPr>
      <w:r>
        <w:rPr>
          <w:rFonts w:ascii="Times New Roman" w:cs="Times New Roman" w:eastAsia="Times New Roman" w:hAnsi="Times New Roman"/>
          <w:color w:val="333333"/>
          <w:sz w:val="22"/>
          <w:szCs w:val="22"/>
        </w:rPr>
        <w:t xml:space="preserve">[11] R.E. Kalman, "A new approach to linear filtering and prediction problems," J. Basic Eng., vol. 82, pp. 35–45, 1960.</w:t>
      </w:r>
    </w:p>
    <w:p>
      <w:pPr>
        <w:spacing w:after="180" w:line="276"/>
      </w:pPr>
      <w:r>
        <w:rPr>
          <w:rFonts w:ascii="Times New Roman" w:cs="Times New Roman" w:eastAsia="Times New Roman" w:hAnsi="Times New Roman"/>
          <w:color w:val="333333"/>
          <w:sz w:val="22"/>
          <w:szCs w:val="22"/>
        </w:rPr>
        <w:t xml:space="preserve">[12] E. Ostrom, Governing the Commons. Cambridge University Press, 1990.</w:t>
      </w:r>
    </w:p>
    <w:p>
      <w:pPr>
        <w:spacing w:after="180" w:line="276"/>
      </w:pPr>
      <w:r>
        <w:rPr>
          <w:rFonts w:ascii="Times New Roman" w:cs="Times New Roman" w:eastAsia="Times New Roman" w:hAnsi="Times New Roman"/>
          <w:color w:val="333333"/>
          <w:sz w:val="22"/>
          <w:szCs w:val="22"/>
        </w:rPr>
        <w:t xml:space="preserve">[13] Planck Collaboration, "Planck 2013 results. I. Overview," Astron. Astrophys., vol. 571, A1, 2014.</w:t>
      </w:r>
    </w:p>
    <w:p>
      <w:pPr>
        <w:spacing w:after="180" w:line="276"/>
      </w:pPr>
      <w:r>
        <w:rPr>
          <w:rFonts w:ascii="Times New Roman" w:cs="Times New Roman" w:eastAsia="Times New Roman" w:hAnsi="Times New Roman"/>
          <w:color w:val="333333"/>
          <w:sz w:val="22"/>
          <w:szCs w:val="22"/>
        </w:rPr>
        <w:t xml:space="preserve">[14] A.N. Pettitt, "A non-parametric approach to the change-point problem," Appl. Stat., vol. 28, pp. 126–135, 1979.</w:t>
      </w:r>
    </w:p>
    <w:p>
      <w:pPr>
        <w:spacing w:after="180" w:line="276"/>
      </w:pPr>
      <w:r>
        <w:rPr>
          <w:rFonts w:ascii="Times New Roman" w:cs="Times New Roman" w:eastAsia="Times New Roman" w:hAnsi="Times New Roman"/>
          <w:color w:val="333333"/>
          <w:sz w:val="22"/>
          <w:szCs w:val="22"/>
        </w:rPr>
        <w:t xml:space="preserve">[15] P. Higgins, "The Fourth Monitoring Category: Ratio State Monitoring," HUF Triad Pillar 2, v2.0, 2026.</w:t>
      </w:r>
    </w:p>
    <w:p>
      <w:pPr>
        <w:spacing w:after="180" w:line="276"/>
      </w:pPr>
      <w:r>
        <w:rPr>
          <w:rFonts w:ascii="Times New Roman" w:cs="Times New Roman" w:eastAsia="Times New Roman" w:hAnsi="Times New Roman"/>
          <w:color w:val="333333"/>
          <w:sz w:val="22"/>
          <w:szCs w:val="22"/>
        </w:rPr>
        <w:t xml:space="preserve">[16] P. Higgins, "The HUF Triad: Volume 8, Synthesis," v1.0, 2026.</w:t>
      </w:r>
    </w:p>
    <w:p>
      <w:pPr>
        <w:spacing w:after="180" w:line="276"/>
      </w:pPr>
      <w:r>
        <w:rPr>
          <w:rFonts w:ascii="Times New Roman" w:cs="Times New Roman" w:eastAsia="Times New Roman" w:hAnsi="Times New Roman"/>
          <w:color w:val="333333"/>
          <w:sz w:val="22"/>
          <w:szCs w:val="22"/>
        </w:rPr>
        <w:t xml:space="preserve">[17] J.L. Doob, "Statistical estimation," Trans. Amer. Math. Soc., vol. 39, pp. 410–421, 1936.</w:t>
      </w:r>
    </w:p>
    <w:p>
      <w:pPr>
        <w:spacing w:after="180" w:line="276"/>
      </w:pPr>
      <w:r>
        <w:rPr>
          <w:rFonts w:ascii="Times New Roman" w:cs="Times New Roman" w:eastAsia="Times New Roman" w:hAnsi="Times New Roman"/>
          <w:color w:val="333333"/>
          <w:sz w:val="22"/>
          <w:szCs w:val="22"/>
        </w:rPr>
        <w:t xml:space="preserve">[18] G. Darmois, "Sur les lois de probabilité à estimation exhaustive," C.R. Acad. Sci. Paris, vol. 200, pp. 1265–1266, 1935.</w:t>
      </w:r>
    </w:p>
    <w:p>
      <w:pPr>
        <w:spacing w:after="180" w:line="276"/>
      </w:pPr>
      <w:r>
        <w:rPr>
          <w:rFonts w:ascii="Times New Roman" w:cs="Times New Roman" w:eastAsia="Times New Roman" w:hAnsi="Times New Roman"/>
          <w:color w:val="333333"/>
          <w:sz w:val="22"/>
          <w:szCs w:val="22"/>
        </w:rPr>
        <w:t xml:space="preserve">[19] J. Rissanen, "Modeling by shortest data description," Automatica, vol. 14, pp. 465–471, 1978.</w:t>
      </w:r>
    </w:p>
    <w:p>
      <w:pPr>
        <w:spacing w:after="180" w:line="276"/>
      </w:pPr>
      <w:r>
        <w:rPr>
          <w:rFonts w:ascii="Times New Roman" w:cs="Times New Roman" w:eastAsia="Times New Roman" w:hAnsi="Times New Roman"/>
          <w:color w:val="333333"/>
          <w:sz w:val="22"/>
          <w:szCs w:val="22"/>
        </w:rPr>
        <w:t xml:space="preserve">[20] T.M. Cover and J.A. Thomas, Elements of Information Theory, 2nd ed. Wiley, 2006.</w:t>
      </w:r>
    </w:p>
    <w:p>
      <w:pPr>
        <w:spacing w:after="180" w:line="276"/>
      </w:pPr>
      <w:r>
        <w:rPr>
          <w:rFonts w:ascii="Times New Roman" w:cs="Times New Roman" w:eastAsia="Times New Roman" w:hAnsi="Times New Roman"/>
          <w:color w:val="333333"/>
          <w:sz w:val="22"/>
          <w:szCs w:val="22"/>
        </w:rPr>
        <w:t xml:space="preserve">[21] J.L. Fleiss, B. Levin, and M.C. Paik, Statistical Methods for Rates and Proportions, 3rd ed. Wiley, 2003.</w:t>
      </w:r>
    </w:p>
    <w:p>
      <w:pPr>
        <w:spacing w:after="180" w:line="276"/>
      </w:pPr>
      <w:r>
        <w:rPr>
          <w:rFonts w:ascii="Times New Roman" w:cs="Times New Roman" w:eastAsia="Times New Roman" w:hAnsi="Times New Roman"/>
          <w:color w:val="333333"/>
          <w:sz w:val="22"/>
          <w:szCs w:val="22"/>
        </w:rPr>
        <w:t xml:space="preserve">[22] J. Aitchison and J.A.C. Brown, The Lognormal Distribution. Cambridge University Press, 1957.</w:t>
      </w:r>
    </w:p>
    <w:p>
      <w:pPr>
        <w:spacing w:after="180" w:line="276"/>
      </w:pPr>
      <w:r>
        <w:rPr>
          <w:rFonts w:ascii="Times New Roman" w:cs="Times New Roman" w:eastAsia="Times New Roman" w:hAnsi="Times New Roman"/>
          <w:color w:val="333333"/>
          <w:sz w:val="22"/>
          <w:szCs w:val="22"/>
        </w:rPr>
        <w:t xml:space="preserve">[23] W.A. Shewhart, Economic Control of Quality of Manufactured Product. Van Nostrand, 1931.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HUF v1.2.0 · MIT License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jc w:val="center"/>
    </w:pPr>
    <w:r>
      <w:rPr>
        <w:rFonts w:ascii="Times New Roman" w:cs="Times New Roman" w:eastAsia="Times New Roman" w:hAnsi="Times New Roman"/>
        <w:color w:val="2E75B6"/>
        <w:sz w:val="18"/>
        <w:szCs w:val="18"/>
      </w:rPr>
      <w:t xml:space="preserve">HUF Triad — Pillar 1</w:t>
    </w:r>
    <w:r>
      <w:rPr>
        <w:rFonts w:ascii="Times New Roman" w:cs="Times New Roman" w:eastAsia="Times New Roman" w:hAnsi="Times New Roman"/>
        <w:i/>
        <w:iCs/>
        <w:color w:val="2E75B6"/>
        <w:sz w:val="18"/>
        <w:szCs w:val="18"/>
      </w:rPr>
      <w:t xml:space="preserve">	The Sufficiency Frontier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2026-03-09T19:06:19.138Z</dcterms:created>
  <dcterms:modified xsi:type="dcterms:W3CDTF">2026-03-09T19:06:19.139Z</dcterms:modified>
</cp:coreProperties>
</file>

<file path=docProps/custom.xml><?xml version="1.0" encoding="utf-8"?>
<Properties xmlns="http://schemas.openxmlformats.org/officeDocument/2006/custom-properties" xmlns:vt="http://schemas.openxmlformats.org/officeDocument/2006/docPropsVTypes"/>
</file>