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3.3</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(v3.3) includes complete data provenance for all 10 systems, computational reproducibility paths, cross-references to the HUF Triad companion volumes, the car/fuel analogy, and a new section on Adaptive Scope with Dynamic OCC Drift Monitoring and Dynamic Portfolio Gating.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question of how much a dataset can be reduced while preserving the information needed for a specific inference has a long history. Shannon’s source coding theorem [1] establishes the fundamental limit for lossless compression. Fisher’s concept of sufficiency [2] establishes when a statistic captures everything a sample says about a parameter. Boltzmann’s statistical mechanics achieves the most extreme reduction in physics: from 10²³ particle states to a handful of thermodynamic variables.</w:t>
      </w:r>
    </w:p>
    <w:p>
      <w:pPr>
        <w:spacing w:after="180" w:line="276"/>
      </w:pPr>
      <w:r>
        <w:rPr>
          <w:rFonts w:ascii="Times New Roman" w:cs="Times New Roman" w:eastAsia="Times New Roman" w:hAnsi="Times New Roman"/>
          <w:color w:val="333333"/>
          <w:sz w:val="22"/>
          <w:szCs w:val="22"/>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p>
      <w:pPr>
        <w:spacing w:after="180" w:line="276"/>
      </w:pPr>
      <w:r>
        <w:rPr>
          <w:rFonts w:ascii="Times New Roman" w:cs="Times New Roman" w:eastAsia="Times New Roman" w:hAnsi="Times New Roman"/>
          <w:color w:val="333333"/>
          <w:sz w:val="22"/>
          <w:szCs w:val="22"/>
        </w:rPr>
        <w:t xml:space="preserve">This paper presents a system that achieves reduction at the scale of Boltzmann’s phase-space collapse (10⁶⋅⁸:1)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Interactive introduction: Volume 0, Notebooks 1–5</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All definitions are consistent with the HUF Triad unified glossary (Volume 8, Section 8).</w:t>
      </w:r>
    </w:p>
    <w:p>
      <w:pPr>
        <w:spacing w:after="180" w:line="276"/>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 The ceiling is fixed; it does not grow or shrink with usage.</w:t>
      </w:r>
    </w:p>
    <w:p>
      <w:pPr>
        <w:spacing w:after="180" w:line="276"/>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Minimum: two elements per portfolio.</w:t>
      </w:r>
    </w:p>
    <w:p>
      <w:pPr>
        <w:spacing w:after="180" w:line="276"/>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point in time: ρᵢ = mᵢ / M where M = Σmⱼ.</w:t>
      </w:r>
    </w:p>
    <w:p>
      <w:pPr>
        <w:spacing w:after="180" w:line="276"/>
      </w:pPr>
      <w:r>
        <w:rPr>
          <w:rFonts w:ascii="Times New Roman" w:cs="Times New Roman" w:eastAsia="Times New Roman" w:hAnsi="Times New Roman"/>
          <w:b/>
          <w:bCs/>
          <w:i/>
          <w:iCs/>
          <w:color w:val="333333"/>
          <w:sz w:val="22"/>
          <w:szCs w:val="22"/>
        </w:rPr>
        <w:t xml:space="preserve">Ratio state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summing to 1.0.</w:t>
      </w:r>
    </w:p>
    <w:p>
      <w:pPr>
        <w:spacing w:after="180" w:line="276"/>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Satisfied by every valid portfolio state. Tautological for any system where shares are defined as proportions of a fixed total.</w:t>
      </w:r>
    </w:p>
    <w:p>
      <w:pPr>
        <w:spacing w:after="180" w:line="276"/>
      </w:pPr>
      <w:r>
        <w:rPr>
          <w:rFonts w:ascii="Times New Roman" w:cs="Times New Roman" w:eastAsia="Times New Roman" w:hAnsi="Times New Roman"/>
          <w:b/>
          <w:bCs/>
          <w:i/>
          <w:iCs/>
          <w:color w:val="333333"/>
          <w:sz w:val="22"/>
          <w:szCs w:val="22"/>
        </w:rPr>
        <w:t xml:space="preserve">Probability simplex (Sᴷ)</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set of all K-dimensional vectors with non-negative components summing to 1. The geometric space on which all HUF operations occur.</w:t>
      </w:r>
    </w:p>
    <w:p>
      <w:pPr>
        <w:spacing w:after="180" w:line="276"/>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and observed shares: MDG = (1/K)Σ|ρᵢᵈᵉᶜ − ρᵢᵒᵇˢ|. Reported in percentage points.</w:t>
      </w:r>
    </w:p>
    <w:p>
      <w:pPr>
        <w:spacing w:after="180" w:line="276"/>
      </w:pPr>
      <w:r>
        <w:rPr>
          <w:rFonts w:ascii="Times New Roman" w:cs="Times New Roman" w:eastAsia="Times New Roman" w:hAnsi="Times New Roman"/>
          <w:b/>
          <w:bCs/>
          <w:i/>
          <w:iCs/>
          <w:color w:val="333333"/>
          <w:sz w:val="22"/>
          <w:szCs w:val="22"/>
        </w:rPr>
        <w:t xml:space="preserve">Sufficient statistic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data X such that the conditional distribution of X given T(X) does not depend on the parameter θ [2].</w:t>
      </w:r>
    </w:p>
    <w:p>
      <w:pPr>
        <w:spacing w:after="180" w:line="276"/>
      </w:pPr>
      <w:r>
        <w:rPr>
          <w:rFonts w:ascii="Times New Roman" w:cs="Times New Roman" w:eastAsia="Times New Roman" w:hAnsi="Times New Roman"/>
          <w:b/>
          <w:bCs/>
          <w:i/>
          <w:iCs/>
          <w:color w:val="333333"/>
          <w:sz w:val="22"/>
          <w:szCs w:val="22"/>
        </w:rPr>
        <w:t xml:space="preserve">Sufficiency frontier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reduction-ratio space where information reduction transitions from lossy approximation to inference-preserving extraction.</w:t>
      </w:r>
    </w:p>
    <w:p>
      <w:pPr>
        <w:spacing w:after="180" w:line="276"/>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Ω = |ΔMDG| × β, where β = K/K_eff. Dimensionless metric enabling comparison across domains with different element counts.</w:t>
      </w:r>
    </w:p>
    <w:p>
      <w:pPr>
        <w:spacing w:after="180" w:line="276"/>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collapse from microscopic state descriptions to macroscopic sufficient statistics, as exemplified by Boltzmann’s derivation of thermodynamic quantities from particle-level data.</w:t>
      </w:r>
    </w:p>
    <w:p>
      <w:pPr>
        <w:spacing w:after="180" w:line="276"/>
      </w:pPr>
      <w:r>
        <w:rPr>
          <w:rFonts w:ascii="Times New Roman" w:cs="Times New Roman" w:eastAsia="Times New Roman" w:hAnsi="Times New Roman"/>
          <w:b/>
          <w:bCs/>
          <w:i/>
          <w:iCs/>
          <w:color w:val="333333"/>
          <w:sz w:val="22"/>
          <w:szCs w:val="22"/>
        </w:rPr>
        <w:t xml:space="preserve">PreParser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HUF analytical engine that performs domain-agnostic sufficient statistic extraction. Input: arbitrary tabular or structured data. Output: portfolio state vector on Sᴷ.</w:t>
      </w:r>
    </w:p>
    <w:p>
      <w:pPr>
        <w:spacing w:after="180" w:line="276"/>
      </w:pPr>
      <w:r>
        <w:rPr>
          <w:rFonts w:ascii="Times New Roman" w:cs="Times New Roman" w:eastAsia="Times New Roman" w:hAnsi="Times New Roman"/>
          <w:b/>
          <w:bCs/>
          <w:i/>
          <w:iCs/>
          <w:color w:val="333333"/>
          <w:sz w:val="22"/>
          <w:szCs w:val="22"/>
        </w:rPr>
        <w:t xml:space="preserve">Aitchison distance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defined as d_A(ρ, ρ′) = ||clr(ρ) − clr(ρ′)||, where clr is the centered log-ratio transformation [3]. MDG is a first-order approximation.</w:t>
      </w:r>
    </w:p>
    <w:p>
      <w:pPr>
        <w:spacing w:after="180" w:line="276"/>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where y(t) = ρ(t): the output IS the state. Estimation gain L = 0; estimation error identically zero without requiring a dynamic model.</w:t>
      </w:r>
    </w:p>
    <w:p>
      <w:pPr>
        <w:spacing w:after="180" w:line="276"/>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Q = T_char / T_obs. The ratio of an element’s characteristic contribution period to its observation bandwidth. Determines vulnerability to snapshot error.</w:t>
      </w:r>
    </w:p>
    <w:p>
      <w:pPr>
        <w:spacing w:after="180" w:line="276"/>
      </w:pPr>
      <w:r>
        <w:rPr>
          <w:rFonts w:ascii="Times New Roman" w:cs="Times New Roman" w:eastAsia="Times New Roman" w:hAnsi="Times New Roman"/>
          <w:b/>
          <w:bCs/>
          <w:i/>
          <w:iCs/>
          <w:color w:val="333333"/>
          <w:sz w:val="22"/>
          <w:szCs w:val="22"/>
        </w:rPr>
        <w:t xml:space="preserve">Dynamic portfolio gating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Elements enter and leave the active portfolio based on whether they are above the observation threshold. The gate adapts as data arrives or departs. Unity is computed within the gated set.</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From Boltzmann to the Probability Simplex</w:t>
      </w:r>
    </w:p>
    <w:p>
      <w:pPr>
        <w:pStyle w:val="Heading2"/>
        <w:spacing w:after="160" w:before="280"/>
      </w:pPr>
      <w:r>
        <w:rPr>
          <w:rFonts w:ascii="Times New Roman" w:cs="Times New Roman" w:eastAsia="Times New Roman" w:hAnsi="Times New Roman"/>
          <w:b/>
          <w:bCs/>
          <w:color w:val="1F3864"/>
          <w:sz w:val="24"/>
          <w:szCs w:val="24"/>
        </w:rPr>
        <w:t xml:space="preserve">3.1 The Boltzmann Precedent</w:t>
      </w:r>
    </w:p>
    <w:p>
      <w:pPr>
        <w:spacing w:after="180" w:line="276"/>
      </w:pPr>
      <w:r>
        <w:rPr>
          <w:rFonts w:ascii="Times New Roman" w:cs="Times New Roman" w:eastAsia="Times New Roman" w:hAnsi="Times New Roman"/>
          <w:color w:val="333333"/>
          <w:sz w:val="22"/>
          <w:szCs w:val="22"/>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[4]. The reduction ratio exceeds 10²³:1.</w:t>
      </w:r>
    </w:p>
    <w:p>
      <w:pPr>
        <w:spacing w:after="180" w:line="276"/>
      </w:pPr>
      <w:r>
        <w:rPr>
          <w:rFonts w:ascii="Times New Roman" w:cs="Times New Roman" w:eastAsia="Times New Roman" w:hAnsi="Times New Roman"/>
          <w:color w:val="333333"/>
          <w:sz w:val="22"/>
          <w:szCs w:val="22"/>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p>
      <w:pPr>
        <w:pStyle w:val="Heading2"/>
        <w:spacing w:after="160" w:before="280"/>
      </w:pPr>
      <w:r>
        <w:rPr>
          <w:rFonts w:ascii="Times New Roman" w:cs="Times New Roman" w:eastAsia="Times New Roman" w:hAnsi="Times New Roman"/>
          <w:b/>
          <w:bCs/>
          <w:color w:val="1F3864"/>
          <w:sz w:val="24"/>
          <w:szCs w:val="24"/>
        </w:rPr>
        <w:t xml:space="preserve">3.2 Fisher Sufficiency</w:t>
      </w:r>
    </w:p>
    <w:p>
      <w:pPr>
        <w:spacing w:after="180" w:line="276"/>
      </w:pPr>
      <w:r>
        <w:rPr>
          <w:rFonts w:ascii="Times New Roman" w:cs="Times New Roman" w:eastAsia="Times New Roman" w:hAnsi="Times New Roman"/>
          <w:color w:val="333333"/>
          <w:sz w:val="22"/>
          <w:szCs w:val="22"/>
        </w:rPr>
        <w:t xml:space="preserve">Fisher’s factorization theorem [2] states that T(X) is sufficient for θ if and only if the likelihood can be written as L(θ; X) = g(T(X), θ) · h(X), where h does not depend on θ. The Pitman–Koopman–Darmois theorem [5, 6] restricts the existence of fixed-dimensional sufficient statistics to exponential family distributions, except in degenerate cases.</w:t>
      </w:r>
    </w:p>
    <w:p>
      <w:pPr>
        <w:spacing w:after="180" w:line="276"/>
      </w:pPr>
      <w:r>
        <w:rPr>
          <w:rFonts w:ascii="Times New Roman" w:cs="Times New Roman" w:eastAsia="Times New Roman" w:hAnsi="Times New Roman"/>
          <w:color w:val="333333"/>
          <w:sz w:val="22"/>
          <w:szCs w:val="22"/>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Sᴷ captures everything needed for governance inference without requiring knowledge of the generating distribution.</w:t>
      </w:r>
    </w:p>
    <w:p>
      <w:pPr>
        <w:pStyle w:val="Heading2"/>
        <w:spacing w:after="160" w:before="280"/>
      </w:pPr>
      <w:r>
        <w:rPr>
          <w:rFonts w:ascii="Times New Roman" w:cs="Times New Roman" w:eastAsia="Times New Roman" w:hAnsi="Times New Roman"/>
          <w:b/>
          <w:bCs/>
          <w:color w:val="1F3864"/>
          <w:sz w:val="24"/>
          <w:szCs w:val="24"/>
        </w:rPr>
        <w:t xml:space="preserve">3.3 HUF as Phase-Space Reduction</w:t>
      </w:r>
    </w:p>
    <w:p>
      <w:pPr>
        <w:spacing w:after="180" w:line="276"/>
      </w:pPr>
      <w:r>
        <w:rPr>
          <w:rFonts w:ascii="Times New Roman" w:cs="Times New Roman" w:eastAsia="Times New Roman" w:hAnsi="Times New Roman"/>
          <w:color w:val="333333"/>
          <w:sz w:val="22"/>
          <w:szCs w:val="22"/>
        </w:rPr>
        <w:t xml:space="preserve">The HUF PreParser processes 156,266,500 records occupying approximately 6.4 × 10⁹ bytes and produces a 1,008-byte output: 10 portfolio state vectors, each a point on the appropriate simplex Sᴷ. The reduction ratio is 6,357,738:1.</w:t>
      </w:r>
    </w:p>
    <w:p>
      <w:pPr>
        <w:spacing w:after="180" w:line="276"/>
      </w:pPr>
      <w:r>
        <w:rPr>
          <w:rFonts w:ascii="Times New Roman" w:cs="Times New Roman" w:eastAsia="Times New Roman" w:hAnsi="Times New Roman"/>
          <w:color w:val="333333"/>
          <w:sz w:val="22"/>
          <w:szCs w:val="22"/>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Hierarchy of Information Reduction</w:t>
      </w:r>
    </w:p>
    <w:p>
      <w:pPr>
        <w:spacing w:after="180" w:line="276"/>
      </w:pPr>
      <w:r>
        <w:rPr>
          <w:rFonts w:ascii="Times New Roman" w:cs="Times New Roman" w:eastAsia="Times New Roman" w:hAnsi="Times New Roman"/>
          <w:color w:val="333333"/>
          <w:sz w:val="22"/>
          <w:szCs w:val="22"/>
        </w:rPr>
        <w:t xml:space="preserve">We propose a four-level hierarchy that organizes established and novel reduction methods by the nature of what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p>
      <w:pPr>
        <w:spacing w:after="180" w:line="276"/>
      </w:pPr>
      <w:r>
        <w:rPr>
          <w:rFonts w:ascii="Times New Roman" w:cs="Times New Roman" w:eastAsia="Times New Roman" w:hAnsi="Times New Roman"/>
          <w:color w:val="333333"/>
          <w:sz w:val="22"/>
          <w:szCs w:val="22"/>
        </w:rPr>
        <w:t xml:space="preserve">The sufficiency frontier is the boundary between Level 3 and Level 4. Below it, reduction preserves model parameters or approximations. Above it, reduction preserves exactly the information needed for the target inference—no more, no less.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Corpus</w:t>
      </w:r>
    </w:p>
    <w:p>
      <w:pPr>
        <w:pStyle w:val="Heading2"/>
        <w:spacing w:after="160" w:before="280"/>
      </w:pPr>
      <w:r>
        <w:rPr>
          <w:rFonts w:ascii="Times New Roman" w:cs="Times New Roman" w:eastAsia="Times New Roman" w:hAnsi="Times New Roman"/>
          <w:b/>
          <w:bCs/>
          <w:color w:val="1F3864"/>
          <w:sz w:val="24"/>
          <w:szCs w:val="24"/>
        </w:rPr>
        <w:t xml:space="preserve">5.1 Method</w:t>
      </w:r>
    </w:p>
    <w:p>
      <w:pPr>
        <w:spacing w:after="180" w:line="276"/>
      </w:pPr>
      <w:r>
        <w:rPr>
          <w:rFonts w:ascii="Times New Roman" w:cs="Times New Roman" w:eastAsia="Times New Roman" w:hAnsi="Times New Roman"/>
          <w:color w:val="333333"/>
          <w:sz w:val="22"/>
          <w:szCs w:val="22"/>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p>
      <w:pPr>
        <w:pStyle w:val="Heading2"/>
        <w:spacing w:after="160" w:before="280"/>
      </w:pPr>
      <w:r>
        <w:rPr>
          <w:rFonts w:ascii="Times New Roman" w:cs="Times New Roman" w:eastAsia="Times New Roman" w:hAnsi="Times New Roman"/>
          <w:b/>
          <w:bCs/>
          <w:color w:val="1F3864"/>
          <w:sz w:val="24"/>
          <w:szCs w:val="24"/>
        </w:rPr>
        <w:t xml:space="preserve">5.2 Corpus</w:t>
      </w:r>
    </w:p>
    <w:p>
      <w:pPr>
        <w:spacing w:after="180" w:line="276"/>
      </w:pPr>
      <w:r>
        <w:rPr>
          <w:rFonts w:ascii="Times New Roman" w:cs="Times New Roman" w:eastAsia="Times New Roman" w:hAnsi="Times New Roman"/>
          <w:color w:val="333333"/>
          <w:sz w:val="22"/>
          <w:szCs w:val="22"/>
        </w:rPr>
        <w:t xml:space="preserve">The following table presents the complete 10-system corpus with full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5.3 Reduction Computation</w:t>
      </w:r>
    </w:p>
    <w:p>
      <w:pPr>
        <w:spacing w:after="180" w:line="276"/>
      </w:pPr>
      <w:r>
        <w:rPr>
          <w:rFonts w:ascii="Times New Roman" w:cs="Times New Roman" w:eastAsia="Times New Roman" w:hAnsi="Times New Roman"/>
          <w:color w:val="333333"/>
          <w:sz w:val="22"/>
          <w:szCs w:val="22"/>
        </w:rPr>
        <w:t xml:space="preserve">Total input: 156,266,500 records occupying approximately 6.4 × 10⁹ bytes across CSV, FITS, GeoJSON, WAV, and system log formats. Total output: 10 portfolio state vectors totaling 1,008 bytes. Reduction ratio: 6,357,738:1.</w:t>
      </w:r>
    </w:p>
    <w:p>
      <w:pPr>
        <w:spacing w:after="180" w:line="276"/>
      </w:pPr>
      <w:r>
        <w:rPr>
          <w:rFonts w:ascii="Times New Roman" w:cs="Times New Roman" w:eastAsia="Times New Roman" w:hAnsi="Times New Roman"/>
          <w:color w:val="333333"/>
          <w:sz w:val="22"/>
          <w:szCs w:val="22"/>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5.4 Data Provenance (New in v3.0)</w:t>
      </w:r>
    </w:p>
    <w:p>
      <w:pPr>
        <w:spacing w:after="180" w:line="276"/>
      </w:pPr>
      <w:r>
        <w:rPr>
          <w:rFonts w:ascii="Times New Roman" w:cs="Times New Roman" w:eastAsia="Times New Roman" w:hAnsi="Times New Roman"/>
          <w:color w:val="333333"/>
          <w:sz w:val="22"/>
          <w:szCs w:val="22"/>
        </w:rPr>
        <w:t xml:space="preserve">Complete provenance for each system, enabling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All publicly available datasets can be independently retrieved using the URLs provided in Table 2. The PreParser code is available under MIT license. Checksums for downloaded files are stored in checksums.txt within the HUFv4 repository.</w:t>
      </w:r>
    </w:p>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Sufficiency Frontier: Comparative Landscape</w:t>
      </w:r>
    </w:p>
    <w:p>
      <w:pPr>
        <w:spacing w:after="180" w:line="276"/>
      </w:pPr>
      <w:r>
        <w:rPr>
          <w:rFonts w:ascii="Times New Roman" w:cs="Times New Roman" w:eastAsia="Times New Roman" w:hAnsi="Times New Roman"/>
          <w:color w:val="333333"/>
          <w:sz w:val="22"/>
          <w:szCs w:val="22"/>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pStyle w:val="Heading2"/>
        <w:spacing w:after="160" w:before="280"/>
      </w:pPr>
      <w:r>
        <w:rPr>
          <w:rFonts w:ascii="Times New Roman" w:cs="Times New Roman" w:eastAsia="Times New Roman" w:hAnsi="Times New Roman"/>
          <w:b/>
          <w:bCs/>
          <w:color w:val="1F3864"/>
          <w:sz w:val="24"/>
          <w:szCs w:val="24"/>
        </w:rPr>
        <w:t xml:space="preserve">7.1 ESA Planck: Pettitt Changepoint</w:t>
      </w:r>
    </w:p>
    <w:p>
      <w:pPr>
        <w:spacing w:after="180" w:line="276"/>
      </w:pPr>
      <w:r>
        <w:rPr>
          <w:rFonts w:ascii="Times New Roman" w:cs="Times New Roman" w:eastAsia="Times New Roman" w:hAnsi="Times New Roman"/>
          <w:color w:val="333333"/>
          <w:sz w:val="22"/>
          <w:szCs w:val="22"/>
        </w:rPr>
        <w:t xml:space="preserve">The strongest single validation comes from the ESA Planck HFI dataset. The six HFI channels (100–857 GHz) form a frequency portfolio. Applying the Pettitt non-parametric changepoint test [14] to the MDG time series yields a changepoint at Operational Day 975 with p &lt; 0.001.</w:t>
      </w:r>
    </w:p>
    <w:p>
      <w:pPr>
        <w:spacing w:after="180" w:line="276"/>
      </w:pPr>
      <w:r>
        <w:rPr>
          <w:rFonts w:ascii="Times New Roman" w:cs="Times New Roman" w:eastAsia="Times New Roman" w:hAnsi="Times New Roman"/>
          <w:color w:val="333333"/>
          <w:sz w:val="22"/>
          <w:szCs w:val="22"/>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w:t>
      </w:r>
    </w:p>
    <w:p>
      <w:pPr>
        <w:pStyle w:val="Heading2"/>
        <w:spacing w:after="160" w:before="280"/>
      </w:pPr>
      <w:r>
        <w:rPr>
          <w:rFonts w:ascii="Times New Roman" w:cs="Times New Roman" w:eastAsia="Times New Roman" w:hAnsi="Times New Roman"/>
          <w:b/>
          <w:bCs/>
          <w:color w:val="1F3864"/>
          <w:sz w:val="24"/>
          <w:szCs w:val="24"/>
        </w:rPr>
        <w:t xml:space="preserve">7.2 King Street Pilot: Interrupted Time Series</w:t>
      </w:r>
    </w:p>
    <w:p>
      <w:pPr>
        <w:spacing w:after="180" w:line="276"/>
      </w:pPr>
      <w:r>
        <w:rPr>
          <w:rFonts w:ascii="Times New Roman" w:cs="Times New Roman" w:eastAsia="Times New Roman" w:hAnsi="Times New Roman"/>
          <w:color w:val="333333"/>
          <w:sz w:val="22"/>
          <w:szCs w:val="22"/>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p>
      <w:pPr>
        <w:pStyle w:val="Heading2"/>
        <w:spacing w:after="160" w:before="280"/>
      </w:pPr>
      <w:r>
        <w:rPr>
          <w:rFonts w:ascii="Times New Roman" w:cs="Times New Roman" w:eastAsia="Times New Roman" w:hAnsi="Times New Roman"/>
          <w:b/>
          <w:bCs/>
          <w:color w:val="1F3864"/>
          <w:sz w:val="24"/>
          <w:szCs w:val="24"/>
        </w:rPr>
        <w:t xml:space="preserve">7.3 Three-Domain Confirmation</w:t>
      </w:r>
    </w:p>
    <w:p>
      <w:pPr>
        <w:spacing w:after="180" w:line="276"/>
      </w:pPr>
      <w:r>
        <w:rPr>
          <w:rFonts w:ascii="Times New Roman" w:cs="Times New Roman" w:eastAsia="Times New Roman" w:hAnsi="Times New Roman"/>
          <w:color w:val="333333"/>
          <w:sz w:val="22"/>
          <w:szCs w:val="22"/>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King Street analysis: HUF_TTC_CaseStudy_v1.0.docx</w:t>
      </w:r>
    </w:p>
    <w:p>
      <w:pPr>
        <w:spacing w:after="160" w:before="80"/>
      </w:pPr>
      <w:r>
        <w:rPr>
          <w:rFonts w:ascii="Times New Roman" w:cs="Times New Roman" w:eastAsia="Times New Roman" w:hAnsi="Times New Roman"/>
          <w:i/>
          <w:iCs/>
          <w:color w:val="2E75B6"/>
          <w:sz w:val="20"/>
          <w:szCs w:val="20"/>
        </w:rPr>
        <w:t xml:space="preserve">▶ Three-domain evidence: Vol 2, Case Studies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The Sufficiency Frontier as a Boundary</w:t>
      </w:r>
    </w:p>
    <w:p>
      <w:pPr>
        <w:spacing w:after="180" w:line="276"/>
      </w:pPr>
      <w:r>
        <w:rPr>
          <w:rFonts w:ascii="Times New Roman" w:cs="Times New Roman" w:eastAsia="Times New Roman" w:hAnsi="Times New Roman"/>
          <w:color w:val="333333"/>
          <w:sz w:val="22"/>
          <w:szCs w:val="22"/>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p>
      <w:pPr>
        <w:pStyle w:val="Heading2"/>
        <w:spacing w:after="160" w:before="280"/>
      </w:pPr>
      <w:r>
        <w:rPr>
          <w:rFonts w:ascii="Times New Roman" w:cs="Times New Roman" w:eastAsia="Times New Roman" w:hAnsi="Times New Roman"/>
          <w:b/>
          <w:bCs/>
          <w:color w:val="1F3864"/>
          <w:sz w:val="24"/>
          <w:szCs w:val="24"/>
        </w:rPr>
        <w:t xml:space="preserve">8.2 Limitations</w:t>
      </w:r>
    </w:p>
    <w:p>
      <w:pPr>
        <w:spacing w:after="180" w:line="276"/>
      </w:pPr>
      <w:r>
        <w:rPr>
          <w:rFonts w:ascii="Times New Roman" w:cs="Times New Roman" w:eastAsia="Times New Roman" w:hAnsi="Times New Roman"/>
          <w:color w:val="333333"/>
          <w:sz w:val="22"/>
          <w:szCs w:val="22"/>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p>
      <w:pPr>
        <w:spacing w:after="180" w:line="276"/>
      </w:pPr>
      <w:r>
        <w:rPr>
          <w:rFonts w:ascii="Times New Roman" w:cs="Times New Roman" w:eastAsia="Times New Roman" w:hAnsi="Times New Roman"/>
          <w:color w:val="333333"/>
          <w:sz w:val="22"/>
          <w:szCs w:val="22"/>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p>
      <w:pPr>
        <w:pStyle w:val="Heading2"/>
        <w:spacing w:after="160" w:before="280"/>
      </w:pPr>
      <w:r>
        <w:rPr>
          <w:rFonts w:ascii="Times New Roman" w:cs="Times New Roman" w:eastAsia="Times New Roman" w:hAnsi="Times New Roman"/>
          <w:b/>
          <w:bCs/>
          <w:color w:val="1F3864"/>
          <w:sz w:val="24"/>
          <w:szCs w:val="24"/>
        </w:rPr>
        <w:t xml:space="preserve">8.3 Relationship to Companion Work</w:t>
      </w:r>
    </w:p>
    <w:p>
      <w:pPr>
        <w:spacing w:after="180" w:line="276"/>
      </w:pPr>
      <w:r>
        <w:rPr>
          <w:rFonts w:ascii="Times New Roman" w:cs="Times New Roman" w:eastAsia="Times New Roman" w:hAnsi="Times New Roman"/>
          <w:color w:val="333333"/>
          <w:sz w:val="22"/>
          <w:szCs w:val="22"/>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The Sufficiency Frontier in Everyday Experience: The Car Analogy</w:t>
      </w:r>
    </w:p>
    <w:p>
      <w:pPr>
        <w:spacing w:after="180" w:line="276"/>
      </w:pPr>
      <w:r>
        <w:rPr>
          <w:rFonts w:ascii="Times New Roman" w:cs="Times New Roman" w:eastAsia="Times New Roman" w:hAnsi="Times New Roman"/>
          <w:color w:val="333333"/>
          <w:sz w:val="22"/>
          <w:szCs w:val="22"/>
        </w:rPr>
        <w:t xml:space="preserve">The sufficiency frontier is an abstract concept that governs the behavior of all finite-budget systems. The following everyday analogy provides intuition for how the frontier operates and why the ratio tells a story that absolute numbers cannot.</w:t>
      </w:r>
    </w:p>
    <w:p>
      <w:pPr>
        <w:pStyle w:val="Heading2"/>
        <w:spacing w:after="160" w:before="280"/>
      </w:pPr>
      <w:r>
        <w:rPr>
          <w:rFonts w:ascii="Times New Roman" w:cs="Times New Roman" w:eastAsia="Times New Roman" w:hAnsi="Times New Roman"/>
          <w:b/>
          <w:bCs/>
          <w:color w:val="1F3864"/>
          <w:sz w:val="24"/>
          <w:szCs w:val="24"/>
        </w:rPr>
        <w:t xml:space="preserve">9.1 The Initial Condition: A Full Tank</w:t>
      </w:r>
    </w:p>
    <w:p>
      <w:pPr>
        <w:spacing w:after="180" w:line="276"/>
      </w:pPr>
      <w:r>
        <w:rPr>
          <w:rFonts w:ascii="Times New Roman" w:cs="Times New Roman" w:eastAsia="Times New Roman" w:hAnsi="Times New Roman"/>
          <w:color w:val="333333"/>
          <w:sz w:val="22"/>
          <w:szCs w:val="22"/>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p>
      <w:pPr>
        <w:pStyle w:val="Heading2"/>
        <w:spacing w:after="160" w:before="280"/>
      </w:pPr>
      <w:r>
        <w:rPr>
          <w:rFonts w:ascii="Times New Roman" w:cs="Times New Roman" w:eastAsia="Times New Roman" w:hAnsi="Times New Roman"/>
          <w:b/>
          <w:bCs/>
          <w:color w:val="1F3864"/>
          <w:sz w:val="24"/>
          <w:szCs w:val="24"/>
        </w:rPr>
        <w:t xml:space="preserve">9.2 The Ratio Signal During the Journey</w:t>
      </w:r>
    </w:p>
    <w:p>
      <w:pPr>
        <w:spacing w:after="180" w:line="276"/>
      </w:pPr>
      <w:r>
        <w:rPr>
          <w:rFonts w:ascii="Times New Roman" w:cs="Times New Roman" w:eastAsia="Times New Roman" w:hAnsi="Times New Roman"/>
          <w:color w:val="333333"/>
          <w:sz w:val="22"/>
          <w:szCs w:val="22"/>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p>
      <w:pPr>
        <w:spacing w:after="180" w:line="276"/>
      </w:pPr>
      <w:r>
        <w:rPr>
          <w:rFonts w:ascii="Times New Roman" w:cs="Times New Roman" w:eastAsia="Times New Roman" w:hAnsi="Times New Roman"/>
          <w:color w:val="333333"/>
          <w:sz w:val="22"/>
          <w:szCs w:val="22"/>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p>
      <w:pPr>
        <w:pStyle w:val="Heading2"/>
        <w:spacing w:after="160" w:before="280"/>
      </w:pPr>
      <w:r>
        <w:rPr>
          <w:rFonts w:ascii="Times New Roman" w:cs="Times New Roman" w:eastAsia="Times New Roman" w:hAnsi="Times New Roman"/>
          <w:b/>
          <w:bCs/>
          <w:color w:val="1F3864"/>
          <w:sz w:val="24"/>
          <w:szCs w:val="24"/>
        </w:rPr>
        <w:t xml:space="preserve">9.3 The Sufficiency Frontier: The Critical Threshold</w:t>
      </w:r>
    </w:p>
    <w:p>
      <w:pPr>
        <w:spacing w:after="180" w:line="276"/>
      </w:pPr>
      <w:r>
        <w:rPr>
          <w:rFonts w:ascii="Times New Roman" w:cs="Times New Roman" w:eastAsia="Times New Roman" w:hAnsi="Times New Roman"/>
          <w:color w:val="333333"/>
          <w:sz w:val="22"/>
          <w:szCs w:val="22"/>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p>
      <w:pPr>
        <w:spacing w:after="180" w:line="276"/>
      </w:pPr>
      <w:r>
        <w:rPr>
          <w:rFonts w:ascii="Times New Roman" w:cs="Times New Roman" w:eastAsia="Times New Roman" w:hAnsi="Times New Roman"/>
          <w:color w:val="333333"/>
          <w:sz w:val="22"/>
          <w:szCs w:val="22"/>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p>
      <w:pPr>
        <w:pStyle w:val="Heading2"/>
        <w:spacing w:after="160" w:before="280"/>
      </w:pPr>
      <w:r>
        <w:rPr>
          <w:rFonts w:ascii="Times New Roman" w:cs="Times New Roman" w:eastAsia="Times New Roman" w:hAnsi="Times New Roman"/>
          <w:b/>
          <w:bCs/>
          <w:color w:val="1F3864"/>
          <w:sz w:val="24"/>
          <w:szCs w:val="24"/>
        </w:rPr>
        <w:t xml:space="preserve">9.4 Collapse Below the Frontier: Unity Exhausted, Not Violated</w:t>
      </w:r>
    </w:p>
    <w:p>
      <w:pPr>
        <w:spacing w:after="180" w:line="276"/>
      </w:pPr>
      <w:r>
        <w:rPr>
          <w:rFonts w:ascii="Times New Roman" w:cs="Times New Roman" w:eastAsia="Times New Roman" w:hAnsi="Times New Roman"/>
          <w:color w:val="333333"/>
          <w:sz w:val="22"/>
          <w:szCs w:val="22"/>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p>
      <w:pPr>
        <w:pStyle w:val="Heading2"/>
        <w:spacing w:after="160" w:before="280"/>
      </w:pPr>
      <w:r>
        <w:rPr>
          <w:rFonts w:ascii="Times New Roman" w:cs="Times New Roman" w:eastAsia="Times New Roman" w:hAnsi="Times New Roman"/>
          <w:b/>
          <w:bCs/>
          <w:color w:val="1F3864"/>
          <w:sz w:val="24"/>
          <w:szCs w:val="24"/>
        </w:rPr>
        <w:t xml:space="preserve">9.5 The Deceptive Drift: Rising Share as Death Signal</w:t>
      </w:r>
    </w:p>
    <w:p>
      <w:pPr>
        <w:spacing w:after="180" w:line="276"/>
      </w:pPr>
      <w:r>
        <w:rPr>
          <w:rFonts w:ascii="Times New Roman" w:cs="Times New Roman" w:eastAsia="Times New Roman" w:hAnsi="Times New Roman"/>
          <w:color w:val="333333"/>
          <w:sz w:val="22"/>
          <w:szCs w:val="22"/>
        </w:rPr>
        <w:t xml:space="preserve">Here is the critical insight that the car analogy reveals: The operator’s share is not a success signal; it is a depletion signal.</w:t>
      </w:r>
    </w:p>
    <w:p>
      <w:pPr>
        <w:spacing w:after="180" w:line="276"/>
      </w:pPr>
      <w:r>
        <w:rPr>
          <w:rFonts w:ascii="Times New Roman" w:cs="Times New Roman" w:eastAsia="Times New Roman" w:hAnsi="Times New Roman"/>
          <w:color w:val="333333"/>
          <w:sz w:val="22"/>
          <w:szCs w:val="22"/>
        </w:rPr>
        <w:t xml:space="preserve">As you drive and fuel depletes, the driver/fuel ratio shifts: 51/49 → 55/45 → 70/30 → 85/15 → 95/5. Each step appears to show the driver gaining control. "I am 95% of this system now." But the driver has not gained anything. The fuel left. The operator’s rising share is the signature of depletion, not strength.</w:t>
      </w:r>
    </w:p>
    <w:p>
      <w:pPr>
        <w:spacing w:after="180" w:line="276"/>
      </w:pPr>
      <w:r>
        <w:rPr>
          <w:rFonts w:ascii="Times New Roman" w:cs="Times New Roman" w:eastAsia="Times New Roman" w:hAnsi="Times New Roman"/>
          <w:color w:val="333333"/>
          <w:sz w:val="22"/>
          <w:szCs w:val="22"/>
        </w:rPr>
        <w:t xml:space="preserve">This is the deceptive drift: a system at 95/5 has 5% remaining before ground state. One more long journey and the system reaches 100/0—unity exhausted, driver alone, system collapsed. The increasing operator share looks like success to the unaware observer. To the governance system watching the ratio, it is a death signal.</w:t>
      </w:r>
    </w:p>
    <w:p>
      <w:pPr>
        <w:spacing w:after="180" w:line="276"/>
      </w:pPr>
      <w:r>
        <w:rPr>
          <w:rFonts w:ascii="Times New Roman" w:cs="Times New Roman" w:eastAsia="Times New Roman" w:hAnsi="Times New Roman"/>
          <w:color w:val="333333"/>
          <w:sz w:val="22"/>
          <w:szCs w:val="22"/>
        </w:rPr>
        <w:t xml:space="preserve">This is OCC drift. The tool (fuel) is depleting until it can no longer support the operator. The tool is not broken. The operator is still capable. But the driver/fuel system—the relationship between them—has hit ground state.</w:t>
      </w:r>
    </w:p>
    <w:p>
      <w:pPr>
        <w:spacing w:after="180" w:line="276"/>
      </w:pPr>
      <w:r>
        <w:rPr>
          <w:rFonts w:ascii="Times New Roman" w:cs="Times New Roman" w:eastAsia="Times New Roman" w:hAnsi="Times New Roman"/>
          <w:color w:val="333333"/>
          <w:sz w:val="22"/>
          <w:szCs w:val="22"/>
        </w:rPr>
        <w:t xml:space="preserve">If the operator is not watching the fuel gauge (MC-4), the first indication of failure is the abrupt inform: the engine stops, the car is on the side of the road, no gradual warning signal. There is no degradation at the boundary. The Sufficiency Frontier is a cliff, not a slope. Below it, the system informs abruptly.</w:t>
      </w:r>
    </w:p>
    <w:p>
      <w:pPr>
        <w:spacing w:after="180" w:line="276"/>
      </w:pPr>
      <w:r>
        <w:rPr>
          <w:rFonts w:ascii="Times New Roman" w:cs="Times New Roman" w:eastAsia="Times New Roman" w:hAnsi="Times New Roman"/>
          <w:color w:val="333333"/>
          <w:sz w:val="22"/>
          <w:szCs w:val="22"/>
        </w:rPr>
        <w:t xml:space="preserve">MC-4’s entire job is to watch this ratio trajectory and warn before the abrupt inform. The ratio moving from 51/49 toward 100/0 is the signal. The absolute fuel level is noise. A department whose budget share grows because other departments are being cut looks like it is thriving—but the organization is dying. The ratio drift toward 100/0 is concentration risk approaching collapse. MC-4 makes the drift visible before the cliff.</w:t>
      </w:r>
    </w:p>
    <w:p>
      <w:pPr>
        <w:pStyle w:val="Heading2"/>
        <w:spacing w:after="160" w:before="280"/>
      </w:pPr>
      <w:r>
        <w:rPr>
          <w:rFonts w:ascii="Times New Roman" w:cs="Times New Roman" w:eastAsia="Times New Roman" w:hAnsi="Times New Roman"/>
          <w:b/>
          <w:bCs/>
          <w:color w:val="1F3864"/>
          <w:sz w:val="24"/>
          <w:szCs w:val="24"/>
        </w:rPr>
        <w:t xml:space="preserve">9.6 The Absolute vs. Relative Paradox</w:t>
      </w:r>
    </w:p>
    <w:p>
      <w:pPr>
        <w:spacing w:after="180" w:line="276"/>
      </w:pPr>
      <w:r>
        <w:rPr>
          <w:rFonts w:ascii="Times New Roman" w:cs="Times New Roman" w:eastAsia="Times New Roman" w:hAnsi="Times New Roman"/>
          <w:color w:val="333333"/>
          <w:sz w:val="22"/>
          <w:szCs w:val="22"/>
        </w:rPr>
        <w:t xml:space="preserve">Here is the critical insight that the analogy reveals: Two scenarios can contain the same absolute amount of fuel but represent completely different system states:</w:t>
      </w:r>
    </w:p>
    <w:p>
      <w:pPr>
        <w:spacing w:after="180" w:line="276"/>
      </w:pPr>
      <w:r>
        <w:rPr>
          <w:rFonts w:ascii="Times New Roman" w:cs="Times New Roman" w:eastAsia="Times New Roman" w:hAnsi="Times New Roman"/>
          <w:b/>
          <w:bCs/>
          <w:color w:val="333333"/>
          <w:sz w:val="22"/>
          <w:szCs w:val="22"/>
        </w:rPr>
        <w:t xml:space="preserve">Scenario A: </w:t>
      </w:r>
      <w:r>
        <w:rPr>
          <w:rFonts w:ascii="Times New Roman" w:cs="Times New Roman" w:eastAsia="Times New Roman" w:hAnsi="Times New Roman"/>
          <w:color w:val="333333"/>
          <w:sz w:val="22"/>
          <w:szCs w:val="22"/>
        </w:rPr>
        <w:t xml:space="preserve">2 gallons of fuel in a 4-gallon tank. Ratio: 50/50 (driver and fuel are co-equal). System state: (0.5, 0.5).</w:t>
      </w:r>
    </w:p>
    <w:p>
      <w:pPr>
        <w:spacing w:after="180" w:line="276"/>
      </w:pPr>
      <w:r>
        <w:rPr>
          <w:rFonts w:ascii="Times New Roman" w:cs="Times New Roman" w:eastAsia="Times New Roman" w:hAnsi="Times New Roman"/>
          <w:b/>
          <w:bCs/>
          <w:color w:val="333333"/>
          <w:sz w:val="22"/>
          <w:szCs w:val="22"/>
        </w:rPr>
        <w:t xml:space="preserve">Scenario B: </w:t>
      </w:r>
      <w:r>
        <w:rPr>
          <w:rFonts w:ascii="Times New Roman" w:cs="Times New Roman" w:eastAsia="Times New Roman" w:hAnsi="Times New Roman"/>
          <w:color w:val="333333"/>
          <w:sz w:val="22"/>
          <w:szCs w:val="22"/>
        </w:rPr>
        <w:t xml:space="preserve">2 gallons of fuel in a 40-gallon tank. Ratio: 95/5 (driver dominates, fuel is nearly exhausted). System state: (0.95, 0.05).</w:t>
      </w:r>
    </w:p>
    <w:p>
      <w:pPr>
        <w:spacing w:after="180" w:line="276"/>
      </w:pPr>
      <w:r>
        <w:rPr>
          <w:rFonts w:ascii="Times New Roman" w:cs="Times New Roman" w:eastAsia="Times New Roman" w:hAnsi="Times New Roman"/>
          <w:color w:val="333333"/>
          <w:sz w:val="22"/>
          <w:szCs w:val="22"/>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p>
      <w:pPr>
        <w:pStyle w:val="Heading2"/>
        <w:spacing w:after="160" w:before="280"/>
      </w:pPr>
      <w:r>
        <w:rPr>
          <w:rFonts w:ascii="Times New Roman" w:cs="Times New Roman" w:eastAsia="Times New Roman" w:hAnsi="Times New Roman"/>
          <w:b/>
          <w:bCs/>
          <w:color w:val="1F3864"/>
          <w:sz w:val="24"/>
          <w:szCs w:val="24"/>
        </w:rPr>
        <w:t xml:space="preserve">9.7 Mapping Back to HUF and the Probability Simplex</w:t>
      </w:r>
    </w:p>
    <w:p>
      <w:pPr>
        <w:spacing w:after="180" w:line="276"/>
      </w:pPr>
      <w:r>
        <w:rPr>
          <w:rFonts w:ascii="Times New Roman" w:cs="Times New Roman" w:eastAsia="Times New Roman" w:hAnsi="Times New Roman"/>
          <w:color w:val="333333"/>
          <w:sz w:val="22"/>
          <w:szCs w:val="22"/>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p>
      <w:pPr>
        <w:spacing w:after="180" w:line="276"/>
      </w:pPr>
      <w:r>
        <w:rPr>
          <w:rFonts w:ascii="Times New Roman" w:cs="Times New Roman" w:eastAsia="Times New Roman" w:hAnsi="Times New Roman"/>
          <w:color w:val="333333"/>
          <w:sz w:val="22"/>
          <w:szCs w:val="22"/>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p>
      <w:pPr>
        <w:spacing w:after="180" w:line="276"/>
      </w:pPr>
      <w:r>
        <w:rPr>
          <w:rFonts w:ascii="Times New Roman" w:cs="Times New Roman" w:eastAsia="Times New Roman" w:hAnsi="Times New Roman"/>
          <w:color w:val="333333"/>
          <w:sz w:val="22"/>
          <w:szCs w:val="22"/>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Adaptive Scope: Matching the Observation to the Data</w:t>
      </w:r>
    </w:p>
    <w:p>
      <w:pPr>
        <w:spacing w:after="180" w:line="276"/>
      </w:pPr>
      <w:r>
        <w:rPr>
          <w:rFonts w:ascii="Times New Roman" w:cs="Times New Roman" w:eastAsia="Times New Roman" w:hAnsi="Times New Roman"/>
          <w:color w:val="333333"/>
          <w:sz w:val="22"/>
          <w:szCs w:val="22"/>
        </w:rPr>
        <w:t xml:space="preserve">The HUF framework operates on a fundamental principle: every system is nested inside a larger system and contains smaller systems. The unity constraint holds at every scale—but only within a defined scope. This section introduces Adaptive Scope with Dynamic OCC Drift Monitoring and Dynamic Portfolio Gating, the framework for managing what is observed and how the observation boundary adapts as data changes.</w:t>
      </w:r>
    </w:p>
    <w:p>
      <w:pPr>
        <w:pStyle w:val="Heading2"/>
        <w:spacing w:after="160" w:before="280"/>
      </w:pPr>
      <w:r>
        <w:rPr>
          <w:rFonts w:ascii="Times New Roman" w:cs="Times New Roman" w:eastAsia="Times New Roman" w:hAnsi="Times New Roman"/>
          <w:b/>
          <w:bCs/>
          <w:color w:val="1F3864"/>
          <w:sz w:val="24"/>
          <w:szCs w:val="24"/>
        </w:rPr>
        <w:t xml:space="preserve">10.1 The Nested System Principle</w:t>
      </w:r>
    </w:p>
    <w:p>
      <w:pPr>
        <w:spacing w:after="180" w:line="276"/>
      </w:pPr>
      <w:r>
        <w:rPr>
          <w:rFonts w:ascii="Times New Roman" w:cs="Times New Roman" w:eastAsia="Times New Roman" w:hAnsi="Times New Roman"/>
          <w:color w:val="333333"/>
          <w:sz w:val="22"/>
          <w:szCs w:val="22"/>
        </w:rPr>
        <w:t xml:space="preserve">Consider the structure of complex systems. Claude is a system. Claude plus an operator is a system. The operator plus family forms a system. The collective of all humans is a system. The same mathematical structure appears at every scale. Each system has a budget ceiling (total information processing capacity, total energy, total attention), a set of elements (components, stakeholders, subsystems), and shares that sum to 1.0.</w:t>
      </w:r>
    </w:p>
    <w:p>
      <w:pPr>
        <w:spacing w:after="180" w:line="276"/>
      </w:pPr>
      <w:r>
        <w:rPr>
          <w:rFonts w:ascii="Times New Roman" w:cs="Times New Roman" w:eastAsia="Times New Roman" w:hAnsi="Times New Roman"/>
          <w:color w:val="333333"/>
          <w:sz w:val="22"/>
          <w:szCs w:val="22"/>
        </w:rPr>
        <w:t xml:space="preserve">The critical observation is this: the unity constraint holds perfectly at each scale, but the meaning of the elements changes with the scope. At the scale of Claude alone, the elements might be attention mechanisms and computation modules. At the scale of Claude plus operator, the elements become Claude-as-a-system and the operator-as-a-system. At the scale of family, the elements are individual family members. The math is identical; the interpretation changes with scope.</w:t>
      </w:r>
    </w:p>
    <w:p>
      <w:pPr>
        <w:spacing w:after="180" w:line="276"/>
      </w:pPr>
      <w:r>
        <w:rPr>
          <w:rFonts w:ascii="Times New Roman" w:cs="Times New Roman" w:eastAsia="Times New Roman" w:hAnsi="Times New Roman"/>
          <w:color w:val="333333"/>
          <w:sz w:val="22"/>
          <w:szCs w:val="22"/>
        </w:rPr>
        <w:t xml:space="preserve">This raises a profound question: What defines the correct scope for observation? The answer is: the scope must match the data actually present. If you choose a scope that includes elements with no data, the unity constraint becomes meaningless—those elements are theoretical, not observed. The solution is not to guess or estimate their shares. The solution is to adjust the scope.</w:t>
      </w:r>
    </w:p>
    <w:p>
      <w:pPr>
        <w:pStyle w:val="Heading2"/>
        <w:spacing w:after="160" w:before="280"/>
      </w:pPr>
      <w:r>
        <w:rPr>
          <w:rFonts w:ascii="Times New Roman" w:cs="Times New Roman" w:eastAsia="Times New Roman" w:hAnsi="Times New Roman"/>
          <w:b/>
          <w:bCs/>
          <w:color w:val="1F3864"/>
          <w:sz w:val="24"/>
          <w:szCs w:val="24"/>
        </w:rPr>
        <w:t xml:space="preserve">10.2 Center Frequency and Bandwidth of Observation</w:t>
      </w:r>
    </w:p>
    <w:p>
      <w:pPr>
        <w:spacing w:after="180" w:line="276"/>
      </w:pPr>
      <w:r>
        <w:rPr>
          <w:rFonts w:ascii="Times New Roman" w:cs="Times New Roman" w:eastAsia="Times New Roman" w:hAnsi="Times New Roman"/>
          <w:color w:val="333333"/>
          <w:sz w:val="22"/>
          <w:szCs w:val="22"/>
        </w:rPr>
        <w:t xml:space="preserve">The choice of observation scope has an acoustic analogy. A bandpass filter has a center frequency and a bandwidth. The center frequency locates where the filter listens. The bandwidth defines the range of frequencies it captures. The same idea applies to HUF observation scopes.</w:t>
      </w:r>
    </w:p>
    <w:p>
      <w:pPr>
        <w:spacing w:after="180" w:line="276"/>
      </w:pPr>
      <w:r>
        <w:rPr>
          <w:rFonts w:ascii="Times New Roman" w:cs="Times New Roman" w:eastAsia="Times New Roman" w:hAnsi="Times New Roman"/>
          <w:color w:val="333333"/>
          <w:sz w:val="22"/>
          <w:szCs w:val="22"/>
        </w:rPr>
        <w:t xml:space="preserve">In an acoustic filter, if the center frequency is set to 1000 Hz and the bandwidth is 200 Hz, the filter listens from 900 Hz to 1100 Hz. Frequencies outside that range are attenuated. The observation is optimized for the frequencies of interest within the bandwidth.</w:t>
      </w:r>
    </w:p>
    <w:p>
      <w:pPr>
        <w:spacing w:after="180" w:line="276"/>
      </w:pPr>
      <w:r>
        <w:rPr>
          <w:rFonts w:ascii="Times New Roman" w:cs="Times New Roman" w:eastAsia="Times New Roman" w:hAnsi="Times New Roman"/>
          <w:color w:val="333333"/>
          <w:sz w:val="22"/>
          <w:szCs w:val="22"/>
        </w:rPr>
        <w:t xml:space="preserve">Similarly, HUF’s observation scope has a focal system (center frequency) and a range of included subsystems (bandwidth). The focal system is the one you are primarily concerned with. The bandwidth is the range of other systems and scales you include in the ratio state.</w:t>
      </w:r>
    </w:p>
    <w:p>
      <w:pPr>
        <w:spacing w:after="180" w:line="276"/>
      </w:pPr>
      <w:r>
        <w:rPr>
          <w:rFonts w:ascii="Times New Roman" w:cs="Times New Roman" w:eastAsia="Times New Roman" w:hAnsi="Times New Roman"/>
          <w:color w:val="333333"/>
          <w:sz w:val="22"/>
          <w:szCs w:val="22"/>
        </w:rPr>
        <w:t xml:space="preserve">The practical rule: if your observation includes elements where you have no data or cannot compute shares, narrow the bandwidth. Exclude those elements from the active portfolio. The unity constraint applies only to the elements you can actually observe. As new data arrives or becomes available, you can widen the bandwidth and bring in previously excluded elements.</w:t>
      </w:r>
    </w:p>
    <w:p>
      <w:pPr>
        <w:spacing w:after="180" w:line="276"/>
      </w:pPr>
      <w:r>
        <w:rPr>
          <w:rFonts w:ascii="Times New Roman" w:cs="Times New Roman" w:eastAsia="Times New Roman" w:hAnsi="Times New Roman"/>
          <w:color w:val="333333"/>
          <w:sz w:val="22"/>
          <w:szCs w:val="22"/>
        </w:rPr>
        <w:t xml:space="preserve">This is not loss of information. It is correct scoping. A department that cannot access financial data from a supplier should not include that supplier in its budget ratio. Once the supplier’s data becomes available, the scope can be expanded to include it.</w:t>
      </w:r>
    </w:p>
    <w:p>
      <w:pPr>
        <w:pStyle w:val="Heading2"/>
        <w:spacing w:after="160" w:before="280"/>
      </w:pPr>
      <w:r>
        <w:rPr>
          <w:rFonts w:ascii="Times New Roman" w:cs="Times New Roman" w:eastAsia="Times New Roman" w:hAnsi="Times New Roman"/>
          <w:b/>
          <w:bCs/>
          <w:color w:val="1F3864"/>
          <w:sz w:val="24"/>
          <w:szCs w:val="24"/>
        </w:rPr>
        <w:t xml:space="preserve">10.3 Dynamic Portfolio Gating</w:t>
      </w:r>
    </w:p>
    <w:p>
      <w:pPr>
        <w:spacing w:after="180" w:line="276"/>
      </w:pPr>
      <w:r>
        <w:rPr>
          <w:rFonts w:ascii="Times New Roman" w:cs="Times New Roman" w:eastAsia="Times New Roman" w:hAnsi="Times New Roman"/>
          <w:color w:val="333333"/>
          <w:sz w:val="22"/>
          <w:szCs w:val="22"/>
        </w:rPr>
        <w:t xml:space="preserve">In neural networks, a softmax gate or attention mechanism selects which inputs are active in computation based on their magnitude. In audio engineering, a noise gate silences signals below a threshold, activating only signals above the noise floor. These gating mechanisms adapt in real time based on the data.</w:t>
      </w:r>
    </w:p>
    <w:p>
      <w:pPr>
        <w:spacing w:after="180" w:line="276"/>
      </w:pPr>
      <w:r>
        <w:rPr>
          <w:rFonts w:ascii="Times New Roman" w:cs="Times New Roman" w:eastAsia="Times New Roman" w:hAnsi="Times New Roman"/>
          <w:color w:val="333333"/>
          <w:sz w:val="22"/>
          <w:szCs w:val="22"/>
        </w:rPr>
        <w:t xml:space="preserve">Dynamic portfolio gating applies the same principle to HUF observation. Elements in the portfolio have a noise floor—a minimum significance or observability threshold. Elements above this threshold are included in the active portfolio and contribute to the ratio state. Elements below the threshold are gated out (not deleted, just excluded from the active calculation). As new data arrives, the gate re-evaluates: elements that were below threshold may now rise above it and enter the active set. Elements that drop below threshold exit.</w:t>
      </w:r>
    </w:p>
    <w:p>
      <w:pPr>
        <w:spacing w:after="180" w:line="276"/>
      </w:pPr>
      <w:r>
        <w:rPr>
          <w:rFonts w:ascii="Times New Roman" w:cs="Times New Roman" w:eastAsia="Times New Roman" w:hAnsi="Times New Roman"/>
          <w:color w:val="333333"/>
          <w:sz w:val="22"/>
          <w:szCs w:val="22"/>
        </w:rPr>
        <w:t xml:space="preserve">The mathematics remain consistent: the unity constraint applies to the gated set. Σρᵢ = 1 only for the elements currently in the active portfolio. When the gate status changes, the ratio state is recomputed over the new gated set. The trace record documents when elements enter and leave the gated portfolio and why.</w:t>
      </w:r>
    </w:p>
    <w:p>
      <w:pPr>
        <w:spacing w:after="180" w:line="276"/>
      </w:pPr>
      <w:r>
        <w:rPr>
          <w:rFonts w:ascii="Times New Roman" w:cs="Times New Roman" w:eastAsia="Times New Roman" w:hAnsi="Times New Roman"/>
          <w:color w:val="333333"/>
          <w:sz w:val="22"/>
          <w:szCs w:val="22"/>
        </w:rPr>
        <w:t xml:space="preserve">This mechanism prevents false precision. If you have five potential elements in a system but only three produce observable data, you compute shares over the three. The two without data are not assigned zero share (which would be mathematically false); they are gated out. Once data arrives, they re-enter automatically.</w:t>
      </w:r>
    </w:p>
    <w:p>
      <w:pPr>
        <w:pStyle w:val="Heading2"/>
        <w:spacing w:after="160" w:before="280"/>
      </w:pPr>
      <w:r>
        <w:rPr>
          <w:rFonts w:ascii="Times New Roman" w:cs="Times New Roman" w:eastAsia="Times New Roman" w:hAnsi="Times New Roman"/>
          <w:b/>
          <w:bCs/>
          <w:color w:val="1F3864"/>
          <w:sz w:val="24"/>
          <w:szCs w:val="24"/>
        </w:rPr>
        <w:t xml:space="preserve">10.4 The Sufficiency Frontier at Multiple Scales</w:t>
      </w:r>
    </w:p>
    <w:p>
      <w:pPr>
        <w:spacing w:after="180" w:line="276"/>
      </w:pPr>
      <w:r>
        <w:rPr>
          <w:rFonts w:ascii="Times New Roman" w:cs="Times New Roman" w:eastAsia="Times New Roman" w:hAnsi="Times New Roman"/>
          <w:color w:val="333333"/>
          <w:sz w:val="22"/>
          <w:szCs w:val="22"/>
        </w:rPr>
        <w:t xml:space="preserve">The sufficiency frontier is not unique to HUF’s corpus analysis. The frontier exists at every scale and in every domain where proportional allocation matters.</w:t>
      </w:r>
    </w:p>
    <w:p>
      <w:pPr>
        <w:spacing w:after="180" w:line="276"/>
      </w:pPr>
      <w:r>
        <w:rPr>
          <w:rFonts w:ascii="Times New Roman" w:cs="Times New Roman" w:eastAsia="Times New Roman" w:hAnsi="Times New Roman"/>
          <w:color w:val="333333"/>
          <w:sz w:val="22"/>
          <w:szCs w:val="22"/>
        </w:rPr>
        <w:t xml:space="preserve">A cell has a sufficiency frontier. The critical boundary is the concentration of regulatory signals and resources that allows the cell to sustain function. Below that frontier, the cell cannot maintain structure and dies. Above it, the cell is viable. The same ratio-based logic that governs HUF’s portfolio analysis governs the cell’s resource allocation between nucleus, cytoplasm, and organelles.</w:t>
      </w:r>
    </w:p>
    <w:p>
      <w:pPr>
        <w:spacing w:after="180" w:line="276"/>
      </w:pPr>
      <w:r>
        <w:rPr>
          <w:rFonts w:ascii="Times New Roman" w:cs="Times New Roman" w:eastAsia="Times New Roman" w:hAnsi="Times New Roman"/>
          <w:color w:val="333333"/>
          <w:sz w:val="22"/>
          <w:szCs w:val="22"/>
        </w:rPr>
        <w:t xml:space="preserve">A department has a sufficiency frontier. The critical boundary is the balance of operator attention (management), tool capacity (budget), and external communication that allows the department to deliver its function. Below that frontier, the department cannot sustain its mandate and fails or restructures. The OCC 51/49 contract places the declared intent above the frontier; MC-4 monitoring detects if silent drift is approaching the frontier from below.</w:t>
      </w:r>
    </w:p>
    <w:p>
      <w:pPr>
        <w:spacing w:after="180" w:line="276"/>
      </w:pPr>
      <w:r>
        <w:rPr>
          <w:rFonts w:ascii="Times New Roman" w:cs="Times New Roman" w:eastAsia="Times New Roman" w:hAnsi="Times New Roman"/>
          <w:color w:val="333333"/>
          <w:sz w:val="22"/>
          <w:szCs w:val="22"/>
        </w:rPr>
        <w:t xml:space="preserve">An organization has a sufficiency frontier. The critical boundary is the balance of stakeholder confidence, financial liquidity, and operational capacity that allows the organization to persist and adapt. Concentration risk—where one stakeholder’s share rises toward 100%—approaches the frontier from above. Fragmentation risk—where many stakeholders have small non-actionable shares—approaches the frontier from below. Both cross the frontier into failure regimes.</w:t>
      </w:r>
    </w:p>
    <w:p>
      <w:pPr>
        <w:spacing w:after="180" w:line="276"/>
      </w:pPr>
      <w:r>
        <w:rPr>
          <w:rFonts w:ascii="Times New Roman" w:cs="Times New Roman" w:eastAsia="Times New Roman" w:hAnsi="Times New Roman"/>
          <w:color w:val="333333"/>
          <w:sz w:val="22"/>
          <w:szCs w:val="22"/>
        </w:rPr>
        <w:t xml:space="preserve">The scale changes, but the structure does not. Every nested system has a frontier, and the Adaptive Scope principle allows HUF monitoring to apply at any scale by simply choosing the appropriate bandwidth. A researcher studying cell biology can use the same ratio-based analysis tools that a governance analyst uses for organizations, because the underlying mathematics is domain-agnostic.</w:t>
      </w:r>
    </w:p>
    <w:p>
      <w:pPr>
        <w:spacing w:after="160" w:before="80"/>
      </w:pPr>
      <w:r>
        <w:rPr>
          <w:rFonts w:ascii="Times New Roman" w:cs="Times New Roman" w:eastAsia="Times New Roman" w:hAnsi="Times New Roman"/>
          <w:i/>
          <w:iCs/>
          <w:color w:val="2E75B6"/>
          <w:sz w:val="20"/>
          <w:szCs w:val="20"/>
        </w:rPr>
        <w:t xml:space="preserve">▶ Dynamic monitoring: Pillar 2, Sections 11–12 (OCC Drift and Gating)</w:t>
      </w:r>
    </w:p>
    <w:p>
      <w:pPr>
        <w:spacing w:after="160" w:before="80"/>
      </w:pPr>
      <w:r>
        <w:rPr>
          <w:rFonts w:ascii="Times New Roman" w:cs="Times New Roman" w:eastAsia="Times New Roman" w:hAnsi="Times New Roman"/>
          <w:i/>
          <w:iCs/>
          <w:color w:val="2E75B6"/>
          <w:sz w:val="20"/>
          <w:szCs w:val="20"/>
        </w:rPr>
        <w:t xml:space="preserve">▶ Nested systems in detail: Vol 3, Mathematical Foundations</w:t>
      </w:r>
    </w:p>
    <w:p>
      <w:pPr>
        <w:spacing w:after="160" w:before="80"/>
      </w:pPr>
      <w:r>
        <w:rPr>
          <w:rFonts w:ascii="Times New Roman" w:cs="Times New Roman" w:eastAsia="Times New Roman" w:hAnsi="Times New Roman"/>
          <w:i/>
          <w:iCs/>
          <w:color w:val="2E75B6"/>
          <w:sz w:val="20"/>
          <w:szCs w:val="20"/>
        </w:rPr>
        <w:t xml:space="preserve">▶ Scale applications: Vol 1–4, Domain-Specific Volumes</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Conclusion</w:t>
      </w:r>
    </w:p>
    <w:p>
      <w:pPr>
        <w:spacing w:after="180" w:line="276"/>
      </w:pPr>
      <w:r>
        <w:rPr>
          <w:rFonts w:ascii="Times New Roman" w:cs="Times New Roman" w:eastAsia="Times New Roman" w:hAnsi="Times New Roman"/>
          <w:color w:val="333333"/>
          <w:sz w:val="22"/>
          <w:szCs w:val="22"/>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p>
      <w:pPr>
        <w:spacing w:after="180" w:line="276"/>
      </w:pPr>
      <w:r>
        <w:rPr>
          <w:rFonts w:ascii="Times New Roman" w:cs="Times New Roman" w:eastAsia="Times New Roman" w:hAnsi="Times New Roman"/>
          <w:color w:val="333333"/>
          <w:sz w:val="22"/>
          <w:szCs w:val="22"/>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p>
      <w:pPr>
        <w:spacing w:after="180" w:line="276"/>
      </w:pPr>
      <w:r>
        <w:rPr>
          <w:rFonts w:ascii="Times New Roman" w:cs="Times New Roman" w:eastAsia="Times New Roman" w:hAnsi="Times New Roman"/>
          <w:color w:val="333333"/>
          <w:sz w:val="22"/>
          <w:szCs w:val="22"/>
        </w:rPr>
        <w:t xml:space="preserve">The Adaptive Scope principle extends the sufficiency frontier analysis to operating systems. By matching the observation scope to the data actually present, using center frequency and bandwidth metaphors to guide scoping decisions, and implementing dynamic portfolio gating that adapts to data availability in real time, HUF can monitor nested systems at multiple scales without loss of mathematical rigor.</w:t>
      </w:r>
    </w:p>
    <w:p>
      <w:pPr>
        <w:spacing w:after="180" w:line="276"/>
      </w:pPr>
      <w:r>
        <w:rPr>
          <w:rFonts w:ascii="Times New Roman" w:cs="Times New Roman" w:eastAsia="Times New Roman" w:hAnsi="Times New Roman"/>
          <w:color w:val="333333"/>
          <w:sz w:val="22"/>
          <w:szCs w:val="22"/>
        </w:rPr>
        <w:t xml:space="preserve">The sufficiency frontier is not a property of HUF; it is a property of the inference task. HUF demonstrates that the frontier exists and can be reached without domain-specific knowledge, provided the structural invariant (Σρᵢ = 1) holds. The car/fuel analogy illustrates that the frontier is an everyday reality obscured by our habit of thinking in absolute numbers rather than ratios. In any system where budget is conserved and allocation is proportional, the frontier exists, the ratio reveals it, and the adaptive scope framework allows it to be monitored at any scale.</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v2.3,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2026-03-09T19:50:24.638Z</dcterms:created>
  <dcterms:modified xsi:type="dcterms:W3CDTF">2026-03-09T19:50:24.638Z</dcterms:modified>
</cp:coreProperties>
</file>

<file path=docProps/custom.xml><?xml version="1.0" encoding="utf-8"?>
<Properties xmlns="http://schemas.openxmlformats.org/officeDocument/2006/custom-properties" xmlns:vt="http://schemas.openxmlformats.org/officeDocument/2006/docPropsVTypes"/>
</file>