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Times New Roman" w:cs="Times New Roman" w:eastAsia="Times New Roman" w:hAnsi="Times New Roman"/>
          <w:b/>
          <w:bCs/>
          <w:color w:val="1F3864"/>
          <w:sz w:val="44"/>
          <w:szCs w:val="44"/>
        </w:rPr>
        <w:t xml:space="preserve">THE HUF TRIAD</w:t>
      </w:r>
    </w:p>
    <w:p>
      <w:pPr>
        <w:spacing w:after="100"/>
        <w:jc w:val="center"/>
      </w:pPr>
      <w:r>
        <w:rPr>
          <w:rFonts w:ascii="Times New Roman" w:cs="Times New Roman" w:eastAsia="Times New Roman" w:hAnsi="Times New Roman"/>
          <w:color w:val="2E75B6"/>
          <w:sz w:val="28"/>
          <w:szCs w:val="28"/>
        </w:rPr>
        <w:t xml:space="preserve">Bridging Sufficient Statistics and Ratio State Monitoring</w:t>
      </w:r>
    </w:p>
    <w:p>
      <w:pPr>
        <w:spacing w:after="100"/>
        <w:jc w:val="center"/>
      </w:pPr>
      <w:r>
        <w:rPr>
          <w:rFonts w:ascii="Times New Roman" w:cs="Times New Roman" w:eastAsia="Times New Roman" w:hAnsi="Times New Roman"/>
          <w:color w:val="2E75B6"/>
          <w:sz w:val="28"/>
          <w:szCs w:val="28"/>
        </w:rPr>
        <w:t xml:space="preserve">through Governance</w:t>
      </w:r>
    </w:p>
    <w:p>
      <w:pPr>
        <w:spacing w:before="400"/>
      </w:pPr>
    </w:p>
    <w:p>
      <w:pPr>
        <w:spacing w:after="80"/>
        <w:jc w:val="center"/>
      </w:pPr>
      <w:r>
        <w:rPr>
          <w:rFonts w:ascii="Times New Roman" w:cs="Times New Roman" w:eastAsia="Times New Roman" w:hAnsi="Times New Roman"/>
          <w:i/>
          <w:iCs/>
          <w:color w:val="333333"/>
          <w:sz w:val="24"/>
          <w:szCs w:val="24"/>
        </w:rPr>
        <w:t xml:space="preserve">Volume 8 — The Triad Synthesis</w:t>
      </w:r>
    </w:p>
    <w:p>
      <w:pPr>
        <w:spacing w:after="80"/>
        <w:jc w:val="center"/>
      </w:pPr>
      <w:r>
        <w:rPr>
          <w:rFonts w:ascii="Times New Roman" w:cs="Times New Roman" w:eastAsia="Times New Roman" w:hAnsi="Times New Roman"/>
          <w:color w:val="333333"/>
          <w:sz w:val="22"/>
          <w:szCs w:val="22"/>
        </w:rPr>
        <w:t xml:space="preserve">Version 1.0 · March 2026</w:t>
      </w:r>
    </w:p>
    <w:p>
      <w:pPr>
        <w:spacing w:before="600"/>
      </w:pPr>
    </w:p>
    <w:p>
      <w:pPr>
        <w:spacing w:after="60"/>
        <w:jc w:val="center"/>
      </w:pPr>
      <w:r>
        <w:rPr>
          <w:rFonts w:ascii="Times New Roman" w:cs="Times New Roman" w:eastAsia="Times New Roman" w:hAnsi="Times New Roman"/>
          <w:b/>
          <w:bCs/>
          <w:color w:val="333333"/>
          <w:sz w:val="22"/>
          <w:szCs w:val="22"/>
        </w:rPr>
        <w:t xml:space="preserve">Peter Higgins</w:t>
      </w:r>
    </w:p>
    <w:p>
      <w:pPr>
        <w:spacing w:after="60"/>
        <w:jc w:val="center"/>
      </w:pPr>
      <w:r>
        <w:rPr>
          <w:rFonts w:ascii="Times New Roman" w:cs="Times New Roman" w:eastAsia="Times New Roman" w:hAnsi="Times New Roman"/>
          <w:color w:val="333333"/>
          <w:sz w:val="20"/>
          <w:szCs w:val="20"/>
        </w:rPr>
        <w:t xml:space="preserve">Principal Investigator, Rogue Wave Audio, Markham, Ontario</w:t>
      </w:r>
    </w:p>
    <w:p>
      <w:pPr>
        <w:spacing w:after="200"/>
        <w:jc w:val="center"/>
      </w:pPr>
      <w:r>
        <w:rPr>
          <w:rFonts w:ascii="Times New Roman" w:cs="Times New Roman" w:eastAsia="Times New Roman" w:hAnsi="Times New Roman"/>
          <w:i/>
          <w:iCs/>
          <w:color w:val="333333"/>
          <w:sz w:val="20"/>
          <w:szCs w:val="20"/>
        </w:rPr>
        <w:t xml:space="preserve">With the Five-AI Collective: Claude, Grok, GPT, Gemini, DeepSeek</w:t>
      </w:r>
    </w:p>
    <w:p>
      <w:pPr>
        <w:jc w:val="center"/>
      </w:pPr>
      <w:r>
        <w:rPr>
          <w:rFonts w:ascii="Times New Roman" w:cs="Times New Roman" w:eastAsia="Times New Roman" w:hAnsi="Times New Roman"/>
          <w:color w:val="999999"/>
          <w:sz w:val="20"/>
          <w:szCs w:val="20"/>
        </w:rPr>
        <w:t xml:space="preserve">Higgins Unity Framework v1.2.0 · MIT License</w:t>
      </w:r>
    </w:p>
    <w:p>
      <w:r>
        <w:br w:type="page"/>
      </w:r>
    </w:p>
    <w:p>
      <w:pPr>
        <w:pStyle w:val="Heading1"/>
        <w:spacing w:after="200" w:before="360"/>
      </w:pPr>
      <w:r>
        <w:rPr>
          <w:rFonts w:ascii="Times New Roman" w:cs="Times New Roman" w:eastAsia="Times New Roman" w:hAnsi="Times New Roman"/>
          <w:b/>
          <w:bCs/>
          <w:color w:val="1F3864"/>
          <w:sz w:val="28"/>
          <w:szCs w:val="28"/>
        </w:rPr>
        <w:t xml:space="preserve">Abstract</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Higgins Unity Framework (HUF) rests on three mutually reinforcing structures. Pillar 1, The Sufficiency Frontier, establishes that domain-agnostic sufficient statistic extraction can reduce 156 million heterogeneous records to a 1,008-byte portfolio state at a ratio of 6,357,738:1, placing HUF in an analytically distinct category beyond conventional compression and signal processing. Pillar 2, The Fourth Monitoring Category, introduces Ratio State Monitoring (MC-4) as a structurally new approach to governance observation: a degenerate state observer where the output is the state, requiring no dynamic model, no external threshold, and no domain-specific calibration. This document, Volume 8, is the third structure: the bridge that binds the two pillars through a comprehensive governance framework spanning nine volumes, from interactive playground notebooks to formal mathematical proofs.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Triad architecture ensures that any reader—regardless of entry point or expertise—can navigate the complete framework through cross-referenced volumes, a unified glossary of 30 terms, and progressive learning pathways from grade-school intuition to post-doctoral research. The unity constraint (Σρᵢ = 1) serves as the common foundation across all volumes, all domains, and all levels of analysis.</w:t>
      </w:r>
    </w:p>
    <w:p>
      <w:r>
        <w:br w:type="page"/>
      </w:r>
    </w:p>
    <w:p>
      <w:pPr>
        <w:pStyle w:val="Heading1"/>
        <w:spacing w:after="200" w:before="360"/>
      </w:pPr>
      <w:r>
        <w:rPr>
          <w:rFonts w:ascii="Times New Roman" w:cs="Times New Roman" w:eastAsia="Times New Roman" w:hAnsi="Times New Roman"/>
          <w:b/>
          <w:bCs/>
          <w:color w:val="1F3864"/>
          <w:sz w:val="28"/>
          <w:szCs w:val="28"/>
        </w:rPr>
        <w:t xml:space="preserve">1. The Triad Argument</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A framework that only describes what it extracts (Pillar 1) lacks operational guidance. A framework that only describes how it observes (Pillar 2) lacks theoretical grounding. Neither pillar alone constitutes a complete system. The Triad recognizes that theory, observation, and practice form an irreducible triple:</w:t>
      </w:r>
    </w:p>
    <w:p>
      <w:pPr>
        <w:spacing w:after="160"/>
        <w:jc w:val="both"/>
      </w:pPr>
      <w:r>
        <w:rPr>
          <w:rFonts w:ascii="Times New Roman" w:cs="Times New Roman" w:eastAsia="Times New Roman" w:hAnsi="Times New Roman"/>
          <w:b/>
          <w:bCs/>
          <w:color w:val="333333"/>
          <w:sz w:val="22"/>
          <w:szCs w:val="22"/>
        </w:rPr>
        <w:t xml:space="preserve">Pillar 1 (The Sufficiency Frontier)</w:t>
      </w:r>
      <w:r>
        <w:rPr>
          <w:rFonts w:ascii="Times New Roman" w:cs="Times New Roman" w:eastAsia="Times New Roman" w:hAnsi="Times New Roman"/>
          <w:color w:val="333333"/>
          <w:sz w:val="22"/>
          <w:szCs w:val="22"/>
        </w:rPr>
        <w:t xml:space="preserve"> answers: what does HUF extract from data, and why is the extraction sufficient? It establishes the information-theoretic position of the PreParser—not compression, not filtering, but sufficient statistic extraction on the probability simplex.</w:t>
      </w:r>
    </w:p>
    <w:p>
      <w:pPr>
        <w:spacing w:after="160"/>
        <w:jc w:val="both"/>
      </w:pPr>
      <w:r>
        <w:rPr>
          <w:rFonts w:ascii="Times New Roman" w:cs="Times New Roman" w:eastAsia="Times New Roman" w:hAnsi="Times New Roman"/>
          <w:b/>
          <w:bCs/>
          <w:color w:val="333333"/>
          <w:sz w:val="22"/>
          <w:szCs w:val="22"/>
        </w:rPr>
        <w:t xml:space="preserve">Pillar 2 (The Fourth Monitoring Category)</w:t>
      </w:r>
      <w:r>
        <w:rPr>
          <w:rFonts w:ascii="Times New Roman" w:cs="Times New Roman" w:eastAsia="Times New Roman" w:hAnsi="Times New Roman"/>
          <w:color w:val="333333"/>
          <w:sz w:val="22"/>
          <w:szCs w:val="22"/>
        </w:rPr>
        <w:t xml:space="preserve"> answers: how does HUF observe a system’s governance state, and why is this observation structurally new? It establishes MC-4 as the first monitoring category that uses a system’s own declared intent as its reference.</w:t>
      </w:r>
    </w:p>
    <w:p>
      <w:pPr>
        <w:spacing w:after="160"/>
        <w:jc w:val="both"/>
      </w:pPr>
      <w:r>
        <w:rPr>
          <w:rFonts w:ascii="Times New Roman" w:cs="Times New Roman" w:eastAsia="Times New Roman" w:hAnsi="Times New Roman"/>
          <w:b/>
          <w:bCs/>
          <w:color w:val="333333"/>
          <w:sz w:val="22"/>
          <w:szCs w:val="22"/>
        </w:rPr>
        <w:t xml:space="preserve">The Governance Bridge (Volumes 0–8)</w:t>
      </w:r>
      <w:r>
        <w:rPr>
          <w:rFonts w:ascii="Times New Roman" w:cs="Times New Roman" w:eastAsia="Times New Roman" w:hAnsi="Times New Roman"/>
          <w:color w:val="333333"/>
          <w:sz w:val="22"/>
          <w:szCs w:val="22"/>
        </w:rPr>
        <w:t xml:space="preserve"> answers: how does a practitioner, researcher, or policy maker actually use HUF? It provides the progressive learning pathway, the operational handbook, the empirical evidence, and the cross-domain validation that connects theory to practice.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Removing any one of these three structures leaves the remaining two incomplete. Without Pillar 1, the governance framework lacks a rigorous account of what information it operates on. Without Pillar 2, the framework lacks a rigorous account of why its observation method is valid. Without the Governance Bridge, both pillars remain academic papers disconnected from operational reality.</w:t>
      </w:r>
    </w:p>
    <w:p>
      <w:pPr>
        <w:spacing w:after="160" w:before="80"/>
      </w:pPr>
      <w:r>
        <w:rPr>
          <w:rFonts w:ascii="Times New Roman" w:cs="Times New Roman" w:eastAsia="Times New Roman" w:hAnsi="Times New Roman"/>
          <w:i/>
          <w:iCs/>
          <w:color w:val="2E75B6"/>
          <w:sz w:val="20"/>
          <w:szCs w:val="20"/>
        </w:rPr>
        <w:t xml:space="preserve">▶ Pillar 1: The Sufficiency Frontier (companion paper)</w:t>
      </w:r>
    </w:p>
    <w:p>
      <w:pPr>
        <w:spacing w:after="160" w:before="80"/>
      </w:pPr>
      <w:r>
        <w:rPr>
          <w:rFonts w:ascii="Times New Roman" w:cs="Times New Roman" w:eastAsia="Times New Roman" w:hAnsi="Times New Roman"/>
          <w:i/>
          <w:iCs/>
          <w:color w:val="2E75B6"/>
          <w:sz w:val="20"/>
          <w:szCs w:val="20"/>
        </w:rPr>
        <w:t xml:space="preserve">▶ Pillar 2: The Fourth Monitoring Category (companion paper)</w:t>
      </w:r>
    </w:p>
    <w:p>
      <w:r>
        <w:br w:type="page"/>
      </w:r>
    </w:p>
    <w:p>
      <w:pPr>
        <w:pStyle w:val="Heading1"/>
        <w:spacing w:after="200" w:before="360"/>
      </w:pPr>
      <w:r>
        <w:rPr>
          <w:rFonts w:ascii="Times New Roman" w:cs="Times New Roman" w:eastAsia="Times New Roman" w:hAnsi="Times New Roman"/>
          <w:b/>
          <w:bCs/>
          <w:color w:val="1F3864"/>
          <w:sz w:val="28"/>
          <w:szCs w:val="28"/>
        </w:rPr>
        <w:t xml:space="preserve">2. The Nine Volumes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Triad is organized into nine volumes, numbered 0 through 8. Volume 0 begins with no prerequisites; Volume 8 synthesizes the complete framework. A reader can enter at any volume; cross-references guide navigation to prerequisite material when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800"/>
        <w:gridCol w:w="3760"/>
      </w:tblGrid>
      <w:tr>
        <w:tc>
          <w:tcPr>
            <w:tcW w:type="dxa" w:w="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Volume</w:t>
            </w:r>
          </w:p>
        </w:tc>
        <w:tc>
          <w:tcPr>
            <w:tcW w:type="dxa" w:w="2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Title</w:t>
            </w:r>
          </w:p>
        </w:tc>
        <w:tc>
          <w:tcPr>
            <w:tcW w:type="dxa" w:w="28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Audience</w:t>
            </w:r>
          </w:p>
        </w:tc>
        <w:tc>
          <w:tcPr>
            <w:tcW w:type="dxa" w:w="37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Core Question</w:t>
            </w:r>
          </w:p>
        </w:tc>
      </w:tr>
      <w:tr>
        <w:tc>
          <w:tcPr>
            <w:tcW w:type="dxa" w:w="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0</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The Playground</w:t>
            </w:r>
          </w:p>
        </w:tc>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Anyone (zero prerequisites)</w:t>
            </w:r>
          </w:p>
        </w:tc>
        <w:tc>
          <w:tcPr>
            <w:tcW w:type="dxa" w:w="37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What does HUF feel like?</w:t>
            </w:r>
          </w:p>
        </w:tc>
      </w:tr>
      <w:tr>
        <w:tc>
          <w:tcPr>
            <w:tcW w:type="dxa" w:w="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Core Reference</w:t>
            </w:r>
          </w:p>
        </w:tc>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Undergraduate → practitioner</w:t>
            </w:r>
          </w:p>
        </w:tc>
        <w:tc>
          <w:tcPr>
            <w:tcW w:type="dxa" w:w="37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What is the unity constraint?</w:t>
            </w:r>
          </w:p>
        </w:tc>
      </w:tr>
      <w:tr>
        <w:tc>
          <w:tcPr>
            <w:tcW w:type="dxa" w:w="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Case Studies</w:t>
            </w:r>
          </w:p>
        </w:tc>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Practitioner → researcher</w:t>
            </w:r>
          </w:p>
        </w:tc>
        <w:tc>
          <w:tcPr>
            <w:tcW w:type="dxa" w:w="37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Where has HUF been confirmed?</w:t>
            </w:r>
          </w:p>
        </w:tc>
      </w:tr>
      <w:tr>
        <w:tc>
          <w:tcPr>
            <w:tcW w:type="dxa" w:w="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Mathematical Foundations</w:t>
            </w:r>
          </w:p>
        </w:tc>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Graduate → researcher</w:t>
            </w:r>
          </w:p>
        </w:tc>
        <w:tc>
          <w:tcPr>
            <w:tcW w:type="dxa" w:w="37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Why does it work (proofs)?</w:t>
            </w:r>
          </w:p>
        </w:tc>
      </w:tr>
      <w:tr>
        <w:tc>
          <w:tcPr>
            <w:tcW w:type="dxa" w:w="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4</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Ecological Applications</w:t>
            </w:r>
          </w:p>
        </w:tc>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Ecologist → manager</w:t>
            </w:r>
          </w:p>
        </w:tc>
        <w:tc>
          <w:tcPr>
            <w:tcW w:type="dxa" w:w="37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How does HUF apply to wetlands?</w:t>
            </w:r>
          </w:p>
        </w:tc>
      </w:tr>
      <w:tr>
        <w:tc>
          <w:tcPr>
            <w:tcW w:type="dxa" w:w="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5</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Governance &amp; Operations</w:t>
            </w:r>
          </w:p>
        </w:tc>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Manager → policy maker</w:t>
            </w:r>
          </w:p>
        </w:tc>
        <w:tc>
          <w:tcPr>
            <w:tcW w:type="dxa" w:w="37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How do I run HUF?</w:t>
            </w:r>
          </w:p>
        </w:tc>
      </w:tr>
      <w:tr>
        <w:tc>
          <w:tcPr>
            <w:tcW w:type="dxa" w:w="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6</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Universal Applicability</w:t>
            </w:r>
          </w:p>
        </w:tc>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Cross-disciplinary researcher</w:t>
            </w:r>
          </w:p>
        </w:tc>
        <w:tc>
          <w:tcPr>
            <w:tcW w:type="dxa" w:w="37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Why does it work everywhere?</w:t>
            </w:r>
          </w:p>
        </w:tc>
      </w:tr>
      <w:tr>
        <w:tc>
          <w:tcPr>
            <w:tcW w:type="dxa" w:w="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7</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Technical Implementation</w:t>
            </w:r>
          </w:p>
        </w:tc>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Developer → data scientist</w:t>
            </w:r>
          </w:p>
        </w:tc>
        <w:tc>
          <w:tcPr>
            <w:tcW w:type="dxa" w:w="37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How do I build HUF?</w:t>
            </w:r>
          </w:p>
        </w:tc>
      </w:tr>
      <w:tr>
        <w:tc>
          <w:tcPr>
            <w:tcW w:type="dxa" w:w="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8</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The Triad Synthesis</w:t>
            </w:r>
          </w:p>
        </w:tc>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All levels</w:t>
            </w:r>
          </w:p>
        </w:tc>
        <w:tc>
          <w:tcPr>
            <w:tcW w:type="dxa" w:w="37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How does it all fit together?</w:t>
            </w:r>
          </w:p>
        </w:tc>
      </w:tr>
    </w:tbl>
    <w:p>
      <w:pPr>
        <w:spacing w:after="160"/>
        <w:jc w:val="both"/>
      </w:pPr>
      <w:r>
        <w:rPr>
          <w:rFonts w:ascii="Times New Roman" w:cs="Times New Roman" w:eastAsia="Times New Roman" w:hAnsi="Times New Roman"/>
          <w:b w:val="false"/>
          <w:bCs w:val="false"/>
          <w:i w:val="false"/>
          <w:iCs w:val="false"/>
          <w:color w:val="333333"/>
          <w:sz w:val="22"/>
          <w:szCs w:val="22"/>
        </w:rPr>
        <w:t xml:space="preserve"/>
      </w:r>
    </w:p>
    <w:p>
      <w:pPr>
        <w:spacing w:after="160"/>
        <w:jc w:val="both"/>
      </w:pPr>
      <w:r>
        <w:rPr>
          <w:rFonts w:ascii="Times New Roman" w:cs="Times New Roman" w:eastAsia="Times New Roman" w:hAnsi="Times New Roman"/>
          <w:b w:val="false"/>
          <w:bCs w:val="false"/>
          <w:i w:val="false"/>
          <w:iCs w:val="false"/>
          <w:color w:val="333333"/>
          <w:sz w:val="22"/>
          <w:szCs w:val="22"/>
        </w:rPr>
        <w:t xml:space="preserve">Each volume is self-contained for its declared audience while cross-referencing other volumes for depth. The progressive learning pathway ensures that no concept is used before it has been introduced at the appropriate level.</w:t>
      </w:r>
    </w:p>
    <w:p>
      <w:r>
        <w:br w:type="page"/>
      </w:r>
    </w:p>
    <w:p>
      <w:pPr>
        <w:pStyle w:val="Heading1"/>
        <w:spacing w:after="200" w:before="360"/>
      </w:pPr>
      <w:r>
        <w:rPr>
          <w:rFonts w:ascii="Times New Roman" w:cs="Times New Roman" w:eastAsia="Times New Roman" w:hAnsi="Times New Roman"/>
          <w:b/>
          <w:bCs/>
          <w:color w:val="1F3864"/>
          <w:sz w:val="28"/>
          <w:szCs w:val="28"/>
        </w:rPr>
        <w:t xml:space="preserve">3. Pillar 1: The Sufficiency Frontier</w:t>
      </w:r>
    </w:p>
    <w:p>
      <w:pPr>
        <w:pStyle w:val="Heading2"/>
        <w:spacing w:after="160" w:before="280"/>
      </w:pPr>
      <w:r>
        <w:rPr>
          <w:rFonts w:ascii="Times New Roman" w:cs="Times New Roman" w:eastAsia="Times New Roman" w:hAnsi="Times New Roman"/>
          <w:b/>
          <w:bCs/>
          <w:color w:val="1F3864"/>
          <w:sz w:val="24"/>
          <w:szCs w:val="24"/>
        </w:rPr>
        <w:t xml:space="preserve">3.1 Central Claim</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HUF PreParser performs domain-agnostic sufficient statistic extraction. It processes 156 million records from 10 heterogeneous systems—spanning mechanical degradation (BackBlaze), national energy portfolios (OWID), urban transit (TTC), astrophysical instrumentation (ESA Planck), biological fermentation (sourdough), ecological monitoring (Ramsar), digital infrastructure (CI/CD), acoustic physics (RogueWaveAudio), and municipal infrastructure (Toronto)—and produces a 1,008-byte output that preserves all information necessary for portfolio governance inference.</w:t>
      </w:r>
    </w:p>
    <w:p>
      <w:pPr>
        <w:pStyle w:val="Heading2"/>
        <w:spacing w:after="160" w:before="280"/>
      </w:pPr>
      <w:r>
        <w:rPr>
          <w:rFonts w:ascii="Times New Roman" w:cs="Times New Roman" w:eastAsia="Times New Roman" w:hAnsi="Times New Roman"/>
          <w:b/>
          <w:bCs/>
          <w:color w:val="1F3864"/>
          <w:sz w:val="24"/>
          <w:szCs w:val="24"/>
        </w:rPr>
        <w:t xml:space="preserve">3.2 The Hierarchy of Information Reduction</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Pillar 1 introduces a four-level hierarchy that positions HUF relative to established reduction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1600"/>
        <w:gridCol w:w="2600"/>
        <w:gridCol w:w="2860"/>
      </w:tblGrid>
      <w:tr>
        <w:tc>
          <w:tcPr>
            <w:tcW w:type="dxa" w:w="7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Level</w:t>
            </w:r>
          </w:p>
        </w:tc>
        <w:tc>
          <w:tcPr>
            <w:tcW w:type="dxa" w:w="1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Name</w:t>
            </w:r>
          </w:p>
        </w:tc>
        <w:tc>
          <w:tcPr>
            <w:tcW w:type="dxa" w:w="1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Ratio Range</w:t>
            </w:r>
          </w:p>
        </w:tc>
        <w:tc>
          <w:tcPr>
            <w:tcW w:type="dxa" w:w="2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Mechanism</w:t>
            </w:r>
          </w:p>
        </w:tc>
        <w:tc>
          <w:tcPr>
            <w:tcW w:type="dxa" w:w="28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Examples</w:t>
            </w:r>
          </w:p>
        </w:tc>
      </w:tr>
      <w:tr>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w:t>
            </w:r>
          </w:p>
        </w:tc>
        <w:tc>
          <w:tcPr>
            <w:tcW w:type="dxa" w:w="1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Syntactic</w:t>
            </w:r>
          </w:p>
        </w:tc>
        <w:tc>
          <w:tcPr>
            <w:tcW w:type="dxa" w:w="1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2:1 – 10:1</w:t>
            </w:r>
          </w:p>
        </w:tc>
        <w:tc>
          <w:tcPr>
            <w:tcW w:type="dxa" w:w="2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Redundancy removal</w:t>
            </w:r>
          </w:p>
        </w:tc>
        <w:tc>
          <w:tcPr>
            <w:tcW w:type="dxa" w:w="28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ZIP, gzip, LZ77</w:t>
            </w:r>
          </w:p>
        </w:tc>
      </w:tr>
      <w:tr>
        <w:tc>
          <w:tcPr>
            <w:tcW w:type="dxa" w:w="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Perceptual</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10:1 – 3,000:1</w:t>
            </w:r>
          </w:p>
        </w:tc>
        <w:tc>
          <w:tcPr>
            <w:tcW w:type="dxa" w:w="2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Irrelevance removal</w:t>
            </w:r>
          </w:p>
        </w:tc>
        <w:tc>
          <w:tcPr>
            <w:tcW w:type="dxa" w:w="28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JPEG, MP3, H.265</w:t>
            </w:r>
          </w:p>
        </w:tc>
      </w:tr>
      <w:tr>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w:t>
            </w:r>
          </w:p>
        </w:tc>
        <w:tc>
          <w:tcPr>
            <w:tcW w:type="dxa" w:w="1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Structural</w:t>
            </w:r>
          </w:p>
        </w:tc>
        <w:tc>
          <w:tcPr>
            <w:tcW w:type="dxa" w:w="1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10² – 10⁴:1</w:t>
            </w:r>
          </w:p>
        </w:tc>
        <w:tc>
          <w:tcPr>
            <w:tcW w:type="dxa" w:w="2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Model-based extraction</w:t>
            </w:r>
          </w:p>
        </w:tc>
        <w:tc>
          <w:tcPr>
            <w:tcW w:type="dxa" w:w="28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PCA, wavelet, Kalman</w:t>
            </w:r>
          </w:p>
        </w:tc>
      </w:tr>
      <w:tr>
        <w:tc>
          <w:tcPr>
            <w:tcW w:type="dxa" w:w="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4</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Sufficient Statistic</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10⁵ – 10²³:1</w:t>
            </w:r>
          </w:p>
        </w:tc>
        <w:tc>
          <w:tcPr>
            <w:tcW w:type="dxa" w:w="2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Inference-preserving extraction</w:t>
            </w:r>
          </w:p>
        </w:tc>
        <w:tc>
          <w:tcPr>
            <w:tcW w:type="dxa" w:w="28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Boltzmann, Fisher, HUF PreParser</w:t>
            </w:r>
          </w:p>
        </w:tc>
      </w:tr>
    </w:tbl>
    <w:p>
      <w:pPr>
        <w:spacing w:after="160"/>
        <w:jc w:val="both"/>
      </w:pPr>
      <w:r>
        <w:rPr>
          <w:rFonts w:ascii="Times New Roman" w:cs="Times New Roman" w:eastAsia="Times New Roman" w:hAnsi="Times New Roman"/>
          <w:b w:val="false"/>
          <w:bCs w:val="false"/>
          <w:i w:val="false"/>
          <w:iCs w:val="false"/>
          <w:color w:val="333333"/>
          <w:sz w:val="22"/>
          <w:szCs w:val="22"/>
        </w:rPr>
        <w:t xml:space="preserve"/>
      </w:r>
    </w:p>
    <w:p>
      <w:pPr>
        <w:spacing w:after="160"/>
        <w:jc w:val="both"/>
      </w:pPr>
      <w:r>
        <w:rPr>
          <w:rFonts w:ascii="Times New Roman" w:cs="Times New Roman" w:eastAsia="Times New Roman" w:hAnsi="Times New Roman"/>
          <w:b w:val="false"/>
          <w:bCs w:val="false"/>
          <w:i w:val="false"/>
          <w:iCs w:val="false"/>
          <w:color w:val="333333"/>
          <w:sz w:val="22"/>
          <w:szCs w:val="22"/>
        </w:rPr>
        <w:t xml:space="preserve">HUF operates at Level 4. The 6,357,738:1 ratio is not compression; it is the extraction of the sufficient statistics for portfolio governance from raw heterogeneous data. The sufficiency frontier is the boundary in reduction-ratio space where this transition occurs.</w:t>
      </w:r>
    </w:p>
    <w:p>
      <w:pPr>
        <w:spacing w:after="160" w:before="80"/>
      </w:pPr>
      <w:r>
        <w:rPr>
          <w:rFonts w:ascii="Times New Roman" w:cs="Times New Roman" w:eastAsia="Times New Roman" w:hAnsi="Times New Roman"/>
          <w:i/>
          <w:iCs/>
          <w:color w:val="2E75B6"/>
          <w:sz w:val="20"/>
          <w:szCs w:val="20"/>
        </w:rPr>
        <w:t xml:space="preserve">▶ Full treatment: Pillar 1 paper, Sections 3–5</w:t>
      </w:r>
    </w:p>
    <w:p>
      <w:pPr>
        <w:spacing w:after="160" w:before="80"/>
      </w:pPr>
      <w:r>
        <w:rPr>
          <w:rFonts w:ascii="Times New Roman" w:cs="Times New Roman" w:eastAsia="Times New Roman" w:hAnsi="Times New Roman"/>
          <w:i/>
          <w:iCs/>
          <w:color w:val="2E75B6"/>
          <w:sz w:val="20"/>
          <w:szCs w:val="20"/>
        </w:rPr>
        <w:t xml:space="preserve">▶ Interactive examples: Vol 0, Notebooks 1–5</w:t>
      </w:r>
    </w:p>
    <w:p>
      <w:pPr>
        <w:spacing w:after="160" w:before="80"/>
      </w:pPr>
      <w:r>
        <w:rPr>
          <w:rFonts w:ascii="Times New Roman" w:cs="Times New Roman" w:eastAsia="Times New Roman" w:hAnsi="Times New Roman"/>
          <w:i/>
          <w:iCs/>
          <w:color w:val="2E75B6"/>
          <w:sz w:val="20"/>
          <w:szCs w:val="20"/>
        </w:rPr>
        <w:t xml:space="preserve">▶ Mathematical proofs: Vol 3, Sections 9–10</w:t>
      </w:r>
    </w:p>
    <w:p>
      <w:r>
        <w:br w:type="page"/>
      </w:r>
    </w:p>
    <w:p>
      <w:pPr>
        <w:pStyle w:val="Heading1"/>
        <w:spacing w:after="200" w:before="360"/>
      </w:pPr>
      <w:r>
        <w:rPr>
          <w:rFonts w:ascii="Times New Roman" w:cs="Times New Roman" w:eastAsia="Times New Roman" w:hAnsi="Times New Roman"/>
          <w:b/>
          <w:bCs/>
          <w:color w:val="1F3864"/>
          <w:sz w:val="28"/>
          <w:szCs w:val="28"/>
        </w:rPr>
        <w:t xml:space="preserve">4. Pillar 2: The Fourth Monitoring Category</w:t>
      </w:r>
    </w:p>
    <w:p>
      <w:pPr>
        <w:pStyle w:val="Heading2"/>
        <w:spacing w:after="160" w:before="280"/>
      </w:pPr>
      <w:r>
        <w:rPr>
          <w:rFonts w:ascii="Times New Roman" w:cs="Times New Roman" w:eastAsia="Times New Roman" w:hAnsi="Times New Roman"/>
          <w:b/>
          <w:bCs/>
          <w:color w:val="1F3864"/>
          <w:sz w:val="24"/>
          <w:szCs w:val="24"/>
        </w:rPr>
        <w:t xml:space="preserve">4.1 Central Claim</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Three monitoring categories are established in the ecological and governance literature: Passive (MC-1), Mandated (MC-2), and Question-driven (MC-3). HUF introduces a fourth: Ratio State Monitoring (MC-4), which uses a system’s own declared intent as the reference for observation. MC-4 is structurally distinct from the first three in five ways: it is self-referential, non-invasive, model-free, bidirectional, and cross-cycle.</w:t>
      </w:r>
    </w:p>
    <w:p>
      <w:pPr>
        <w:pStyle w:val="Heading2"/>
        <w:spacing w:after="160" w:before="280"/>
      </w:pPr>
      <w:r>
        <w:rPr>
          <w:rFonts w:ascii="Times New Roman" w:cs="Times New Roman" w:eastAsia="Times New Roman" w:hAnsi="Times New Roman"/>
          <w:b/>
          <w:bCs/>
          <w:color w:val="1F3864"/>
          <w:sz w:val="24"/>
          <w:szCs w:val="24"/>
        </w:rPr>
        <w:t xml:space="preserve">4.2 The Degenerate Observer</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MC-4’s mathematical basis is the degenerate state observer. In classical control theory, a state observer estimates internal states from outputs using a dynamic model. HUF requires no model: the state IS the output. On the probability simplex, y(t) = ρ(t), the estimation gain L = 0, and the estimation error is identically zero. This is Proposition 1 of Pillar 2.</w:t>
      </w:r>
    </w:p>
    <w:p>
      <w:pPr>
        <w:pStyle w:val="Heading2"/>
        <w:spacing w:after="160" w:before="280"/>
      </w:pPr>
      <w:r>
        <w:rPr>
          <w:rFonts w:ascii="Times New Roman" w:cs="Times New Roman" w:eastAsia="Times New Roman" w:hAnsi="Times New Roman"/>
          <w:b/>
          <w:bCs/>
          <w:color w:val="1F3864"/>
          <w:sz w:val="24"/>
          <w:szCs w:val="24"/>
        </w:rPr>
        <w:t xml:space="preserve">4.3 Six Failure Modes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Pillar 2 identifies six structurally invisible failure modes that MC-1 through MC-3 cannot detect: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460"/>
      </w:tblGrid>
      <w:tr>
        <w:tc>
          <w:tcPr>
            <w:tcW w:type="dxa" w:w="7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ID</w:t>
            </w:r>
          </w:p>
        </w:tc>
        <w:tc>
          <w:tcPr>
            <w:tcW w:type="dxa" w:w="2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Name</w:t>
            </w:r>
          </w:p>
        </w:tc>
        <w:tc>
          <w:tcPr>
            <w:tcW w:type="dxa" w:w="64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Description</w:t>
            </w:r>
          </w:p>
        </w:tc>
      </w:tr>
      <w:tr>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FM-1</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Ratio Blindness</w:t>
            </w:r>
          </w:p>
        </w:tc>
        <w:tc>
          <w:tcPr>
            <w:tcW w:type="dxa" w:w="64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Managing a finite-budget system by absolute metrics</w:t>
            </w:r>
          </w:p>
        </w:tc>
      </w:tr>
      <w:tr>
        <w:tc>
          <w:tcPr>
            <w:tcW w:type="dxa" w:w="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FM-2</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Silent Reweighting</w:t>
            </w:r>
          </w:p>
        </w:tc>
        <w:tc>
          <w:tcPr>
            <w:tcW w:type="dxa" w:w="64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Gradual allocation drift without governance decision</w:t>
            </w:r>
          </w:p>
        </w:tc>
      </w:tr>
      <w:tr>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FM-3</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Snapshot Error</w:t>
            </w:r>
          </w:p>
        </w:tc>
        <w:tc>
          <w:tcPr>
            <w:tcW w:type="dxa" w:w="64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Underestimating high-Q elements by single-cycle observation</w:t>
            </w:r>
          </w:p>
        </w:tc>
      </w:tr>
      <w:tr>
        <w:tc>
          <w:tcPr>
            <w:tcW w:type="dxa" w:w="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FM-4</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Concentration Trap</w:t>
            </w:r>
          </w:p>
        </w:tc>
        <w:tc>
          <w:tcPr>
            <w:tcW w:type="dxa" w:w="64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Increasing share to decreasing number of elements</w:t>
            </w:r>
          </w:p>
        </w:tc>
      </w:tr>
      <w:tr>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FM-5</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Fragmentation Spiral</w:t>
            </w:r>
          </w:p>
        </w:tc>
        <w:tc>
          <w:tcPr>
            <w:tcW w:type="dxa" w:w="64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Sub-threshold attention to too many elements</w:t>
            </w:r>
          </w:p>
        </w:tc>
      </w:tr>
      <w:tr>
        <w:tc>
          <w:tcPr>
            <w:tcW w:type="dxa" w:w="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FM-6</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Orphan Element</w:t>
            </w:r>
          </w:p>
        </w:tc>
        <w:tc>
          <w:tcPr>
            <w:tcW w:type="dxa" w:w="64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Element present on paper but outside governance</w:t>
            </w:r>
          </w:p>
        </w:tc>
      </w:tr>
    </w:tbl>
    <w:p>
      <w:pPr>
        <w:spacing w:after="160"/>
        <w:jc w:val="both"/>
      </w:pPr>
      <w:r>
        <w:rPr>
          <w:rFonts w:ascii="Times New Roman" w:cs="Times New Roman" w:eastAsia="Times New Roman" w:hAnsi="Times New Roman"/>
          <w:b w:val="false"/>
          <w:bCs w:val="false"/>
          <w:i w:val="false"/>
          <w:iCs w:val="false"/>
          <w:color w:val="333333"/>
          <w:sz w:val="22"/>
          <w:szCs w:val="22"/>
        </w:rPr>
        <w:t xml:space="preserve"/>
      </w:r>
    </w:p>
    <w:p>
      <w:pPr>
        <w:spacing w:after="160"/>
        <w:jc w:val="both"/>
      </w:pPr>
      <w:r>
        <w:rPr>
          <w:rFonts w:ascii="Times New Roman" w:cs="Times New Roman" w:eastAsia="Times New Roman" w:hAnsi="Times New Roman"/>
          <w:b w:val="false"/>
          <w:bCs w:val="false"/>
          <w:i w:val="false"/>
          <w:iCs w:val="false"/>
          <w:color w:val="333333"/>
          <w:sz w:val="22"/>
          <w:szCs w:val="22"/>
        </w:rPr>
        <w:t xml:space="preserve">FM-1 is the enabling condition; FM-2 is the mechanism; FM-3 through FM-6 are consequences. The progression is structural, not incidental.</w:t>
      </w:r>
    </w:p>
    <w:p>
      <w:pPr>
        <w:spacing w:after="160" w:before="80"/>
      </w:pPr>
      <w:r>
        <w:rPr>
          <w:rFonts w:ascii="Times New Roman" w:cs="Times New Roman" w:eastAsia="Times New Roman" w:hAnsi="Times New Roman"/>
          <w:i/>
          <w:iCs/>
          <w:color w:val="2E75B6"/>
          <w:sz w:val="20"/>
          <w:szCs w:val="20"/>
        </w:rPr>
        <w:t xml:space="preserve">▶ Full treatment: Pillar 2 paper, Sections 4–6</w:t>
      </w:r>
    </w:p>
    <w:p>
      <w:pPr>
        <w:spacing w:after="160" w:before="80"/>
      </w:pPr>
      <w:r>
        <w:rPr>
          <w:rFonts w:ascii="Times New Roman" w:cs="Times New Roman" w:eastAsia="Times New Roman" w:hAnsi="Times New Roman"/>
          <w:i/>
          <w:iCs/>
          <w:color w:val="2E75B6"/>
          <w:sz w:val="20"/>
          <w:szCs w:val="20"/>
        </w:rPr>
        <w:t xml:space="preserve">▶ Operational guide: Vol 5, Sections 1–4</w:t>
      </w:r>
    </w:p>
    <w:p>
      <w:pPr>
        <w:spacing w:after="160" w:before="80"/>
      </w:pPr>
      <w:r>
        <w:rPr>
          <w:rFonts w:ascii="Times New Roman" w:cs="Times New Roman" w:eastAsia="Times New Roman" w:hAnsi="Times New Roman"/>
          <w:i/>
          <w:iCs/>
          <w:color w:val="2E75B6"/>
          <w:sz w:val="20"/>
          <w:szCs w:val="20"/>
        </w:rPr>
        <w:t xml:space="preserve">▶ Case study evidence: Vol 2</w:t>
      </w:r>
    </w:p>
    <w:p>
      <w:r>
        <w:br w:type="page"/>
      </w:r>
    </w:p>
    <w:p>
      <w:pPr>
        <w:pStyle w:val="Heading1"/>
        <w:spacing w:after="200" w:before="360"/>
      </w:pPr>
      <w:r>
        <w:rPr>
          <w:rFonts w:ascii="Times New Roman" w:cs="Times New Roman" w:eastAsia="Times New Roman" w:hAnsi="Times New Roman"/>
          <w:b/>
          <w:bCs/>
          <w:color w:val="1F3864"/>
          <w:sz w:val="28"/>
          <w:szCs w:val="28"/>
        </w:rPr>
        <w:t xml:space="preserve">5. The Governance Bridge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Governance Bridge translates Pillar 1’s information theory and Pillar 2’s monitoring theory into operational practice. It comprises the four standard artifacts, the Operator Control Contract, the convergence pathway, and the institutional memory mechanism.</w:t>
      </w:r>
    </w:p>
    <w:p>
      <w:pPr>
        <w:pStyle w:val="Heading2"/>
        <w:spacing w:after="160" w:before="280"/>
      </w:pPr>
      <w:r>
        <w:rPr>
          <w:rFonts w:ascii="Times New Roman" w:cs="Times New Roman" w:eastAsia="Times New Roman" w:hAnsi="Times New Roman"/>
          <w:b/>
          <w:bCs/>
          <w:color w:val="1F3864"/>
          <w:sz w:val="24"/>
          <w:szCs w:val="24"/>
        </w:rPr>
        <w:t xml:space="preserve">5.1 Four Artifacts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HUF produces four standard outputs at each reporting cycle: A-1 (Portfolio Share Table), A-2 (Trace Report), A-3 (Portfolio Change Log), and A-4 (Coverage Record). These artifacts are plain tabular outputs in CSV format that attach to existing governance reporting structures. They require no new data collection—only the re-expression of existing data as proportional shares.</w:t>
      </w:r>
    </w:p>
    <w:p>
      <w:pPr>
        <w:pStyle w:val="Heading2"/>
        <w:spacing w:after="160" w:before="280"/>
      </w:pPr>
      <w:r>
        <w:rPr>
          <w:rFonts w:ascii="Times New Roman" w:cs="Times New Roman" w:eastAsia="Times New Roman" w:hAnsi="Times New Roman"/>
          <w:b/>
          <w:bCs/>
          <w:color w:val="1F3864"/>
          <w:sz w:val="24"/>
          <w:szCs w:val="24"/>
        </w:rPr>
        <w:t xml:space="preserve">5.2 Operator Control Contract (OCC 51/49)</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OCC ensures that the operator always retains majority control over governance decisions. The formal requirement is w_op ≥ 0.51, w_tool ≤ 0.49: HUF advises, it does not decide. This is not a philosophical aspiration but a formal constraint embedded in every HUF deployment.</w:t>
      </w:r>
    </w:p>
    <w:p>
      <w:pPr>
        <w:pStyle w:val="Heading2"/>
        <w:spacing w:after="160" w:before="280"/>
      </w:pPr>
      <w:r>
        <w:rPr>
          <w:rFonts w:ascii="Times New Roman" w:cs="Times New Roman" w:eastAsia="Times New Roman" w:hAnsi="Times New Roman"/>
          <w:b/>
          <w:bCs/>
          <w:color w:val="1F3864"/>
          <w:sz w:val="24"/>
          <w:szCs w:val="24"/>
        </w:rPr>
        <w:t xml:space="preserve">5.3 Convergence to Ground State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Under consistent application, the Mean Drift Gap (MDG) approaches zero over successive reporting cycles. The convergence pathway proceeds through five observable stages: Baseline (Cycle 1), Trajectory Establishment (Cycles 2–3), Q-Factor Characterization (Cycles 4–6), Ground State Approach (Cycles 7+), and Ground State Reached (variable). The rate of convergence depends on the Q-factor differential between portfolio elements.</w:t>
      </w:r>
    </w:p>
    <w:p>
      <w:pPr>
        <w:pStyle w:val="Heading2"/>
        <w:spacing w:after="160" w:before="280"/>
      </w:pPr>
      <w:r>
        <w:rPr>
          <w:rFonts w:ascii="Times New Roman" w:cs="Times New Roman" w:eastAsia="Times New Roman" w:hAnsi="Times New Roman"/>
          <w:b/>
          <w:bCs/>
          <w:color w:val="1F3864"/>
          <w:sz w:val="24"/>
          <w:szCs w:val="24"/>
        </w:rPr>
        <w:t xml:space="preserve">5.4 Institutional Memory</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Proposition 7.5 (proved in Volume 3): a governance system operating under MC-4 accumulates institutional memory at one portfolio state per reporting cycle, permanently and without additional effort. After n cycles, the institution holds an n-period governance trajectory independent of personnel turnover, organizational restructuring, or administrative disruption.</w:t>
      </w:r>
    </w:p>
    <w:p>
      <w:pPr>
        <w:spacing w:after="160" w:before="80"/>
      </w:pPr>
      <w:r>
        <w:rPr>
          <w:rFonts w:ascii="Times New Roman" w:cs="Times New Roman" w:eastAsia="Times New Roman" w:hAnsi="Times New Roman"/>
          <w:i/>
          <w:iCs/>
          <w:color w:val="2E75B6"/>
          <w:sz w:val="20"/>
          <w:szCs w:val="20"/>
        </w:rPr>
        <w:t xml:space="preserve">▶ Operational handbook: Vol 5</w:t>
      </w:r>
    </w:p>
    <w:p>
      <w:pPr>
        <w:spacing w:after="160" w:before="80"/>
      </w:pPr>
      <w:r>
        <w:rPr>
          <w:rFonts w:ascii="Times New Roman" w:cs="Times New Roman" w:eastAsia="Times New Roman" w:hAnsi="Times New Roman"/>
          <w:i/>
          <w:iCs/>
          <w:color w:val="2E75B6"/>
          <w:sz w:val="20"/>
          <w:szCs w:val="20"/>
        </w:rPr>
        <w:t xml:space="preserve">▶ Mathematical proof: Vol 3, Proposition 7.5</w:t>
      </w:r>
    </w:p>
    <w:p>
      <w:pPr>
        <w:spacing w:after="160" w:before="80"/>
      </w:pPr>
      <w:r>
        <w:rPr>
          <w:rFonts w:ascii="Times New Roman" w:cs="Times New Roman" w:eastAsia="Times New Roman" w:hAnsi="Times New Roman"/>
          <w:i/>
          <w:iCs/>
          <w:color w:val="2E75B6"/>
          <w:sz w:val="20"/>
          <w:szCs w:val="20"/>
        </w:rPr>
        <w:t xml:space="preserve">▶ Interactive simulation: Vol 0, Notebook 3 (sourdough convergence)</w:t>
      </w:r>
    </w:p>
    <w:p>
      <w:r>
        <w:br w:type="page"/>
      </w:r>
    </w:p>
    <w:p>
      <w:pPr>
        <w:pStyle w:val="Heading1"/>
        <w:spacing w:after="200" w:before="360"/>
      </w:pPr>
      <w:r>
        <w:rPr>
          <w:rFonts w:ascii="Times New Roman" w:cs="Times New Roman" w:eastAsia="Times New Roman" w:hAnsi="Times New Roman"/>
          <w:b/>
          <w:bCs/>
          <w:color w:val="1F3864"/>
          <w:sz w:val="28"/>
          <w:szCs w:val="28"/>
        </w:rPr>
        <w:t xml:space="preserve">6. Progressive Learning Pathway</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Triad is designed for multiple entry points. Five recommended reading pathways serve different audiences: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360"/>
        <w:gridCol w:w="3500"/>
      </w:tblGrid>
      <w:tr>
        <w:tc>
          <w:tcPr>
            <w:tcW w:type="dxa" w:w="1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Audience</w:t>
            </w:r>
          </w:p>
        </w:tc>
        <w:tc>
          <w:tcPr>
            <w:tcW w:type="dxa" w:w="43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Pathway</w:t>
            </w:r>
          </w:p>
        </w:tc>
        <w:tc>
          <w:tcPr>
            <w:tcW w:type="dxa" w:w="3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Learning Goal</w:t>
            </w:r>
          </w:p>
        </w:tc>
      </w:tr>
      <w:tr>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Newcomer</w:t>
            </w:r>
          </w:p>
        </w:tc>
        <w:tc>
          <w:tcPr>
            <w:tcW w:type="dxa" w:w="43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Vol 0 → Vol 1 → Vol 2 → Vol 8</w:t>
            </w:r>
          </w:p>
        </w:tc>
        <w:tc>
          <w:tcPr>
            <w:tcW w:type="dxa" w:w="3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Intuition, foundations, evidence, synthesis</w:t>
            </w:r>
          </w:p>
        </w:tc>
      </w:tr>
      <w:tr>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Practitioner</w:t>
            </w:r>
          </w:p>
        </w:tc>
        <w:tc>
          <w:tcPr>
            <w:tcW w:type="dxa" w:w="43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Vol 0 → Vol 1 → Vol 5 → Vol 4 or Vol 2</w:t>
            </w:r>
          </w:p>
        </w:tc>
        <w:tc>
          <w:tcPr>
            <w:tcW w:type="dxa" w:w="3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Hands-on deployment skills</w:t>
            </w:r>
          </w:p>
        </w:tc>
      </w:tr>
      <w:tr>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Researcher</w:t>
            </w:r>
          </w:p>
        </w:tc>
        <w:tc>
          <w:tcPr>
            <w:tcW w:type="dxa" w:w="43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Vol 8 → Vol 3 → Vol 6 → Pillar 1 → Pillar 2</w:t>
            </w:r>
          </w:p>
        </w:tc>
        <w:tc>
          <w:tcPr>
            <w:tcW w:type="dxa" w:w="3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Theoretical depth and novelty claims</w:t>
            </w:r>
          </w:p>
        </w:tc>
      </w:tr>
      <w:tr>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Developer</w:t>
            </w:r>
          </w:p>
        </w:tc>
        <w:tc>
          <w:tcPr>
            <w:tcW w:type="dxa" w:w="43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Vol 0 → Vol 7 → Vol 1 → Vol 3</w:t>
            </w:r>
          </w:p>
        </w:tc>
        <w:tc>
          <w:tcPr>
            <w:tcW w:type="dxa" w:w="3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Implementation, then understanding</w:t>
            </w:r>
          </w:p>
        </w:tc>
      </w:tr>
      <w:tr>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Policy Maker</w:t>
            </w:r>
          </w:p>
        </w:tc>
        <w:tc>
          <w:tcPr>
            <w:tcW w:type="dxa" w:w="43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Vol 8 → Vol 5 → Vol 4 → Vol 2</w:t>
            </w:r>
          </w:p>
        </w:tc>
        <w:tc>
          <w:tcPr>
            <w:tcW w:type="dxa" w:w="3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Big picture, then governance, then evidence</w:t>
            </w:r>
          </w:p>
        </w:tc>
      </w:tr>
    </w:tbl>
    <w:p>
      <w:pPr>
        <w:spacing w:after="160"/>
        <w:jc w:val="both"/>
      </w:pPr>
      <w:r>
        <w:rPr>
          <w:rFonts w:ascii="Times New Roman" w:cs="Times New Roman" w:eastAsia="Times New Roman" w:hAnsi="Times New Roman"/>
          <w:b w:val="false"/>
          <w:bCs w:val="false"/>
          <w:i w:val="false"/>
          <w:iCs w:val="false"/>
          <w:color w:val="333333"/>
          <w:sz w:val="22"/>
          <w:szCs w:val="22"/>
        </w:rPr>
        <w:t xml:space="preserve"/>
      </w:r>
    </w:p>
    <w:p>
      <w:pPr>
        <w:spacing w:after="160"/>
        <w:jc w:val="both"/>
      </w:pPr>
      <w:r>
        <w:rPr>
          <w:rFonts w:ascii="Times New Roman" w:cs="Times New Roman" w:eastAsia="Times New Roman" w:hAnsi="Times New Roman"/>
          <w:b w:val="false"/>
          <w:bCs w:val="false"/>
          <w:i w:val="false"/>
          <w:iCs w:val="false"/>
          <w:color w:val="333333"/>
          <w:sz w:val="22"/>
          <w:szCs w:val="22"/>
        </w:rPr>
        <w:t xml:space="preserve">Within each volume, concepts build from simple to complex. Volume 0’s five Jupyter notebooks progress from pizza slices to satellite telemetry. Volume 3 progresses from compositional data theory to open conjectures. No concept is introduced at a level higher than the audience can reach from the previous step.</w:t>
      </w:r>
    </w:p>
    <w:p>
      <w:r>
        <w:br w:type="page"/>
      </w:r>
    </w:p>
    <w:p>
      <w:pPr>
        <w:pStyle w:val="Heading1"/>
        <w:spacing w:after="200" w:before="360"/>
      </w:pPr>
      <w:r>
        <w:rPr>
          <w:rFonts w:ascii="Times New Roman" w:cs="Times New Roman" w:eastAsia="Times New Roman" w:hAnsi="Times New Roman"/>
          <w:b/>
          <w:bCs/>
          <w:color w:val="1F3864"/>
          <w:sz w:val="28"/>
          <w:szCs w:val="28"/>
        </w:rPr>
        <w:t xml:space="preserve">7. Cross-Reference Matrix</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Every core concept appears in multiple volumes at different depths. The codes below indicate treatment level: I = Introduced, D = Defined formally, P = Proved, A = Applied, E = Exemplified.</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1800"/>
        <w:gridCol w:w="500"/>
        <w:gridCol w:w="500"/>
        <w:gridCol w:w="500"/>
        <w:gridCol w:w="500"/>
        <w:gridCol w:w="500"/>
        <w:gridCol w:w="500"/>
        <w:gridCol w:w="500"/>
        <w:gridCol w:w="500"/>
        <w:gridCol w:w="560"/>
      </w:tblGrid>
      <w:tr>
        <w:tc>
          <w:tcPr>
            <w:tcW w:type="dxa" w:w="18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Concept</w:t>
            </w:r>
          </w:p>
        </w:tc>
        <w:tc>
          <w:tcPr>
            <w:tcW w:type="dxa" w:w="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V0</w:t>
            </w:r>
          </w:p>
        </w:tc>
        <w:tc>
          <w:tcPr>
            <w:tcW w:type="dxa" w:w="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V1</w:t>
            </w:r>
          </w:p>
        </w:tc>
        <w:tc>
          <w:tcPr>
            <w:tcW w:type="dxa" w:w="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V2</w:t>
            </w:r>
          </w:p>
        </w:tc>
        <w:tc>
          <w:tcPr>
            <w:tcW w:type="dxa" w:w="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V3</w:t>
            </w:r>
          </w:p>
        </w:tc>
        <w:tc>
          <w:tcPr>
            <w:tcW w:type="dxa" w:w="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V4</w:t>
            </w:r>
          </w:p>
        </w:tc>
        <w:tc>
          <w:tcPr>
            <w:tcW w:type="dxa" w:w="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V5</w:t>
            </w:r>
          </w:p>
        </w:tc>
        <w:tc>
          <w:tcPr>
            <w:tcW w:type="dxa" w:w="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V6</w:t>
            </w:r>
          </w:p>
        </w:tc>
        <w:tc>
          <w:tcPr>
            <w:tcW w:type="dxa" w:w="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V7</w:t>
            </w:r>
          </w:p>
        </w:tc>
        <w:tc>
          <w:tcPr>
            <w:tcW w:type="dxa" w:w="5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V8</w:t>
            </w:r>
          </w:p>
        </w:tc>
      </w:tr>
      <w:tr>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Unity Constraint</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r>
      <w:tr>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Mean Drift Gap</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r>
      <w:tr>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Degenerate Observer</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r>
      <w:tr>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Four Artifacts</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r>
      <w:tr>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Six Failure Modes</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r>
      <w:tr>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Quality Factor (Q)</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r>
      <w:tr>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OCC 51/49</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r>
      <w:tr>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MC-1 through MC-4</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r>
      <w:tr>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Sufficiency Frontier</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r>
      <w:tr>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Ground State</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r>
      <w:tr>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Institutional Memory</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r>
      <w:tr>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PROOF Line</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r>
      <w:tr>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Leverage</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r>
      <w:tr>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CDN</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r>
      <w:tr>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Ostrom Principles</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r>
    </w:tbl>
    <w:p>
      <w:r>
        <w:br w:type="page"/>
      </w:r>
    </w:p>
    <w:p>
      <w:pPr>
        <w:pStyle w:val="Heading1"/>
        <w:spacing w:after="200" w:before="360"/>
      </w:pPr>
      <w:r>
        <w:rPr>
          <w:rFonts w:ascii="Times New Roman" w:cs="Times New Roman" w:eastAsia="Times New Roman" w:hAnsi="Times New Roman"/>
          <w:b/>
          <w:bCs/>
          <w:color w:val="1F3864"/>
          <w:sz w:val="28"/>
          <w:szCs w:val="28"/>
        </w:rPr>
        <w:t xml:space="preserve">8. Unified Glossary</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following terms are used consistently across all nine volumes, both pillar papers, and all companion notebooks. Definitions are canonical; any document that uses a term differently has a gap to be resolved.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Term</w:t>
            </w:r>
          </w:p>
        </w:tc>
        <w:tc>
          <w:tcPr>
            <w:tcW w:type="dxa" w:w="65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Definition</w:t>
            </w:r>
          </w:p>
        </w:tc>
      </w:tr>
      <w:tr>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Budget Ceiling (M)</w:t>
            </w:r>
          </w:p>
        </w:tc>
        <w:tc>
          <w:tcPr>
            <w:tcW w:type="dxa" w:w="6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The total of a finite-budget system, indexed to 1.0.</w:t>
            </w:r>
          </w:p>
        </w:tc>
      </w:tr>
      <w:tr>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Element (i)</w:t>
            </w:r>
          </w:p>
        </w:tc>
        <w:tc>
          <w:tcPr>
            <w:tcW w:type="dxa" w:w="6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Any constituent of a portfolio holding a share of the ceiling.</w:t>
            </w:r>
          </w:p>
        </w:tc>
      </w:tr>
      <w:tr>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Share (ρᵢ)</w:t>
            </w:r>
          </w:p>
        </w:tc>
        <w:tc>
          <w:tcPr>
            <w:tcW w:type="dxa" w:w="6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An element’s proportion of the budget ceiling. ρᵢ = mᵢ/M.</w:t>
            </w:r>
          </w:p>
        </w:tc>
      </w:tr>
      <w:tr>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Ratio State (ρ)</w:t>
            </w:r>
          </w:p>
        </w:tc>
        <w:tc>
          <w:tcPr>
            <w:tcW w:type="dxa" w:w="6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Complete system description: vector of shares summing to 1.</w:t>
            </w:r>
          </w:p>
        </w:tc>
      </w:tr>
      <w:tr>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Unity Constraint</w:t>
            </w:r>
          </w:p>
        </w:tc>
        <w:tc>
          <w:tcPr>
            <w:tcW w:type="dxa" w:w="6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Σρᵢ = 1. Foundational invariant. Tautological for proportions.</w:t>
            </w:r>
          </w:p>
        </w:tc>
      </w:tr>
      <w:tr>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Probability Simplex (Sᴷ)</w:t>
            </w:r>
          </w:p>
        </w:tc>
        <w:tc>
          <w:tcPr>
            <w:tcW w:type="dxa" w:w="6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Geometric space of all valid portfolio states.</w:t>
            </w:r>
          </w:p>
        </w:tc>
      </w:tr>
      <w:tr>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Declared Weight</w:t>
            </w:r>
          </w:p>
        </w:tc>
        <w:tc>
          <w:tcPr>
            <w:tcW w:type="dxa" w:w="6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The share an operator states each element should hold.</w:t>
            </w:r>
          </w:p>
        </w:tc>
      </w:tr>
      <w:tr>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Observed Share</w:t>
            </w:r>
          </w:p>
        </w:tc>
        <w:tc>
          <w:tcPr>
            <w:tcW w:type="dxa" w:w="6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The share an element actually holds in the current state.</w:t>
            </w:r>
          </w:p>
        </w:tc>
      </w:tr>
      <w:tr>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Drift Gap</w:t>
            </w:r>
          </w:p>
        </w:tc>
        <w:tc>
          <w:tcPr>
            <w:tcW w:type="dxa" w:w="6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|ρᵢᵈᵉᶜ − ρᵢᵒᵇˢ|. Absolute difference per element.</w:t>
            </w:r>
          </w:p>
        </w:tc>
      </w:tr>
      <w:tr>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Mean Drift Gap (MDG)</w:t>
            </w:r>
          </w:p>
        </w:tc>
        <w:tc>
          <w:tcPr>
            <w:tcW w:type="dxa" w:w="6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Average drift gap across all elements. In percentage points.</w:t>
            </w:r>
          </w:p>
        </w:tc>
      </w:tr>
      <w:tr>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Silent Drift</w:t>
            </w:r>
          </w:p>
        </w:tc>
        <w:tc>
          <w:tcPr>
            <w:tcW w:type="dxa" w:w="6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Change not traceable to a recorded governance decision.</w:t>
            </w:r>
          </w:p>
        </w:tc>
      </w:tr>
      <w:tr>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Intentional Reweighting</w:t>
            </w:r>
          </w:p>
        </w:tc>
        <w:tc>
          <w:tcPr>
            <w:tcW w:type="dxa" w:w="6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Change traceable to a recorded governance decision.</w:t>
            </w:r>
          </w:p>
        </w:tc>
      </w:tr>
      <w:tr>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Leverage (1/ρᵢ)</w:t>
            </w:r>
          </w:p>
        </w:tc>
        <w:tc>
          <w:tcPr>
            <w:tcW w:type="dxa" w:w="6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Reciprocal of share. Measures sensitivity to removal.</w:t>
            </w:r>
          </w:p>
        </w:tc>
      </w:tr>
      <w:tr>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PROOF Line</w:t>
            </w:r>
          </w:p>
        </w:tc>
        <w:tc>
          <w:tcPr>
            <w:tcW w:type="dxa" w:w="6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Min elements for 80% of portfolio mass. Lower = more concentrated.</w:t>
            </w:r>
          </w:p>
        </w:tc>
      </w:tr>
      <w:tr>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Quality Factor (Q)</w:t>
            </w:r>
          </w:p>
        </w:tc>
        <w:tc>
          <w:tcPr>
            <w:tcW w:type="dxa" w:w="6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T_char/T_obs. Characteristic period to observation bandwidth.</w:t>
            </w:r>
          </w:p>
        </w:tc>
      </w:tr>
      <w:tr>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Ground State</w:t>
            </w:r>
          </w:p>
        </w:tc>
        <w:tc>
          <w:tcPr>
            <w:tcW w:type="dxa" w:w="6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MDG → 0. All change declared. Self-correcting feedback.</w:t>
            </w:r>
          </w:p>
        </w:tc>
      </w:tr>
      <w:tr>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Action Window</w:t>
            </w:r>
          </w:p>
        </w:tc>
        <w:tc>
          <w:tcPr>
            <w:tcW w:type="dxa" w:w="6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Period when correction is cheapest.</w:t>
            </w:r>
          </w:p>
        </w:tc>
      </w:tr>
      <w:tr>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Failure Modes (FM-1–FM-6)</w:t>
            </w:r>
          </w:p>
        </w:tc>
        <w:tc>
          <w:tcPr>
            <w:tcW w:type="dxa" w:w="6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Six structurally invisible governance failures.</w:t>
            </w:r>
          </w:p>
        </w:tc>
      </w:tr>
      <w:tr>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Aitchison Distance</w:t>
            </w:r>
          </w:p>
        </w:tc>
        <w:tc>
          <w:tcPr>
            <w:tcW w:type="dxa" w:w="6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Natural metric on the simplex. MDG is first-order approximation.</w:t>
            </w:r>
          </w:p>
        </w:tc>
      </w:tr>
      <w:tr>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CDN (Ω)</w:t>
            </w:r>
          </w:p>
        </w:tc>
        <w:tc>
          <w:tcPr>
            <w:tcW w:type="dxa" w:w="6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|ΔMDG| × (K/K_eff). Cross-domain normalization.</w:t>
            </w:r>
          </w:p>
        </w:tc>
      </w:tr>
      <w:tr>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OCC 51/49</w:t>
            </w:r>
          </w:p>
        </w:tc>
        <w:tc>
          <w:tcPr>
            <w:tcW w:type="dxa" w:w="6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w_op ≥ 0.51. Operator retains majority control.</w:t>
            </w:r>
          </w:p>
        </w:tc>
      </w:tr>
      <w:tr>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Degenerate Observer</w:t>
            </w:r>
          </w:p>
        </w:tc>
        <w:tc>
          <w:tcPr>
            <w:tcW w:type="dxa" w:w="6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y(t) = ρ(t). State IS output. L = 0. No model needed.</w:t>
            </w:r>
          </w:p>
        </w:tc>
      </w:tr>
      <w:tr>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MC-4 (Ratio State Monitoring)</w:t>
            </w:r>
          </w:p>
        </w:tc>
        <w:tc>
          <w:tcPr>
            <w:tcW w:type="dxa" w:w="6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Fourth monitoring category. Self-referential, model-free.</w:t>
            </w:r>
          </w:p>
        </w:tc>
      </w:tr>
      <w:tr>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Institutional Memory</w:t>
            </w:r>
          </w:p>
        </w:tc>
        <w:tc>
          <w:tcPr>
            <w:tcW w:type="dxa" w:w="6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One portfolio state per cycle, permanently accumulated.</w:t>
            </w:r>
          </w:p>
        </w:tc>
      </w:tr>
      <w:tr>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Sufficiency Frontier</w:t>
            </w:r>
          </w:p>
        </w:tc>
        <w:tc>
          <w:tcPr>
            <w:tcW w:type="dxa" w:w="6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Boundary where reduction becomes sufficient statistic extraction.</w:t>
            </w:r>
          </w:p>
        </w:tc>
      </w:tr>
      <w:tr>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Four Artifacts (A-1–A-4)</w:t>
            </w:r>
          </w:p>
        </w:tc>
        <w:tc>
          <w:tcPr>
            <w:tcW w:type="dxa" w:w="6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Share Table, Trace Report, Change Log, Coverage Record.</w:t>
            </w:r>
          </w:p>
        </w:tc>
      </w:tr>
      <w:tr>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Convergence Stages</w:t>
            </w:r>
          </w:p>
        </w:tc>
        <w:tc>
          <w:tcPr>
            <w:tcW w:type="dxa" w:w="6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Baseline → Trajectory → Q-characterization → Ground State.</w:t>
            </w:r>
          </w:p>
        </w:tc>
      </w:tr>
      <w:tr>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Ostrom Design Principles</w:t>
            </w:r>
          </w:p>
        </w:tc>
        <w:tc>
          <w:tcPr>
            <w:tcW w:type="dxa" w:w="6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Eight commons governance principles. HUF satisfies DP1–7.</w:t>
            </w:r>
          </w:p>
        </w:tc>
      </w:tr>
      <w:tr>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Pettitt Test</w:t>
            </w:r>
          </w:p>
        </w:tc>
        <w:tc>
          <w:tcPr>
            <w:tcW w:type="dxa" w:w="6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Non-parametric changepoint detection on MDG time series.</w:t>
            </w:r>
          </w:p>
        </w:tc>
      </w:tr>
      <w:tr>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ITS</w:t>
            </w:r>
          </w:p>
        </w:tc>
        <w:tc>
          <w:tcPr>
            <w:tcW w:type="dxa" w:w="6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Interrupted Time Series. Y = β₀ + β₁t + β₂D + β₃(t×D) + ε.</w:t>
            </w:r>
          </w:p>
        </w:tc>
      </w:tr>
    </w:tbl>
    <w:p>
      <w:r>
        <w:br w:type="page"/>
      </w:r>
    </w:p>
    <w:p>
      <w:pPr>
        <w:pStyle w:val="Heading1"/>
        <w:spacing w:after="200" w:before="360"/>
      </w:pPr>
      <w:r>
        <w:rPr>
          <w:rFonts w:ascii="Times New Roman" w:cs="Times New Roman" w:eastAsia="Times New Roman" w:hAnsi="Times New Roman"/>
          <w:b/>
          <w:bCs/>
          <w:color w:val="1F3864"/>
          <w:sz w:val="28"/>
          <w:szCs w:val="28"/>
        </w:rPr>
        <w:t xml:space="preserve">9. Empirical Foundation</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Triad rests on empirical confirmation across 10 domains. Three domains provide formal statistical confirmation (System A, B, C); seven additional domains provide supportive evidence through the PreParser corpus.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1200"/>
        <w:gridCol w:w="2800"/>
        <w:gridCol w:w="2460"/>
      </w:tblGrid>
      <w:tr>
        <w:tc>
          <w:tcPr>
            <w:tcW w:type="dxa" w:w="7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System</w:t>
            </w:r>
          </w:p>
        </w:tc>
        <w:tc>
          <w:tcPr>
            <w:tcW w:type="dxa" w:w="2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Domain</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Records</w:t>
            </w:r>
          </w:p>
        </w:tc>
        <w:tc>
          <w:tcPr>
            <w:tcW w:type="dxa" w:w="28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Key Result</w:t>
            </w:r>
          </w:p>
        </w:tc>
        <w:tc>
          <w:tcPr>
            <w:tcW w:type="dxa" w:w="24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Status</w:t>
            </w:r>
          </w:p>
        </w:tc>
      </w:tr>
      <w:tr>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Sourdough fermentation</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~500</w:t>
            </w:r>
          </w:p>
        </w:tc>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p=0.021 (Pettitt)</w:t>
            </w:r>
          </w:p>
        </w:tc>
        <w:tc>
          <w:tcPr>
            <w:tcW w:type="dxa" w:w="24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Confirmed</w:t>
            </w:r>
          </w:p>
        </w:tc>
      </w:tr>
      <w:tr>
        <w:tc>
          <w:tcPr>
            <w:tcW w:type="dxa" w:w="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Croatia Ramsar wetlands</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~2,000</w:t>
            </w:r>
          </w:p>
        </w:tc>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p&lt;0.0027 (ITS)</w:t>
            </w:r>
          </w:p>
        </w:tc>
        <w:tc>
          <w:tcPr>
            <w:tcW w:type="dxa" w:w="24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Confirmed</w:t>
            </w:r>
          </w:p>
        </w:tc>
      </w:tr>
      <w:tr>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Software CI/CD pipeline</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~10,000</w:t>
            </w:r>
          </w:p>
        </w:tc>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p&lt;0.0001 (Fisher)</w:t>
            </w:r>
          </w:p>
        </w:tc>
        <w:tc>
          <w:tcPr>
            <w:tcW w:type="dxa" w:w="24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Confirmed</w:t>
            </w:r>
          </w:p>
        </w:tc>
      </w:tr>
      <w:tr>
        <w:tc>
          <w:tcPr>
            <w:tcW w:type="dxa" w:w="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BackBlaze hard drives</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~1M</w:t>
            </w:r>
          </w:p>
        </w:tc>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9-quarter HDI portfolio</w:t>
            </w:r>
          </w:p>
        </w:tc>
        <w:tc>
          <w:tcPr>
            <w:tcW w:type="dxa" w:w="24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Supportive</w:t>
            </w:r>
          </w:p>
        </w:tc>
      </w:tr>
      <w:tr>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OWID energy mix</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~50,000</w:t>
            </w:r>
          </w:p>
        </w:tc>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3-country structural breaks</w:t>
            </w:r>
          </w:p>
        </w:tc>
        <w:tc>
          <w:tcPr>
            <w:tcW w:type="dxa" w:w="24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Supportive</w:t>
            </w:r>
          </w:p>
        </w:tc>
      </w:tr>
      <w:tr>
        <w:tc>
          <w:tcPr>
            <w:tcW w:type="dxa" w:w="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Toronto TTC transit</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~2.4M</w:t>
            </w:r>
          </w:p>
        </w:tc>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King St 5/5 causal</w:t>
            </w:r>
          </w:p>
        </w:tc>
        <w:tc>
          <w:tcPr>
            <w:tcW w:type="dxa" w:w="24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Supportive</w:t>
            </w:r>
          </w:p>
        </w:tc>
      </w:tr>
      <w:tr>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ESA Planck HFI</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~5.7B</w:t>
            </w:r>
          </w:p>
        </w:tc>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OD 975 exact match</w:t>
            </w:r>
          </w:p>
        </w:tc>
        <w:tc>
          <w:tcPr>
            <w:tcW w:type="dxa" w:w="24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Validated</w:t>
            </w:r>
          </w:p>
        </w:tc>
      </w:tr>
      <w:tr>
        <w:tc>
          <w:tcPr>
            <w:tcW w:type="dxa" w:w="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Toronto infrastructure</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~127M</w:t>
            </w:r>
          </w:p>
        </w:tc>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Budget portfolio analysis</w:t>
            </w:r>
          </w:p>
        </w:tc>
        <w:tc>
          <w:tcPr>
            <w:tcW w:type="dxa" w:w="24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Supportive</w:t>
            </w:r>
          </w:p>
        </w:tc>
      </w:tr>
      <w:tr>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RogueWaveAudio</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~1.5M</w:t>
            </w:r>
          </w:p>
        </w:tc>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Frequency portfolio</w:t>
            </w:r>
          </w:p>
        </w:tc>
        <w:tc>
          <w:tcPr>
            <w:tcW w:type="dxa" w:w="24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Supportive</w:t>
            </w:r>
          </w:p>
        </w:tc>
      </w:tr>
      <w:tr>
        <w:tc>
          <w:tcPr>
            <w:tcW w:type="dxa" w:w="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J</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Published (Nature Sci Rep)</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w:t>
            </w:r>
          </w:p>
        </w:tc>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Peer-reviewed validation</w:t>
            </w:r>
          </w:p>
        </w:tc>
        <w:tc>
          <w:tcPr>
            <w:tcW w:type="dxa" w:w="24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Published</w:t>
            </w:r>
          </w:p>
        </w:tc>
      </w:tr>
    </w:tbl>
    <w:p>
      <w:pPr>
        <w:spacing w:after="160"/>
        <w:jc w:val="both"/>
      </w:pPr>
      <w:r>
        <w:rPr>
          <w:rFonts w:ascii="Times New Roman" w:cs="Times New Roman" w:eastAsia="Times New Roman" w:hAnsi="Times New Roman"/>
          <w:b w:val="false"/>
          <w:bCs w:val="false"/>
          <w:i w:val="false"/>
          <w:iCs w:val="false"/>
          <w:color w:val="333333"/>
          <w:sz w:val="22"/>
          <w:szCs w:val="22"/>
        </w:rPr>
        <w:t xml:space="preserve"/>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three-domain confirmation (Systems A, B, C) provides the formal statistical basis. The ESA Planck external validation (System G) provides the strongest single piece of evidence: a changepoint detected from data alone that matches a known physical event to the exact operational day.</w:t>
      </w:r>
    </w:p>
    <w:p>
      <w:pPr>
        <w:spacing w:after="160" w:before="80"/>
      </w:pPr>
      <w:r>
        <w:rPr>
          <w:rFonts w:ascii="Times New Roman" w:cs="Times New Roman" w:eastAsia="Times New Roman" w:hAnsi="Times New Roman"/>
          <w:i/>
          <w:iCs/>
          <w:color w:val="2E75B6"/>
          <w:sz w:val="20"/>
          <w:szCs w:val="20"/>
        </w:rPr>
        <w:t xml:space="preserve">▶ Full evidence: Vol 2 (Case Studies)</w:t>
      </w:r>
    </w:p>
    <w:p>
      <w:pPr>
        <w:spacing w:after="160" w:before="80"/>
      </w:pPr>
      <w:r>
        <w:rPr>
          <w:rFonts w:ascii="Times New Roman" w:cs="Times New Roman" w:eastAsia="Times New Roman" w:hAnsi="Times New Roman"/>
          <w:i/>
          <w:iCs/>
          <w:color w:val="2E75B6"/>
          <w:sz w:val="20"/>
          <w:szCs w:val="20"/>
        </w:rPr>
        <w:t xml:space="preserve">▶ PreParser corpus: Pillar 1, Section 5</w:t>
      </w:r>
    </w:p>
    <w:p>
      <w:r>
        <w:br w:type="page"/>
      </w:r>
    </w:p>
    <w:p>
      <w:pPr>
        <w:pStyle w:val="Heading1"/>
        <w:spacing w:after="200" w:before="360"/>
      </w:pPr>
      <w:r>
        <w:rPr>
          <w:rFonts w:ascii="Times New Roman" w:cs="Times New Roman" w:eastAsia="Times New Roman" w:hAnsi="Times New Roman"/>
          <w:b/>
          <w:bCs/>
          <w:color w:val="1F3864"/>
          <w:sz w:val="28"/>
          <w:szCs w:val="28"/>
        </w:rPr>
        <w:t xml:space="preserve">10. Open Problems and Future Work</w:t>
      </w:r>
    </w:p>
    <w:p>
      <w:pPr>
        <w:pStyle w:val="Heading2"/>
        <w:spacing w:after="160" w:before="280"/>
      </w:pPr>
      <w:r>
        <w:rPr>
          <w:rFonts w:ascii="Times New Roman" w:cs="Times New Roman" w:eastAsia="Times New Roman" w:hAnsi="Times New Roman"/>
          <w:b/>
          <w:bCs/>
          <w:color w:val="1F3864"/>
          <w:sz w:val="24"/>
          <w:szCs w:val="24"/>
        </w:rPr>
        <w:t xml:space="preserve">10.1 Mathematical</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non-linear convergence proof remains open. Grok assessed this as requiring advanced mathematical tools beyond the current framework. A three-step traceable path has been defined: (1) empirical non-linear datasets from Phase D, (2) symbolic simulation of the governance correction map, (3) construction of a Lyapunov function for global asymptotic stability. Thirteen conjectures from the collective review (Layer 13 of the taxonomy) await formal proof or refutation.</w:t>
      </w:r>
    </w:p>
    <w:p>
      <w:pPr>
        <w:pStyle w:val="Heading2"/>
        <w:spacing w:after="160" w:before="280"/>
      </w:pPr>
      <w:r>
        <w:rPr>
          <w:rFonts w:ascii="Times New Roman" w:cs="Times New Roman" w:eastAsia="Times New Roman" w:hAnsi="Times New Roman"/>
          <w:b/>
          <w:bCs/>
          <w:color w:val="1F3864"/>
          <w:sz w:val="24"/>
          <w:szCs w:val="24"/>
        </w:rPr>
        <w:t xml:space="preserve">10.2 Empirical</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Phase D of the Croatia Ramsar pilot has not yet begun. This requires the first institutional contact with Croatian conservation authorities. The pilot would provide the first real-world institutional deployment data, moving beyond retrospective analysis to prospective governance monitoring. Three reporting cycles minimum are needed for convergence trajectory analysis.</w:t>
      </w:r>
    </w:p>
    <w:p>
      <w:pPr>
        <w:pStyle w:val="Heading2"/>
        <w:spacing w:after="160" w:before="280"/>
      </w:pPr>
      <w:r>
        <w:rPr>
          <w:rFonts w:ascii="Times New Roman" w:cs="Times New Roman" w:eastAsia="Times New Roman" w:hAnsi="Times New Roman"/>
          <w:b/>
          <w:bCs/>
          <w:color w:val="1F3864"/>
          <w:sz w:val="24"/>
          <w:szCs w:val="24"/>
        </w:rPr>
        <w:t xml:space="preserve">10.3 Domain Extension</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Four application domains have been sketched but not empirically tested: supply chain (System D), logistics (System E), manufacturing (System F), and AI governance (System G). Each has a conjectural threshold configuration documented in the taxonomy. Real-data validation requires domain partnerships.</w:t>
      </w:r>
    </w:p>
    <w:p>
      <w:pPr>
        <w:pStyle w:val="Heading2"/>
        <w:spacing w:after="160" w:before="280"/>
      </w:pPr>
      <w:r>
        <w:rPr>
          <w:rFonts w:ascii="Times New Roman" w:cs="Times New Roman" w:eastAsia="Times New Roman" w:hAnsi="Times New Roman"/>
          <w:b/>
          <w:bCs/>
          <w:color w:val="1F3864"/>
          <w:sz w:val="24"/>
          <w:szCs w:val="24"/>
        </w:rPr>
        <w:t xml:space="preserve">10.4 Technical</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HUF PreParser exists as a set of JavaScript builders and Python implementations. A formal API specification, automated testing framework, and deployment pipeline are needed for production use. Volume 7 addresses this gap.</w:t>
      </w:r>
    </w:p>
    <w:p>
      <w:r>
        <w:br w:type="page"/>
      </w:r>
    </w:p>
    <w:p>
      <w:pPr>
        <w:pStyle w:val="Heading1"/>
        <w:spacing w:after="200" w:before="360"/>
      </w:pPr>
      <w:r>
        <w:rPr>
          <w:rFonts w:ascii="Times New Roman" w:cs="Times New Roman" w:eastAsia="Times New Roman" w:hAnsi="Times New Roman"/>
          <w:b/>
          <w:bCs/>
          <w:color w:val="1F3864"/>
          <w:sz w:val="28"/>
          <w:szCs w:val="28"/>
        </w:rPr>
        <w:t xml:space="preserve">11. The Five-AI Collective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HUF framework was developed through a distinctive collaboration between a human principal investigator and five AI systems, each contributing according to its strengths:</w:t>
      </w:r>
    </w:p>
    <w:p>
      <w:pPr>
        <w:spacing w:after="160"/>
        <w:jc w:val="both"/>
      </w:pPr>
      <w:r>
        <w:rPr>
          <w:rFonts w:ascii="Times New Roman" w:cs="Times New Roman" w:eastAsia="Times New Roman" w:hAnsi="Times New Roman"/>
          <w:b/>
          <w:bCs/>
          <w:color w:val="333333"/>
          <w:sz w:val="22"/>
          <w:szCs w:val="22"/>
        </w:rPr>
        <w:t xml:space="preserve">Claude</w:t>
      </w:r>
      <w:r>
        <w:rPr>
          <w:rFonts w:ascii="Times New Roman" w:cs="Times New Roman" w:eastAsia="Times New Roman" w:hAnsi="Times New Roman"/>
          <w:color w:val="333333"/>
          <w:sz w:val="22"/>
          <w:szCs w:val="22"/>
        </w:rPr>
        <w:t xml:space="preserve"> (Anthropic): Primary research partner. Document architecture, mathematical formalization, code generation, cross-referencing. Builder of the document corpus and the Triad structure.</w:t>
      </w:r>
    </w:p>
    <w:p>
      <w:pPr>
        <w:spacing w:after="160"/>
        <w:jc w:val="both"/>
      </w:pPr>
      <w:r>
        <w:rPr>
          <w:rFonts w:ascii="Times New Roman" w:cs="Times New Roman" w:eastAsia="Times New Roman" w:hAnsi="Times New Roman"/>
          <w:b/>
          <w:bCs/>
          <w:color w:val="333333"/>
          <w:sz w:val="22"/>
          <w:szCs w:val="22"/>
        </w:rPr>
        <w:t xml:space="preserve">Grok</w:t>
      </w:r>
      <w:r>
        <w:rPr>
          <w:rFonts w:ascii="Times New Roman" w:cs="Times New Roman" w:eastAsia="Times New Roman" w:hAnsi="Times New Roman"/>
          <w:color w:val="333333"/>
          <w:sz w:val="22"/>
          <w:szCs w:val="22"/>
        </w:rPr>
        <w:t xml:space="preserve"> (xAI): Mathematical extensions. Thirteen conjectures, Lyapunov stability analysis, Q-factor derivation, Ostrom mapping, four domain application paths. Go/No-Go verdicts on framework claims.</w:t>
      </w:r>
    </w:p>
    <w:p>
      <w:pPr>
        <w:spacing w:after="160"/>
        <w:jc w:val="both"/>
      </w:pPr>
      <w:r>
        <w:rPr>
          <w:rFonts w:ascii="Times New Roman" w:cs="Times New Roman" w:eastAsia="Times New Roman" w:hAnsi="Times New Roman"/>
          <w:b/>
          <w:bCs/>
          <w:color w:val="333333"/>
          <w:sz w:val="22"/>
          <w:szCs w:val="22"/>
        </w:rPr>
        <w:t xml:space="preserve">GPT</w:t>
      </w:r>
      <w:r>
        <w:rPr>
          <w:rFonts w:ascii="Times New Roman" w:cs="Times New Roman" w:eastAsia="Times New Roman" w:hAnsi="Times New Roman"/>
          <w:color w:val="333333"/>
          <w:sz w:val="22"/>
          <w:szCs w:val="22"/>
        </w:rPr>
        <w:t xml:space="preserve"> (OpenAI): Literature review, citation verification, academic writing standards. External perspective on framework positioning.</w:t>
      </w:r>
    </w:p>
    <w:p>
      <w:pPr>
        <w:spacing w:after="160"/>
        <w:jc w:val="both"/>
      </w:pPr>
      <w:r>
        <w:rPr>
          <w:rFonts w:ascii="Times New Roman" w:cs="Times New Roman" w:eastAsia="Times New Roman" w:hAnsi="Times New Roman"/>
          <w:b/>
          <w:bCs/>
          <w:color w:val="333333"/>
          <w:sz w:val="22"/>
          <w:szCs w:val="22"/>
        </w:rPr>
        <w:t xml:space="preserve">Gemini</w:t>
      </w:r>
      <w:r>
        <w:rPr>
          <w:rFonts w:ascii="Times New Roman" w:cs="Times New Roman" w:eastAsia="Times New Roman" w:hAnsi="Times New Roman"/>
          <w:color w:val="333333"/>
          <w:sz w:val="22"/>
          <w:szCs w:val="22"/>
        </w:rPr>
        <w:t xml:space="preserve"> (Google): Data processing pathways, geospatial analysis (Toronto infrastructure), cross-domain comparison methodology.</w:t>
      </w:r>
    </w:p>
    <w:p>
      <w:pPr>
        <w:spacing w:after="160"/>
        <w:jc w:val="both"/>
      </w:pPr>
      <w:r>
        <w:rPr>
          <w:rFonts w:ascii="Times New Roman" w:cs="Times New Roman" w:eastAsia="Times New Roman" w:hAnsi="Times New Roman"/>
          <w:b/>
          <w:bCs/>
          <w:color w:val="333333"/>
          <w:sz w:val="22"/>
          <w:szCs w:val="22"/>
        </w:rPr>
        <w:t xml:space="preserve">DeepSeek</w:t>
      </w:r>
      <w:r>
        <w:rPr>
          <w:rFonts w:ascii="Times New Roman" w:cs="Times New Roman" w:eastAsia="Times New Roman" w:hAnsi="Times New Roman"/>
          <w:color w:val="333333"/>
          <w:sz w:val="22"/>
          <w:szCs w:val="22"/>
        </w:rPr>
        <w:t xml:space="preserve"> (DeepSeek): Mathematical verification, alternative proof strategies, edge case analysis.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Operator Control Contract (OCC 51/49) governs this collaboration: the human principal investigator retains majority decision authority over all framework claims, publication decisions, and governance design. The AI systems advise; they do not decide. This contract applies reflexively: HUF monitors its own development process as a portfolio of contributions.</w:t>
      </w:r>
    </w:p>
    <w:p>
      <w:r>
        <w:br w:type="page"/>
      </w:r>
    </w:p>
    <w:p>
      <w:pPr>
        <w:pStyle w:val="Heading1"/>
        <w:spacing w:after="200" w:before="360"/>
      </w:pPr>
      <w:r>
        <w:rPr>
          <w:rFonts w:ascii="Times New Roman" w:cs="Times New Roman" w:eastAsia="Times New Roman" w:hAnsi="Times New Roman"/>
          <w:b/>
          <w:bCs/>
          <w:color w:val="1F3864"/>
          <w:sz w:val="28"/>
          <w:szCs w:val="28"/>
        </w:rPr>
        <w:t xml:space="preserve">12. Conclusion</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HUF Triad presents a complete framework for portfolio governance that is theoretically grounded (Pillar 1: sufficient statistics), observationally valid (Pillar 2: degenerate state observer), and operationally actionable (Volumes 0–8: progressive governance implementation). The unity constraint Σρᵢ = 1 is the single invariant from which all structures derive. Because this constraint holds for any system where shares are defined as proportions of a fixed total, HUF’s applicability is bounded only by the existence of a budget ceiling—a condition satisfied across mechanical, biological, ecological, digital, astrophysical, acoustic, and institutional domains.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Triad is not a claim of completeness. Open problems remain in non-linear convergence theory, prospective institutional deployment, and domain extension. What the Triad does claim is structural coherence: the two pillar papers and nine governance volumes form a mutually reinforcing architecture where each component strengthens every other component through shared definitions, shared data, and shared mathematical foundations.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Any reader can enter at any point. The cross-references will guide them to wherever they need to go next.</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
      </w:r>
    </w:p>
    <w:p>
      <w:pPr>
        <w:spacing w:after="160"/>
        <w:jc w:val="both"/>
      </w:pPr>
      <w:r>
        <w:rPr>
          <w:rFonts w:ascii="Times New Roman" w:cs="Times New Roman" w:eastAsia="Times New Roman" w:hAnsi="Times New Roman"/>
          <w:i/>
          <w:iCs/>
          <w:color w:val="333333"/>
          <w:sz w:val="22"/>
          <w:szCs w:val="22"/>
        </w:rPr>
        <w:t xml:space="preserve">Nothing claims more than the artifacts support.</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
      </w:r>
    </w:p>
    <w:p>
      <w:pPr>
        <w:spacing w:after="160"/>
        <w:jc w:val="both"/>
      </w:pPr>
      <w:r>
        <w:rPr>
          <w:rFonts w:ascii="Times New Roman" w:cs="Times New Roman" w:eastAsia="Times New Roman" w:hAnsi="Times New Roman"/>
          <w:b/>
          <w:bCs/>
          <w:color w:val="333333"/>
          <w:sz w:val="22"/>
          <w:szCs w:val="22"/>
        </w:rPr>
        <w:t xml:space="preserve">Peter Higgins</w:t>
      </w:r>
      <w:r>
        <w:rPr>
          <w:rFonts w:ascii="Times New Roman" w:cs="Times New Roman" w:eastAsia="Times New Roman" w:hAnsi="Times New Roman"/>
          <w:color w:val="333333"/>
          <w:sz w:val="22"/>
          <w:szCs w:val="22"/>
        </w:rPr>
        <w:t xml:space="preserve"> · Principal Investigator · Rogue Wave Audio · Markham, Ontario</w:t>
      </w:r>
    </w:p>
    <w:p>
      <w:pPr>
        <w:spacing w:after="160"/>
        <w:jc w:val="both"/>
      </w:pPr>
      <w:r>
        <w:rPr>
          <w:rFonts w:ascii="Times New Roman" w:cs="Times New Roman" w:eastAsia="Times New Roman" w:hAnsi="Times New Roman"/>
          <w:i/>
          <w:iCs/>
          <w:color w:val="999999"/>
          <w:sz w:val="22"/>
          <w:szCs w:val="22"/>
        </w:rPr>
        <w:t xml:space="preserve">HUF v1.2.0 · MIT License · March 2026</w:t>
      </w:r>
    </w:p>
    <w:p>
      <w:pPr>
        <w:spacing w:after="160"/>
        <w:jc w:val="both"/>
      </w:pPr>
      <w:r>
        <w:rPr>
          <w:rFonts w:ascii="Times New Roman" w:cs="Times New Roman" w:eastAsia="Times New Roman" w:hAnsi="Times New Roman"/>
          <w:i/>
          <w:iCs/>
          <w:color w:val="999999"/>
          <w:sz w:val="22"/>
          <w:szCs w:val="22"/>
        </w:rPr>
        <w:t xml:space="preserve">Collective contributions: Claude, Copilot, Gemini, ChatGPT, Grok, DeepSeek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Times New Roman" w:cs="Times New Roman" w:eastAsia="Times New Roman" w:hAnsi="Times New Roman"/>
        <w:color w:val="999999"/>
        <w:sz w:val="16"/>
        <w:szCs w:val="16"/>
      </w:rPr>
      <w:t xml:space="preserve">Higgins Unity Framework v1.2.0 · MIT License · </w:t>
    </w:r>
    <w:r>
      <w:rPr>
        <w:rFonts w:ascii="Times New Roman" w:cs="Times New Roman" w:eastAsia="Times New Roman" w:hAnsi="Times New Roman"/>
        <w:color w:val="999999"/>
        <w:sz w:val="16"/>
        <w:szCs w:val="16"/>
      </w:rPr>
      <w:t xml:space="preserve">Page </w:t>
    </w:r>
    <w:r>
      <w:rPr>
        <w:rFonts w:ascii="Times New Roman" w:cs="Times New Roman" w:eastAsia="Times New Roman" w:hAnsi="Times New Roman"/>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jc w:val="center"/>
    </w:pPr>
    <w:r>
      <w:rPr>
        <w:rFonts w:ascii="Times New Roman" w:cs="Times New Roman" w:eastAsia="Times New Roman" w:hAnsi="Times New Roman"/>
        <w:color w:val="2E75B6"/>
        <w:sz w:val="18"/>
        <w:szCs w:val="18"/>
      </w:rPr>
      <w:t xml:space="preserve">HUF Triad — Volume 8</w:t>
    </w:r>
    <w:r>
      <w:rPr>
        <w:rFonts w:ascii="Times New Roman" w:cs="Times New Roman" w:eastAsia="Times New Roman" w:hAnsi="Times New Roman"/>
        <w:i/>
        <w:iCs/>
        <w:color w:val="2E75B6"/>
        <w:sz w:val="18"/>
        <w:szCs w:val="18"/>
      </w:rPr>
      <w:t xml:space="preserve">	The Triad Synthesis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2026-03-09T06:20:54.184Z</dcterms:created>
  <dcterms:modified xsi:type="dcterms:W3CDTF">2026-03-09T06:20:54.184Z</dcterms:modified>
</cp:coreProperties>
</file>

<file path=docProps/custom.xml><?xml version="1.0" encoding="utf-8"?>
<Properties xmlns="http://schemas.openxmlformats.org/officeDocument/2006/custom-properties" xmlns:vt="http://schemas.openxmlformats.org/officeDocument/2006/docPropsVTypes"/>
</file>