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HUF TRIAD</w:t>
      </w:r>
    </w:p>
    <w:p>
      <w:pPr>
        <w:spacing w:after="100"/>
        <w:jc w:val="center"/>
      </w:pPr>
      <w:r>
        <w:rPr>
          <w:rFonts w:ascii="Times New Roman" w:cs="Times New Roman" w:eastAsia="Times New Roman" w:hAnsi="Times New Roman"/>
          <w:color w:val="2E75B6"/>
          <w:sz w:val="28"/>
          <w:szCs w:val="28"/>
        </w:rPr>
        <w:t xml:space="preserve">Bridging Sufficient Statistics and Ratio State Monitoring</w:t>
      </w:r>
    </w:p>
    <w:p>
      <w:pPr>
        <w:spacing w:after="100"/>
        <w:jc w:val="center"/>
      </w:pPr>
      <w:r>
        <w:rPr>
          <w:rFonts w:ascii="Times New Roman" w:cs="Times New Roman" w:eastAsia="Times New Roman" w:hAnsi="Times New Roman"/>
          <w:color w:val="2E75B6"/>
          <w:sz w:val="28"/>
          <w:szCs w:val="28"/>
        </w:rPr>
        <w:t xml:space="preserve">through Governance</w:t>
      </w:r>
    </w:p>
    <w:p>
      <w:pPr>
        <w:spacing w:before="400"/>
      </w:pPr>
    </w:p>
    <w:p>
      <w:pPr>
        <w:spacing w:after="80"/>
        <w:jc w:val="center"/>
      </w:pPr>
      <w:r>
        <w:rPr>
          <w:rFonts w:ascii="Times New Roman" w:cs="Times New Roman" w:eastAsia="Times New Roman" w:hAnsi="Times New Roman"/>
          <w:i/>
          <w:iCs/>
          <w:color w:val="333333"/>
          <w:sz w:val="24"/>
          <w:szCs w:val="24"/>
        </w:rPr>
        <w:t xml:space="preserve">Volume 8 — The Triad Synthesis</w:t>
      </w:r>
    </w:p>
    <w:p>
      <w:pPr>
        <w:spacing w:after="80"/>
        <w:jc w:val="center"/>
      </w:pPr>
      <w:r>
        <w:rPr>
          <w:rFonts w:ascii="Times New Roman" w:cs="Times New Roman" w:eastAsia="Times New Roman" w:hAnsi="Times New Roman"/>
          <w:color w:val="333333"/>
          <w:sz w:val="22"/>
          <w:szCs w:val="22"/>
        </w:rPr>
        <w:t xml:space="preserve">Version 1.1 · 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Principal Investigator, Rogue Wave Audio, Markham, Ontario</w:t>
      </w:r>
    </w:p>
    <w:p>
      <w:pPr>
        <w:spacing w:after="200"/>
        <w:jc w:val="center"/>
      </w:pPr>
      <w:r>
        <w:rPr>
          <w:rFonts w:ascii="Times New Roman" w:cs="Times New Roman" w:eastAsia="Times New Roman" w:hAnsi="Times New Roman"/>
          <w:i/>
          <w:iCs/>
          <w:color w:val="333333"/>
          <w:sz w:val="20"/>
          <w:szCs w:val="20"/>
        </w:rPr>
        <w:t xml:space="preserve">With the Five-AI Collective: Claude, Grok, GPT, Gemini, DeepSeek</w:t>
      </w:r>
    </w:p>
    <w:p>
      <w:pPr>
        <w:jc w:val="center"/>
      </w:pPr>
      <w:r>
        <w:rPr>
          <w:rFonts w:ascii="Times New Roman" w:cs="Times New Roman" w:eastAsia="Times New Roman" w:hAnsi="Times New Roman"/>
          <w:color w:val="999999"/>
          <w:sz w:val="20"/>
          <w:szCs w:val="20"/>
        </w:rPr>
        <w:t xml:space="preserve">Higgins Unity Framework v1.3.0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rests on three mutually reinforcing structures. Pillar 1, The Sufficiency Frontier, establishes that domain-agnostic sufficient statistic extraction can reduce 156 million heterogeneous records to a 1,008-byte portfolio state at a ratio of 6,357,738:1, placing HUF in an analytically distinct category beyond conventional compression and signal processing. Pillar 2, The Fourth Monitoring Category, introduces Ratio State Monitoring (MC-4) as a structurally new approach to governance observation: a degenerate state observer where the output is the state, requiring no dynamic model, no external threshold, and no domain-specific calibration. This document, Volume 8, is the third structure: the bridge that binds the two pillars through a comprehensive governance framework spanning nine volumes, from interactive playground notebooks to formal mathematical proofs.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architecture ensures that any reader—regardless of entry point or expertise—can navigate the complete framework through cross-referenced volumes, a unified glossary of 30 terms, and progressive learning pathways from grade-school intuition to post-doctoral research. The unity constraint (Σρᵢ = 1) serves as the common foundation across all volumes, all domains, and all levels of analysis.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1. The Triad Argument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framework that only describes what it extracts (Pillar 1) lacks operational guidance. A framework that only describes how it observes (Pillar 2) lacks theoretical grounding. Neither pillar alone constitutes a complete system. The Triad recognizes that theory, observation, and practice form an irreducible triple:</w:t>
      </w:r>
    </w:p>
    <w:p>
      <w:pPr>
        <w:spacing w:after="160"/>
        <w:jc w:val="both"/>
      </w:pPr>
      <w:r>
        <w:rPr>
          <w:rFonts w:ascii="Times New Roman" w:cs="Times New Roman" w:eastAsia="Times New Roman" w:hAnsi="Times New Roman"/>
          <w:b/>
          <w:bCs/>
          <w:color w:val="333333"/>
          <w:sz w:val="22"/>
          <w:szCs w:val="22"/>
        </w:rPr>
        <w:t xml:space="preserve">Pillar 1 (The Sufficiency Frontier)</w:t>
      </w:r>
      <w:r>
        <w:rPr>
          <w:rFonts w:ascii="Times New Roman" w:cs="Times New Roman" w:eastAsia="Times New Roman" w:hAnsi="Times New Roman"/>
          <w:color w:val="333333"/>
          <w:sz w:val="22"/>
          <w:szCs w:val="22"/>
        </w:rPr>
        <w:t xml:space="preserve"> answers: what does HUF extract from data, and why is the extraction sufficient? It establishes the information-theoretic position of the PreParser—not compression, not filtering, but sufficient statistic extraction on the probability simplex.</w:t>
      </w:r>
    </w:p>
    <w:p>
      <w:pPr>
        <w:spacing w:after="160"/>
        <w:jc w:val="both"/>
      </w:pPr>
      <w:r>
        <w:rPr>
          <w:rFonts w:ascii="Times New Roman" w:cs="Times New Roman" w:eastAsia="Times New Roman" w:hAnsi="Times New Roman"/>
          <w:b/>
          <w:bCs/>
          <w:color w:val="333333"/>
          <w:sz w:val="22"/>
          <w:szCs w:val="22"/>
        </w:rPr>
        <w:t xml:space="preserve">Pillar 2 (The Fourth Monitoring Category)</w:t>
      </w:r>
      <w:r>
        <w:rPr>
          <w:rFonts w:ascii="Times New Roman" w:cs="Times New Roman" w:eastAsia="Times New Roman" w:hAnsi="Times New Roman"/>
          <w:color w:val="333333"/>
          <w:sz w:val="22"/>
          <w:szCs w:val="22"/>
        </w:rPr>
        <w:t xml:space="preserve"> answers: how does HUF observe a system’s governance state, and why is this observation structurally new? It establishes MC-4 as the first monitoring category that uses a system’s own declared intent as its reference.</w:t>
      </w:r>
    </w:p>
    <w:p>
      <w:pPr>
        <w:spacing w:after="160"/>
        <w:jc w:val="both"/>
      </w:pPr>
      <w:r>
        <w:rPr>
          <w:rFonts w:ascii="Times New Roman" w:cs="Times New Roman" w:eastAsia="Times New Roman" w:hAnsi="Times New Roman"/>
          <w:b/>
          <w:bCs/>
          <w:color w:val="333333"/>
          <w:sz w:val="22"/>
          <w:szCs w:val="22"/>
        </w:rPr>
        <w:t xml:space="preserve">The Governance Bridge (Volumes 0–8)</w:t>
      </w:r>
      <w:r>
        <w:rPr>
          <w:rFonts w:ascii="Times New Roman" w:cs="Times New Roman" w:eastAsia="Times New Roman" w:hAnsi="Times New Roman"/>
          <w:color w:val="333333"/>
          <w:sz w:val="22"/>
          <w:szCs w:val="22"/>
        </w:rPr>
        <w:t xml:space="preserve"> answers: how does a practitioner, researcher, or policy maker actually use HUF? It provides the progressive learning pathway, the operational handbook, the empirical evidence, and the cross-domain validation that connects theory to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Removing any one of these three structures leaves the remaining two incomplete. Without Pillar 1, the governance framework lacks a rigorous account of what information it operates on. Without Pillar 2, the framework lacks a rigorous account of why its observation method is valid. Without the Governance Bridge, both pillars remain academic papers disconnected from operational reality.</w:t>
      </w:r>
    </w:p>
    <w:p>
      <w:pPr>
        <w:spacing w:after="160" w:before="80"/>
      </w:pPr>
      <w:r>
        <w:rPr>
          <w:rFonts w:ascii="Times New Roman" w:cs="Times New Roman" w:eastAsia="Times New Roman" w:hAnsi="Times New Roman"/>
          <w:i/>
          <w:iCs/>
          <w:color w:val="2E75B6"/>
          <w:sz w:val="20"/>
          <w:szCs w:val="20"/>
        </w:rPr>
        <w:t xml:space="preserve">▶ Pillar 1: The Sufficiency Frontier (companion paper)</w:t>
      </w:r>
    </w:p>
    <w:p>
      <w:pPr>
        <w:spacing w:after="160" w:before="80"/>
      </w:pPr>
      <w:r>
        <w:rPr>
          <w:rFonts w:ascii="Times New Roman" w:cs="Times New Roman" w:eastAsia="Times New Roman" w:hAnsi="Times New Roman"/>
          <w:i/>
          <w:iCs/>
          <w:color w:val="2E75B6"/>
          <w:sz w:val="20"/>
          <w:szCs w:val="20"/>
        </w:rPr>
        <w:t xml:space="preserve">▶ Pillar 2: The Fourth Monitoring Category (companion paper)</w:t>
      </w:r>
    </w:p>
    <w:p>
      <w:r>
        <w:br w:type="page"/>
      </w:r>
    </w:p>
    <w:p>
      <w:pPr>
        <w:pStyle w:val="Heading1"/>
        <w:spacing w:after="200" w:before="360"/>
      </w:pPr>
      <w:r>
        <w:rPr>
          <w:rFonts w:ascii="Times New Roman" w:cs="Times New Roman" w:eastAsia="Times New Roman" w:hAnsi="Times New Roman"/>
          <w:b/>
          <w:bCs/>
          <w:color w:val="1F3864"/>
          <w:sz w:val="28"/>
          <w:szCs w:val="28"/>
        </w:rPr>
        <w:t xml:space="preserve">2. The Nine Volumes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organized into nine volumes, numbered 0 through 8. Volume 0 begins with no prerequisites; Volume 8 synthesizes the complete framework. A reader can enter at any volume; cross-references guide navigation to prerequisite material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Volume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Title</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Core Question</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Playground</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Anyone (zero prerequisites)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does HUF feel like?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Core Reference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Undergraduate → practitioner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the unity constraint?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Case Studies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 →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Where has HUF been confirmed?</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Mathematical Foundations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 → researcher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(proofs)?</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Ecological Applications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Ecologist → manager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HUF apply to wetlands?</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&amp; Operations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Manager → policy maker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run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Universal Applicability</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Cross-disciplinary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everywhere?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Technical Implementation</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 → data scientist</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build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Triad Synthesis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levels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it all fit together?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volume is self-contained for its declared audience while cross-referencing other volumes for depth. The progressive learning pathway ensures that no concept is used before it has been introduced at the appropriate level.</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Pillar 1: The Sufficiency Frontier</w:t>
      </w:r>
    </w:p>
    <w:p>
      <w:pPr>
        <w:pStyle w:val="Heading2"/>
        <w:spacing w:after="160" w:before="280"/>
      </w:pPr>
      <w:r>
        <w:rPr>
          <w:rFonts w:ascii="Times New Roman" w:cs="Times New Roman" w:eastAsia="Times New Roman" w:hAnsi="Times New Roman"/>
          <w:b/>
          <w:bCs/>
          <w:color w:val="1F3864"/>
          <w:sz w:val="24"/>
          <w:szCs w:val="24"/>
        </w:rPr>
        <w:t xml:space="preserve">3.1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performs domain-agnostic sufficient statistic extraction. It processes 156 million records from 10 heterogeneous systems—spanning mechanical degradation (BackBlaze), national energy portfolios (OWID), urban transit (TTC), astrophysical instrumentation (ESA Planck), biological fermentation (sourdough), ecological monitoring (Ramsar), digital infrastructure (CI/CD), acoustic physics (RogueWaveAudio), and municipal infrastructure (Toronto)—and produces a 1,008-byte output that preserves all information necessary for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3.2 The Hierarchy of Information Reduction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1 introduces a four-level hierarchy that positions HUF relative to established reduction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2600"/>
        <w:gridCol w:w="28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Examples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 – 10:1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Redundancy removal</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LZ77</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 – 3,000:1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Irrelevance removal</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MP3, H.265</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 – 10⁴:1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Model-based extraction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wavelet, Kalman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 – 10²³:1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Inference-preserving extraction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Fisher, HUF PreParser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operates at Level 4. The 6,357,738:1 ratio is not compression; it is the extraction of the sufficient statistics for portfolio governance from raw heterogeneous data. The sufficiency frontier is the boundary in reduction-ratio space where this transition occurs.</w:t>
      </w:r>
    </w:p>
    <w:p>
      <w:pPr>
        <w:spacing w:after="160" w:before="80"/>
      </w:pPr>
      <w:r>
        <w:rPr>
          <w:rFonts w:ascii="Times New Roman" w:cs="Times New Roman" w:eastAsia="Times New Roman" w:hAnsi="Times New Roman"/>
          <w:i/>
          <w:iCs/>
          <w:color w:val="2E75B6"/>
          <w:sz w:val="20"/>
          <w:szCs w:val="20"/>
        </w:rPr>
        <w:t xml:space="preserve">▶ Full treatment: Pillar 1 paper, Sections 3–5</w:t>
      </w:r>
    </w:p>
    <w:p>
      <w:pPr>
        <w:spacing w:after="160" w:before="80"/>
      </w:pPr>
      <w:r>
        <w:rPr>
          <w:rFonts w:ascii="Times New Roman" w:cs="Times New Roman" w:eastAsia="Times New Roman" w:hAnsi="Times New Roman"/>
          <w:i/>
          <w:iCs/>
          <w:color w:val="2E75B6"/>
          <w:sz w:val="20"/>
          <w:szCs w:val="20"/>
        </w:rPr>
        <w:t xml:space="preserve">▶ Interactive examples: Vol 0, Notebooks 1–5</w:t>
      </w:r>
    </w:p>
    <w:p>
      <w:pPr>
        <w:spacing w:after="160" w:before="80"/>
      </w:pPr>
      <w:r>
        <w:rPr>
          <w:rFonts w:ascii="Times New Roman" w:cs="Times New Roman" w:eastAsia="Times New Roman" w:hAnsi="Times New Roman"/>
          <w:i/>
          <w:iCs/>
          <w:color w:val="2E75B6"/>
          <w:sz w:val="20"/>
          <w:szCs w:val="20"/>
        </w:rPr>
        <w:t xml:space="preserve">▶ Mathematical proofs: Vol 3, Sections 9–10</w:t>
      </w:r>
    </w:p>
    <w:p>
      <w:r>
        <w:br w:type="page"/>
      </w:r>
    </w:p>
    <w:p>
      <w:pPr>
        <w:pStyle w:val="Heading1"/>
        <w:spacing w:after="200" w:before="360"/>
      </w:pPr>
      <w:r>
        <w:rPr>
          <w:rFonts w:ascii="Times New Roman" w:cs="Times New Roman" w:eastAsia="Times New Roman" w:hAnsi="Times New Roman"/>
          <w:b/>
          <w:bCs/>
          <w:color w:val="1F3864"/>
          <w:sz w:val="28"/>
          <w:szCs w:val="28"/>
        </w:rPr>
        <w:t xml:space="preserve">4. Pillar 2: The Fourth Monitoring Category</w:t>
      </w:r>
    </w:p>
    <w:p>
      <w:pPr>
        <w:pStyle w:val="Heading2"/>
        <w:spacing w:after="160" w:before="280"/>
      </w:pPr>
      <w:r>
        <w:rPr>
          <w:rFonts w:ascii="Times New Roman" w:cs="Times New Roman" w:eastAsia="Times New Roman" w:hAnsi="Times New Roman"/>
          <w:b/>
          <w:bCs/>
          <w:color w:val="1F3864"/>
          <w:sz w:val="24"/>
          <w:szCs w:val="24"/>
        </w:rPr>
        <w:t xml:space="preserve">4.1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Three monitoring categories are established in the ecological and governance literature: Passive (MC-1), Mandated (MC-2), and Question-driven (MC-3). HUF introduces a fourth: Ratio State Monitoring (MC-4), which uses a system’s own declared intent as the reference for observation. MC-4 is structurally distinct from the first three in five ways: it is self-referential, non-invasive, model-free, bidirectional, and cross-cycle.</w:t>
      </w:r>
    </w:p>
    <w:p>
      <w:pPr>
        <w:pStyle w:val="Heading2"/>
        <w:spacing w:after="160" w:before="280"/>
      </w:pPr>
      <w:r>
        <w:rPr>
          <w:rFonts w:ascii="Times New Roman" w:cs="Times New Roman" w:eastAsia="Times New Roman" w:hAnsi="Times New Roman"/>
          <w:b/>
          <w:bCs/>
          <w:color w:val="1F3864"/>
          <w:sz w:val="24"/>
          <w:szCs w:val="24"/>
        </w:rPr>
        <w:t xml:space="preserve">4.2 The Degenerate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MC-4’s mathematical basis is the degenerate state observer. In classical control theory, a state observer estimates internal states from outputs using a dynamic model. HUF requires no model: the state IS the output. On the probability simplex, y(t) = ρ(t), the estimation gain L = 0, and the estimation error is identically zero. This is Proposition 1 of Pillar 2.</w:t>
      </w:r>
    </w:p>
    <w:p>
      <w:pPr>
        <w:pStyle w:val="Heading2"/>
        <w:spacing w:after="160" w:before="280"/>
      </w:pPr>
      <w:r>
        <w:rPr>
          <w:rFonts w:ascii="Times New Roman" w:cs="Times New Roman" w:eastAsia="Times New Roman" w:hAnsi="Times New Roman"/>
          <w:b/>
          <w:bCs/>
          <w:color w:val="1F3864"/>
          <w:sz w:val="24"/>
          <w:szCs w:val="24"/>
        </w:rPr>
        <w:t xml:space="preserve">4.3 Six Failure Modes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2 identifies six structurally invisible failure modes that MC-1 through MC-3 cannot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6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Managing a finite-budget system by absolute metrics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Gradual allocation drift without governance decision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Underestimating high-Q elements by single-cycle observation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Increasing share to decreasing number of elements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Sub-threshold attention to too many elements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present on paper but outside governance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FM-1 is the enabling condition; FM-2 is the mechanism; FM-3 through FM-6 are consequences. The progression is structural, not incidental.</w:t>
      </w:r>
    </w:p>
    <w:p>
      <w:pPr>
        <w:spacing w:after="160" w:before="80"/>
      </w:pPr>
      <w:r>
        <w:rPr>
          <w:rFonts w:ascii="Times New Roman" w:cs="Times New Roman" w:eastAsia="Times New Roman" w:hAnsi="Times New Roman"/>
          <w:i/>
          <w:iCs/>
          <w:color w:val="2E75B6"/>
          <w:sz w:val="20"/>
          <w:szCs w:val="20"/>
        </w:rPr>
        <w:t xml:space="preserve">▶ Full treatment: Pillar 2 paper, Sections 4–6</w:t>
      </w:r>
    </w:p>
    <w:p>
      <w:pPr>
        <w:spacing w:after="160" w:before="80"/>
      </w:pPr>
      <w:r>
        <w:rPr>
          <w:rFonts w:ascii="Times New Roman" w:cs="Times New Roman" w:eastAsia="Times New Roman" w:hAnsi="Times New Roman"/>
          <w:i/>
          <w:iCs/>
          <w:color w:val="2E75B6"/>
          <w:sz w:val="20"/>
          <w:szCs w:val="20"/>
        </w:rPr>
        <w:t xml:space="preserve">▶ Operational guide: Vol 5, Sections 1–4</w:t>
      </w:r>
    </w:p>
    <w:p>
      <w:pPr>
        <w:spacing w:after="160" w:before="80"/>
      </w:pPr>
      <w:r>
        <w:rPr>
          <w:rFonts w:ascii="Times New Roman" w:cs="Times New Roman" w:eastAsia="Times New Roman" w:hAnsi="Times New Roman"/>
          <w:i/>
          <w:iCs/>
          <w:color w:val="2E75B6"/>
          <w:sz w:val="20"/>
          <w:szCs w:val="20"/>
        </w:rPr>
        <w:t xml:space="preserve">▶ Case study evidence: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Governance Bridge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Governance Bridge translates Pillar 1’s information theory and Pillar 2’s monitoring theory into operational practice. It comprises the four standard artifacts, the Operator Control Contract, the convergence pathway, and the institutional memory mechanism.</w:t>
      </w:r>
    </w:p>
    <w:p>
      <w:pPr>
        <w:pStyle w:val="Heading2"/>
        <w:spacing w:after="160" w:before="280"/>
      </w:pPr>
      <w:r>
        <w:rPr>
          <w:rFonts w:ascii="Times New Roman" w:cs="Times New Roman" w:eastAsia="Times New Roman" w:hAnsi="Times New Roman"/>
          <w:b/>
          <w:bCs/>
          <w:color w:val="1F3864"/>
          <w:sz w:val="24"/>
          <w:szCs w:val="24"/>
        </w:rPr>
        <w:t xml:space="preserve">5.1 Four Artifacts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produces four standard outputs at each reporting cycle: A-1 (Portfolio Share Table), A-2 (Trace Report), A-3 (Portfolio Change Log), and A-4 (Coverage Record). These artifacts are plain tabular outputs in CSV format that attach to existing governance reporting structures. They require no new data collection—only the re-expression of existing data as proportional shares.</w:t>
      </w:r>
    </w:p>
    <w:p>
      <w:pPr>
        <w:pStyle w:val="Heading2"/>
        <w:spacing w:after="160" w:before="280"/>
      </w:pPr>
      <w:r>
        <w:rPr>
          <w:rFonts w:ascii="Times New Roman" w:cs="Times New Roman" w:eastAsia="Times New Roman" w:hAnsi="Times New Roman"/>
          <w:b/>
          <w:bCs/>
          <w:color w:val="1F3864"/>
          <w:sz w:val="24"/>
          <w:szCs w:val="24"/>
        </w:rPr>
        <w:t xml:space="preserve">5.2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OCC ensures that the operator always retains majority control over governance decisions. The formal requirement is w_op ≥ 0.51, w_tool ≤ 0.49: HUF advises, it does not decide. This is not a philosophical aspiration but a formal constraint embedded in every HUF deployment.</w:t>
      </w:r>
    </w:p>
    <w:p>
      <w:pPr>
        <w:pStyle w:val="Heading2"/>
        <w:spacing w:after="160" w:before="280"/>
      </w:pPr>
      <w:r>
        <w:rPr>
          <w:rFonts w:ascii="Times New Roman" w:cs="Times New Roman" w:eastAsia="Times New Roman" w:hAnsi="Times New Roman"/>
          <w:b/>
          <w:bCs/>
          <w:color w:val="1F3864"/>
          <w:sz w:val="24"/>
          <w:szCs w:val="24"/>
        </w:rPr>
        <w:t xml:space="preserve">5.3 Convergence to Ground State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Under consistent application, the Mean Drift Gap (MDG) approaches zero over successive reporting cycles. The convergence pathway proceeds through five observable stages: Baseline (Cycle 1), Trajectory Establishment (Cycles 2–3), Q-Factor Characterization (Cycles 4–6), Ground State Approach (Cycles 7+), and Ground State Reached (variable). The rate of convergence depends on the Q-factor differential between portfolio elements.</w:t>
      </w:r>
    </w:p>
    <w:p>
      <w:pPr>
        <w:pStyle w:val="Heading2"/>
        <w:spacing w:after="160" w:before="280"/>
      </w:pPr>
      <w:r>
        <w:rPr>
          <w:rFonts w:ascii="Times New Roman" w:cs="Times New Roman" w:eastAsia="Times New Roman" w:hAnsi="Times New Roman"/>
          <w:b/>
          <w:bCs/>
          <w:color w:val="1F3864"/>
          <w:sz w:val="24"/>
          <w:szCs w:val="24"/>
        </w:rPr>
        <w:t xml:space="preserve">5.4 Institutional Memory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Proposition 7.5 (proved in Volume 3): a governance system operating under MC-4 accumulates institutional memory at one portfolio state per reporting cycle, permanently and without additional effort. After n cycles, the institution holds an n-period governance trajectory independent of personnel turnover, organizational restructuring, or administrative disruption.</w:t>
      </w:r>
    </w:p>
    <w:p>
      <w:pPr>
        <w:spacing w:after="160" w:before="80"/>
      </w:pPr>
      <w:r>
        <w:rPr>
          <w:rFonts w:ascii="Times New Roman" w:cs="Times New Roman" w:eastAsia="Times New Roman" w:hAnsi="Times New Roman"/>
          <w:i/>
          <w:iCs/>
          <w:color w:val="2E75B6"/>
          <w:sz w:val="20"/>
          <w:szCs w:val="20"/>
        </w:rPr>
        <w:t xml:space="preserve">▶ Operational handbook: Vol 5</w:t>
      </w:r>
    </w:p>
    <w:p>
      <w:pPr>
        <w:spacing w:after="160" w:before="80"/>
      </w:pPr>
      <w:r>
        <w:rPr>
          <w:rFonts w:ascii="Times New Roman" w:cs="Times New Roman" w:eastAsia="Times New Roman" w:hAnsi="Times New Roman"/>
          <w:i/>
          <w:iCs/>
          <w:color w:val="2E75B6"/>
          <w:sz w:val="20"/>
          <w:szCs w:val="20"/>
        </w:rPr>
        <w:t xml:space="preserve">▶ Mathematical proof: Vol 3, Proposition 7.5</w:t>
      </w:r>
    </w:p>
    <w:p>
      <w:pPr>
        <w:spacing w:after="160" w:before="80"/>
      </w:pPr>
      <w:r>
        <w:rPr>
          <w:rFonts w:ascii="Times New Roman" w:cs="Times New Roman" w:eastAsia="Times New Roman" w:hAnsi="Times New Roman"/>
          <w:i/>
          <w:iCs/>
          <w:color w:val="2E75B6"/>
          <w:sz w:val="20"/>
          <w:szCs w:val="20"/>
        </w:rPr>
        <w:t xml:space="preserve">▶ Interactive simulation: Vol 0, Notebook 3 (sourdough convergence)</w:t>
      </w:r>
    </w:p>
    <w:p>
      <w:r>
        <w:br w:type="page"/>
      </w:r>
    </w:p>
    <w:p>
      <w:pPr>
        <w:pStyle w:val="Heading1"/>
        <w:spacing w:after="200" w:before="360"/>
      </w:pPr>
      <w:r>
        <w:rPr>
          <w:rFonts w:ascii="Times New Roman" w:cs="Times New Roman" w:eastAsia="Times New Roman" w:hAnsi="Times New Roman"/>
          <w:b/>
          <w:bCs/>
          <w:color w:val="1F3864"/>
          <w:sz w:val="28"/>
          <w:szCs w:val="28"/>
        </w:rPr>
        <w:t xml:space="preserve">6. Progressive Learning Pathway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designed for multiple entry points. Five recommended reading pathways serve different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Pathway</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Learning Goal</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Newcomer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2 → Vol 8</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Intuition, foundations, evidence, synthesis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5 → Vol 4 or Vol 2</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Hands-on deployment skills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Researcher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3 → Vol 6 → Pillar 1 → Pillar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Theoretical depth and novelty claims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7 → Vol 1 → Vol 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Implementation, then understanding</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Policy Maker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5 → Vol 4 → Vol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Big picture, then governance, then evidence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Within each volume, concepts build from simple to complex. Volume 0’s five Jupyter notebooks progress from pizza slices to satellite telemetry. Volume 3 progresses from compositional data theory to open conjectures. No concept is introduced at a level higher than the audience can reach from the previous step.</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Cross-Reference Matrix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core concept appears in multiple volumes at different depths. The codes below indicate treatment level: I = Introduced, D = Defined formally, P = Proved, A = Applied, E = Exemplified.</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500"/>
        <w:gridCol w:w="500"/>
        <w:gridCol w:w="500"/>
        <w:gridCol w:w="500"/>
        <w:gridCol w:w="500"/>
        <w:gridCol w:w="500"/>
        <w:gridCol w:w="500"/>
        <w:gridCol w:w="5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Concept</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V0</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V5</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V6</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V7</w:t>
            </w:r>
          </w:p>
        </w:tc>
        <w:tc>
          <w:tcPr>
            <w:tcW w:type="dxa" w:w="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V8</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Failure Modes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through MC-4</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Principles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8. Unified Glossary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terms are used consistently across all nine volumes, both pillar papers, and all companion notebooks. Definitions are canonical; any document that uses a term differently has a gap to be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Definition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(M)</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total of a finite-budget system, indexed to 1.0.</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(i)</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 constituent of a portfolio holding a share of the ceiling.</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 element’s proportion of the budget ceiling. ρᵢ = mᵢ/M.</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State (ρ)</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 system description: vector of shares summing to 1.</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Σρᵢ = 1. Foundational invariant. Tautological for proportions.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Probability Simplex (Sᴷ)</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Geometric space of all valid portfolio states.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Declared Weight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operator states each element should hold.</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Observed Share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element actually holds in the current state.</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Gap</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|ρᵢᵈᵉᶜ − ρᵢᵒᵇˢ|. Absolute difference per element.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 (MDG)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Average drift gap across all elements. In percentage points.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not traceable to a recorded governance decision.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Intentional Reweighting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traceable to a recorded governance decision.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(1/ρᵢ)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Reciprocal of share. Measures sensitivity to removal.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Min elements for 80% of portfolio mass. Lower = more concentrated.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T_char/T_obs. Characteristic period to observation bandwidth.</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 Self-correcting feedback.</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Action Window</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Period when correction is cheapest.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Failure Modes (FM-1–FM-6)</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structurally invisible governance failures.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Distance</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Natural metric on the simplex. MDG is first-order approximation.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(Ω)</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|ΔMDG| × (K/K_eff). Cross-domain normalization.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w_op ≥ 0.51. Operator retains majority control.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y(t) = ρ(t). State IS output. L = 0. No model needed.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 Monitoring)</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monitoring category. Self-referential, model-free.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One portfolio state per cycle, permanently accumulated.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where reduction becomes sufficient statistic extraction.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 (A-1–A-4)</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Table, Trace Report, Change Log, Coverage Record.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Convergence Stages</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 → Trajectory → Q-characterization → Ground State.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Design Principles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Eight commons governance principles. HUF satisfies DP1–7.</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Pettitt Test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Non-parametric changepoint detection on MDG time series.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ITS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Interrupted Time Series. Y = β₀ + β₁t + β₂D + β₃(t×D) + ε.</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9. Empirical Foundation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rests on empirical confirmation across 10 domains. Three domains provide formal statistical confirmation (System A, B, C); seven additional domains provide supportive evidence through the PreParser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800"/>
        <w:gridCol w:w="2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Result</w:t>
            </w:r>
          </w:p>
        </w:tc>
        <w:tc>
          <w:tcPr>
            <w:tcW w:type="dxa" w:w="2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 fermentation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p=0.021 (Pettitt)</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 Ramsar wetlands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p&lt;0.0027 (ITS)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 pipeline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p&lt;0.0001 (Fisher)</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hard drives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9-quarter HDI portfolio</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 mix</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3-country structural breaks</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TTC transit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King St 5/5 causal</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~5.7B</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975 exact match</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infrastructure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portfolio analysis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~1.5M</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Frequency portfolio</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 (Nature Sci Rep)</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Peer-reviewed validation</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three-domain confirmation (Systems A, B, C) provides the formal statistical basis. The ESA Planck external validation (System G) provides the strongest single piece of evidence: a changepoint detected from data alone that matches a known physical event to the exact operational day.</w:t>
      </w:r>
    </w:p>
    <w:p>
      <w:pPr>
        <w:spacing w:after="160" w:before="80"/>
      </w:pPr>
      <w:r>
        <w:rPr>
          <w:rFonts w:ascii="Times New Roman" w:cs="Times New Roman" w:eastAsia="Times New Roman" w:hAnsi="Times New Roman"/>
          <w:i/>
          <w:iCs/>
          <w:color w:val="2E75B6"/>
          <w:sz w:val="20"/>
          <w:szCs w:val="20"/>
        </w:rPr>
        <w:t xml:space="preserve">▶ Full evidence: Vol 2 (Case Studies)</w:t>
      </w:r>
    </w:p>
    <w:p>
      <w:pPr>
        <w:spacing w:after="160" w:before="80"/>
      </w:pPr>
      <w:r>
        <w:rPr>
          <w:rFonts w:ascii="Times New Roman" w:cs="Times New Roman" w:eastAsia="Times New Roman" w:hAnsi="Times New Roman"/>
          <w:i/>
          <w:iCs/>
          <w:color w:val="2E75B6"/>
          <w:sz w:val="20"/>
          <w:szCs w:val="20"/>
        </w:rPr>
        <w:t xml:space="preserve">▶ PreParser corpus: Pillar 1, Section 5</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The Triad of Triads: 9 Points of Contact, 3 Unions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framework rests on a deeper architectural principle: HUF itself is not a single structure but a two-triad system that connects through three unions to form a stable architecture. Understanding this geometry clarifies how the nine volumes, two pillar papers, and operational practice form a coherent whole.</w:t>
      </w:r>
    </w:p>
    <w:p>
      <w:pPr>
        <w:pStyle w:val="Heading2"/>
        <w:spacing w:after="160" w:before="280"/>
      </w:pPr>
      <w:r>
        <w:rPr>
          <w:rFonts w:ascii="Times New Roman" w:cs="Times New Roman" w:eastAsia="Times New Roman" w:hAnsi="Times New Roman"/>
          <w:b/>
          <w:bCs/>
          <w:color w:val="1F3864"/>
          <w:sz w:val="24"/>
          <w:szCs w:val="24"/>
        </w:rPr>
        <w:t xml:space="preserve">10.1 The Three Triads</w:t>
      </w:r>
    </w:p>
    <w:p>
      <w:pPr>
        <w:spacing w:after="160"/>
        <w:jc w:val="both"/>
      </w:pPr>
      <w:r>
        <w:rPr>
          <w:rFonts w:ascii="Times New Roman" w:cs="Times New Roman" w:eastAsia="Times New Roman" w:hAnsi="Times New Roman"/>
          <w:b/>
          <w:bCs/>
          <w:color w:val="333333"/>
          <w:sz w:val="22"/>
          <w:szCs w:val="22"/>
        </w:rPr>
        <w:t xml:space="preserve">Triad 1 — HUF (Mathematics):</w:t>
      </w:r>
      <w:r>
        <w:rPr>
          <w:rFonts w:ascii="Times New Roman" w:cs="Times New Roman" w:eastAsia="Times New Roman" w:hAnsi="Times New Roman"/>
          <w:color w:val="333333"/>
          <w:sz w:val="22"/>
          <w:szCs w:val="22"/>
        </w:rPr>
        <w:t xml:space="preserve"> The theoretical foundation consists of three pillars: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Sufficiency Frontier: Domain-agnostic extraction at the boundary between compression and inference.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Fourth Category: MC-4 as the first monitoring method that uses a system’s declared intent as reference.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H1 Operator: The specific transformation that generates the sufficient statistics on the probability simplex.</w:t>
      </w:r>
    </w:p>
    <w:p>
      <w:pPr>
        <w:spacing w:after="160"/>
        <w:jc w:val="both"/>
      </w:pPr>
      <w:r>
        <w:rPr>
          <w:rFonts w:ascii="Times New Roman" w:cs="Times New Roman" w:eastAsia="Times New Roman" w:hAnsi="Times New Roman"/>
          <w:b/>
          <w:bCs/>
          <w:color w:val="333333"/>
          <w:sz w:val="22"/>
          <w:szCs w:val="22"/>
        </w:rPr>
        <w:t xml:space="preserve">Triad 2 — RWA (Application):</w:t>
      </w:r>
      <w:r>
        <w:rPr>
          <w:rFonts w:ascii="Times New Roman" w:cs="Times New Roman" w:eastAsia="Times New Roman" w:hAnsi="Times New Roman"/>
          <w:color w:val="333333"/>
          <w:sz w:val="22"/>
          <w:szCs w:val="22"/>
        </w:rPr>
        <w:t xml:space="preserve"> The practical bridge from mathematics to implementation:</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Organic Digital: Application without artificial constraints; HUF fits into existing governance structures.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DADC-DADI: Data-agnostic, domain-agnostic collection and interpretation methods.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Cortex-Matched Crossover: Matching human cognitive load and decision-making capacity.</w:t>
      </w:r>
    </w:p>
    <w:p>
      <w:pPr>
        <w:spacing w:after="160"/>
        <w:jc w:val="both"/>
      </w:pPr>
      <w:r>
        <w:rPr>
          <w:rFonts w:ascii="Times New Roman" w:cs="Times New Roman" w:eastAsia="Times New Roman" w:hAnsi="Times New Roman"/>
          <w:b/>
          <w:bCs/>
          <w:color w:val="333333"/>
          <w:sz w:val="22"/>
          <w:szCs w:val="22"/>
        </w:rPr>
        <w:t xml:space="preserve">Triad 3 — Real World (Validation):</w:t>
      </w:r>
      <w:r>
        <w:rPr>
          <w:rFonts w:ascii="Times New Roman" w:cs="Times New Roman" w:eastAsia="Times New Roman" w:hAnsi="Times New Roman"/>
          <w:color w:val="333333"/>
          <w:sz w:val="22"/>
          <w:szCs w:val="22"/>
        </w:rPr>
        <w:t xml:space="preserve"> The operational proof that the framework works in practice: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Binaural Test Lab (BTL): Open-source construction path anyone can follow; no proprietary dependency.</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Measurement and Calibration: Quantitative evidence from ten heterogeneous systems confirming the claims.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Listener Experience: Human feedback, institutional deployment, and emergent governance discovery.</w:t>
      </w:r>
    </w:p>
    <w:p>
      <w:pPr>
        <w:pStyle w:val="Heading2"/>
        <w:spacing w:after="160" w:before="280"/>
      </w:pPr>
      <w:r>
        <w:rPr>
          <w:rFonts w:ascii="Times New Roman" w:cs="Times New Roman" w:eastAsia="Times New Roman" w:hAnsi="Times New Roman"/>
          <w:b/>
          <w:bCs/>
          <w:color w:val="1F3864"/>
          <w:sz w:val="24"/>
          <w:szCs w:val="24"/>
        </w:rPr>
        <w:t xml:space="preserve">10.2 The Three Unions: 9 Points of Contact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triads do not float independently. They connect at three unions, each connection point carrying structural significance:</w:t>
      </w:r>
    </w:p>
    <w:p>
      <w:pPr>
        <w:spacing w:after="160"/>
        <w:jc w:val="both"/>
      </w:pPr>
      <w:r>
        <w:rPr>
          <w:rFonts w:ascii="Times New Roman" w:cs="Times New Roman" w:eastAsia="Times New Roman" w:hAnsi="Times New Roman"/>
          <w:b/>
          <w:bCs/>
          <w:color w:val="333333"/>
          <w:sz w:val="22"/>
          <w:szCs w:val="22"/>
        </w:rPr>
        <w:t xml:space="preserve">Union 1: HUF ↔ RWA (Mathematics Meets Acoustics)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H1 operator originated as a solution to loudspeaker diffraction problems at the frequency boundary between ear-canal-scale and head-scale acoustics. The mathematics was born from a physics problem. This union establishes that HUF is not abstract theory imposed on data; it is a principle extracted from observed physical systems. The connection point is the frequency portfolio of a passive loudspeaker crossover: a real, measurable system where the unity constraint (Σρᵢ = 1) applies directly to acoustic energy distribution.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Union 2: RWA ↔ Real World (Theory Meets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RWA Science (Rogue Wave Audio applied science) repository translates HUF into deployment guides, governance templates, and open-source tooling. This union bridges the gap between mathematical principle and institutional action. The Binaural Test Lab allows any practitioner to construct a functioning HUF deployment without relying on proprietary software. The connection point is the four standard artifacts (A-1 through A-4): CSV outputs that attach seamlessly to existing reporting infrastructure.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Union 3: Real World ↔ HUF (Validation Closes the Loop)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Measurement data from real systems feeds back to validate the mathematical framework. Systems A, B, and C provide statistical confirmation. System G (ESA Planck) provides external validation with the strongest evidence: a changepoint detected from the mathematics alone matched a known physical event to the exact operational day. This union closes the loop: practice generates data, data confirms theory, theory guides next practice. The connection point is the Mean Drift Gap (MDG): a single metric that appears in mathematics (convergence theorems), in governance (operational observation), and in measurement (empirical validation).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10.3 The Stable Center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stable point is the center where all three unions converge. This center is the probability simplex itself: the geometric space where all valid portfolio states exist, bounded by the unity constraint. At this center, the following are one and the same: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The sufficient statistic extracted from raw data (mathematics).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The ratio state observed by MC-4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The portfolio composition reported in A-1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identity—that theory, observation, and practice converge to the same object—is what makes the Triad stable. No translation layer, no conversion function, no model mismatch. y(t) = ρ(t). The state IS the output.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10.4 Repository Mapping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 triads map cleanly to three repositories that together form the operational implementation:</w:t>
      </w:r>
    </w:p>
    <w:p>
      <w:pPr>
        <w:spacing w:after="160"/>
        <w:jc w:val="both"/>
      </w:pPr>
      <w:r>
        <w:rPr>
          <w:rFonts w:ascii="Times New Roman" w:cs="Times New Roman" w:eastAsia="Times New Roman" w:hAnsi="Times New Roman"/>
          <w:b/>
          <w:bCs/>
          <w:color w:val="333333"/>
          <w:sz w:val="22"/>
          <w:szCs w:val="22"/>
        </w:rPr>
        <w:t xml:space="preserve">HUF Repository (Mathematics):</w:t>
      </w:r>
      <w:r>
        <w:rPr>
          <w:rFonts w:ascii="Times New Roman" w:cs="Times New Roman" w:eastAsia="Times New Roman" w:hAnsi="Times New Roman"/>
          <w:color w:val="333333"/>
          <w:sz w:val="22"/>
          <w:szCs w:val="22"/>
        </w:rPr>
        <w:t xml:space="preserve"> Pillar 1 and Pillar 2 papers, mathematical proofs, formal definitions, and the nine volumes (0–8). This is Triad 1.</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RWA Science Repository (Theory):</w:t>
      </w:r>
      <w:r>
        <w:rPr>
          <w:rFonts w:ascii="Times New Roman" w:cs="Times New Roman" w:eastAsia="Times New Roman" w:hAnsi="Times New Roman"/>
          <w:color w:val="333333"/>
          <w:sz w:val="22"/>
          <w:szCs w:val="22"/>
        </w:rPr>
        <w:t xml:space="preserve"> Applied documentation, case studies, cross-domain analysis, and the bridge between mathematical principle and operational deployment. This is Triad 2.</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RWA Build Repository (Practice):</w:t>
      </w:r>
      <w:r>
        <w:rPr>
          <w:rFonts w:ascii="Times New Roman" w:cs="Times New Roman" w:eastAsia="Times New Roman" w:hAnsi="Times New Roman"/>
          <w:color w:val="333333"/>
          <w:sz w:val="22"/>
          <w:szCs w:val="22"/>
        </w:rPr>
        <w:t xml:space="preserve"> Open-source implementation, Binaural Test Lab construction guides, deployment templates, and the four standard artifacts. This is Triad 3.</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reader or practitioner can begin in any repository and navigate to the others through the three unions. The mathematician enters through HUF and reaches practice via Unions 1 and 2. The practitioner enters through RWA Build and reaches theory via Unions 2 and 3. The researcher enters through RWA Science and reaches mathematics and practice via Unions 1 and 3. Every path is valid and complete.</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The Car Analogy: HUF for Everyone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Version 1.0 of this framework contained extensive tables, mathematical notation, and cross-references. It was technically complete. But a single moment in conversation revealed what was missing: when someone said, "I see," it was not after reading a table or equation. It was after hearing an analogy.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analogy has become the universal teaching tool for HUF. It requires no mathematical background, no prior knowledge of governance, and no technical preparation. A fifth-grader understands it. A Fortune 500 CFO sees herself in it. A software engineer recognizes the state machine. It is a Rosetta Stone for the unity constraint.</w:t>
      </w:r>
    </w:p>
    <w:p>
      <w:pPr>
        <w:pStyle w:val="Heading2"/>
        <w:spacing w:after="160" w:before="280"/>
      </w:pPr>
      <w:r>
        <w:rPr>
          <w:rFonts w:ascii="Times New Roman" w:cs="Times New Roman" w:eastAsia="Times New Roman" w:hAnsi="Times New Roman"/>
          <w:b/>
          <w:bCs/>
          <w:color w:val="1F3864"/>
          <w:sz w:val="24"/>
          <w:szCs w:val="24"/>
        </w:rPr>
        <w:t xml:space="preserve">11.1 The Basic Scenario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own a car. The fuel tank holds 4 gallons. Today you fill it completely: 4 gallons. The tank is at 100% capacity, the unity constraint is satisfied (4 = 4, ratio = 1.0).</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drive for 30 minutes. You burn 2 gallons of fuel. The tank now holds 2 gallons in a 4-gallon tank. The ratio is now 2/4 = 0.5.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Tomorrow you arrive at a new city. You rent a different car. This car has a 40-gallon tank. You fill it: 40 gallons. You drive for 30 minutes. You burn 2 gallons of fuel. This tank now holds 38 gallons in a 40-gallon tank. The ratio is 38/40 = 0.95.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insight: 2 gallons of fuel is the same amount in both cases. But 2 gallons in a 4-gallon tank (50% burned) is radically different from 2 gallons in a 40-gallon tank (5% burned). The same fuel represents different system states because the systems have different total budgets (ceiling). You cannot understand the fuel burn by looking at absolute quantities. You must look at ratios.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11.2 The Driver/Fuel Portfolio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Now extend the analogy. Your car has a fuel tank and a driver. The total system budget is 1.0 (unity constraint). The driver is 51% of the system. The fuel is 49% of the system. This is the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driver makes decisions: where to go, how fast to drive, which route to take. These decisions are 51% of the system because the driver controls 51% of the resources (decision-making authority).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carries out those decisions: it provides the energy to actually move the car. Fuel is 49% of the system because it executes, not decides.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the driver attempts to make all decisions while fuel is depleted, the system fails. The driver cannot decide to drive to another city when the fuel tank is empty. Both components must operate at their declared ratio: the driver at 51% and the fuel at 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11.3 The Fuel Gauge and MC-4</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is a measurement device. It reads the current ratio: ρ(t) = fuel_gallons / tank_capacity. It tells you what the system state actually is right now.</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classical monitoring (MC-1, MC-2, MC-3), the gauge would measure absolute quantity: "You have 2 gallons." That fact is only meaningful if you know the tank size. The gauge would require a model: "In a 4-gallon tank, 2 gallons is critical; in a 40-gallon tank, 2 gallons is normal." You need external knowledge to interpret the gauge.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is different. The fuel gauge directly reports the ratio. You set the gauge to match the declared budget (unity constraint). If you declared "50% fuel, 50% driver," the gauge watches whether that ratio holds. If the gauge drifts from 50% to 45%, that drift is directly observable without any model, without any domain knowledge, without calibration. The gauge IS the state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11.4 Direction Preserved While Fuel Burns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is heading north. As fuel burns, the car continues heading north. The direction is determined by the driver (steering control). The fuel does not change the direction; it only enables motion.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H1 directional coherence. The ratio between driver and fuel can change (due to governance decisions or drift), but the system’s direction—its declared intent—remains constant. The sufficient statistics extracted by HUF preserve direction even as fuel depletes. The portfolio composition changes, but the governance principle does not.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11.5 Empty Tank and the Sufficiency Frontier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reads 0%. The tank is empty. You have reached the ground state: all fuel is consumed, zero decision-making authority remains. The driver can make no further decisions.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sufficiency frontier breach. A system that operates at 51% driver and 49% fuel can continue indefinitely as long as both components are available. But when fuel reaches 0%, the system collapses. At this boundary, the framework breaks down. You cannot extract sufficient statistics from an empty tank. You cannot observe governance state from a non-existent resource.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sufficiency frontier is the operational boundary of the framework: as long as 0 &lt; ρᵢ &lt; 1 for all elements, HUF functions. At ρᵢ = 0, the framework loses validity.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20" w:before="200"/>
      </w:pPr>
      <w:r>
        <w:rPr>
          <w:rFonts w:ascii="Times New Roman" w:cs="Times New Roman" w:eastAsia="Times New Roman" w:hAnsi="Times New Roman"/>
          <w:b/>
          <w:bCs/>
          <w:i/>
          <w:iCs/>
          <w:color w:val="333333"/>
          <w:sz w:val="22"/>
          <w:szCs w:val="22"/>
        </w:rPr>
        <w:t xml:space="preserve">11.5.1 The Deceptive Drift: Why Rising Share Is the Death Signal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reveals a danger that is not apparent from the fuel gauge alone. As fuel depletes, the driver’s share of the total system budget rises. At the start: driver 51%, fuel 49%. After some driving: driver 60%, fuel 40%. Further: driver 75%, fuel 25%. Near empty: driver 95%, fuel 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step looks like the driver is gaining control. The driver’s share of the system is increasing. In a governance context, a department whose budget share grows while others shrink appears to be thriving. The manager feels empowered. The rising ratio looks like success.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It is the death signal. The rising operator share IS the depletion signal, not the victory signal. A system at 95/5 has only 5% remaining before ground state. The operator feels empowered by the rising ratio. But the system is dying. This is OCC drift: the Operator Crossover Contribution is rising not because the operator is more capable, but because the tool’s budget ran out.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the operator is not watching the fuel gauge (MC-4), the system will not gently inform. It will abruptly inform. When fuel hits zero, the driver/fuel ratio becomes undefined. The Sufficiency Frontier is not a slope; it is a cliff. The system stops supporting because its budget ran out. Tool intact, operator capable, but the OCC budget exhausted.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governance, a department whose budget share grows as others are cut looks like it is thriving. But the organization is dying. The rising share is not victory; it is a death signal. Only watching the fuel gauge (total institutional health, not departmental autonomy) reveals the truth.</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11.6 The Non-Intuitive Truth: Tank Size Matters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Return to the core insight. You have 2 gallons of fuel. Is that a crisis or a comfortable margin?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 4-gallon tank: 2 gallons = 50%. This is a moderate state; half the fuel is remaining.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 40-gallon tank: 2 gallons = 5%. This is normal; 95% of fuel remains.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ratio, not the absolute quantity, determines the system state. Two governance systems with identical fuel quantities can be in completely different governance states because they have different budget ceilings.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non-intuitive principle is the core of FM-1 (Ratio Blindness). Managers often make governance decisions based on absolute metrics ("We spent $2 million") without tracking ratios ("That $2 million is 50% of our annual budget"). The fuel gauge shows both systems have 2 gallons. Ratio monitoring reveals they are in completely different states.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11.7 MC-4 Watching Compositional Drift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drive your 4-gallon car and after 30 minutes the fuel gauge reads 50% (2 gallons remain). You declared 49% fuel, 51% driver. The system is performing according to intent: half the fuel is burned, the driver is still making decisions.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But now Silent Drift occurs. No decision was made, yet the fuel ratio changes. The gauge drifts to 45% (1.8 gallons in a 4-gallon tank). No burn happened; the tank must have contracted or the gauge is drifting. This is compositional drift without governance decision.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catches this immediately because the gauge is watching the ratio directly. Conventional monitoring (absolute metrics) would miss this entirely: 1.8 gallons in absolute terms is almost the same as 2.0 gallons; the difference is invisible.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ratio state monitor catches what absolute monitoring cannot: silent compositional change in a finite-budget system.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11.8 Why the Analogy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succeeds because: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1. Everyone has driven a car or ridden in one. The reference frame is universal.</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2. The fuel tank is a literal implementation of the unity constraint: the ceiling is the tank size, the shares are fuel and air (or fuel and other reserves).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3. The fuel gauge is a physical ratio-monitoring device; MC-4 is exactly what a fuel gauge does.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4. The driver/fuel duality maps directly to the OCC 51/49 (operator/HUF tool contract).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5. Direction preservation maps to H1 coherence.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6. The non-intuitive insight—that 2 gallons means different things in different tanks—is the insight that Ratio Blindness (FM-1) exploits and that HUF corrects.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someone understands that 2 gallons in a 4-gallon tank is not the same state as 2 gallons in a 40-gallon tank, they understand the unity constraint. They understand why governance by absolute metrics fails. They understand why MC-4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And they understand why HUF is not a tool for a specialized domain. It is a framework for any finite-budget system. Because every system has a tank (budget ceiling). Every system has fuel (resources being consumed). Every system has a driver (decision authority). And every system needs to know whether the fuel gauge is reading truth or drifting.</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Adaptive Scope: Systems of Systems</w:t>
      </w:r>
    </w:p>
    <w:p>
      <w:pPr>
        <w:pStyle w:val="Heading2"/>
        <w:spacing w:after="160" w:before="280"/>
      </w:pPr>
      <w:r>
        <w:rPr>
          <w:rFonts w:ascii="Times New Roman" w:cs="Times New Roman" w:eastAsia="Times New Roman" w:hAnsi="Times New Roman"/>
          <w:b/>
          <w:bCs/>
          <w:color w:val="1F3864"/>
          <w:sz w:val="24"/>
          <w:szCs w:val="24"/>
        </w:rPr>
        <w:t xml:space="preserve">12.1 The Nesting Principle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system is a system of systems. This is not metaphor; it is structural fact. Claude is a system. Claude plus the operator form a larger system. The operator plus their projects form an even larger system. The collective of all engaged humans and AI systems form the largest boundary system. And within each of these scales, the unity constraint applies. HUF works because the same principle holds at every nesting level.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fundamental insight: nested systems do not violate the unity constraint at any scale. A car is a system (wheels, engine, fuel tank, driver). A car within a traffic network is a system (many cars cooperating). A traffic network within a city is a system. A city within a region is a system. At each boundary, the unity constraint Σρᵢ = 1 holds exactly. The difference is scope: what elements are included within the defined boundary.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HUF is applied at the wrong scope, it appears to fail. Imagine trying to apply the unity constraint to a single wheel in a car. The wheel is not a complete system. Its components sum to less than 1 because the engine, fuel, driver are outside the defined scope. This is not a failure of HUF. This is a scope error. The wheel by itself is not a valid system boundary for applying the unity constraint.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operator-level application of HUF (51% operator, 49% tool) is valid because the boundary is correctly drawn: the operator and the tool together form a complete decision system. Adding the broader project context (operator + tools + projects) would require redefining the scope and recomputing the unity constraint at that larger scale.</w:t>
      </w:r>
    </w:p>
    <w:p>
      <w:pPr>
        <w:pStyle w:val="Heading2"/>
        <w:spacing w:after="160" w:before="280"/>
      </w:pPr>
      <w:r>
        <w:rPr>
          <w:rFonts w:ascii="Times New Roman" w:cs="Times New Roman" w:eastAsia="Times New Roman" w:hAnsi="Times New Roman"/>
          <w:b/>
          <w:bCs/>
          <w:color w:val="1F3864"/>
          <w:sz w:val="24"/>
          <w:szCs w:val="24"/>
        </w:rPr>
        <w:t xml:space="preserve">12.2 Center Frequency and Bandwidth</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acoustic measurement, we speak of center frequency and bandwidth. A microphone tuned to capture mid-range frequencies (2 kHz center, 1 kHz bandwidth) will miss bass and treble. A microphone tuned to capture the full audible range (center 5 kHz, bandwidth 10 kHz) will capture more, but at lower precision. The choice is not about truth—it is about scope. Both microphones measure truly within their defined frequency range.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scope selection works the same way. Every observation boundary has an implicit center frequency (the focal system) and bandwidth (the range of elements included). If the operator is the center frequency and the tool is within the bandwidth, the observation is valid. If elements are missing from the portfolio—if some decision-makers are excluded from the unity constraint—then the scope is too wide. The observation boundary extends beyond the elements actually present in the data.</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scope misalignment occurs, the adjustment is not to abandon HUF. The adjustment is to narrow the bandwidth: define the observation boundary more precisely to match what is actually observable. If only the operator and one tool can be monitored, define that as the system boundary (with the unity constraint Σρᵢ = 1 for those two elements). If a second tool enters, expand the bandwidth to include it, and recompute unity across all three. The principle remains constant; the scope adapts.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operationally the same as the Bark scale in psychoacoustics: the critical bandwidth for hearing depends on the center frequency. High frequencies have wider critical bandwidth; low frequencies have narrower. The auditory system automatically adjusts its effective scope (bandwidth) based on where attention is focused (center frequency). HUF does the same: the scope adapts to match observable reality.</w:t>
      </w:r>
    </w:p>
    <w:p>
      <w:pPr>
        <w:pStyle w:val="Heading2"/>
        <w:spacing w:after="160" w:before="280"/>
      </w:pPr>
      <w:r>
        <w:rPr>
          <w:rFonts w:ascii="Times New Roman" w:cs="Times New Roman" w:eastAsia="Times New Roman" w:hAnsi="Times New Roman"/>
          <w:b/>
          <w:bCs/>
          <w:color w:val="1F3864"/>
          <w:sz w:val="24"/>
          <w:szCs w:val="24"/>
        </w:rPr>
        <w:t xml:space="preserve">12.3 Dynamic Gating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audio engineering, a noise gate opens when signal exceeds a threshold and closes when signal drops below threshold. The gate is dynamic: it responds to the data in real time. A gated signal is processed only when it meets the observability criterion; below threshold, it is not processed.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Elements in a HUF portfolio follow the same principle. An element is included in the active portfolio (the gated set) when it is observable. Once included, it is subject to the unity constraint; its share ρᵢ is part of the Σρᵢ = 1 sum. When an element becomes unobservable or its contribution drops below a significance threshold, the gate opens: it is removed from the active portfolio. The unity constraint now applies to a smaller set of elements.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not arbitrary exclusion. This is adaptation to reality. If a tool is offline or disconnected, it cannot contribute to the decision system. The operator plus remaining tools form a new boundary. The unity constraint recomputes. As the offline tool comes back online, the gate closes: the element re-enters the portfolio, and the three-element system reestablishes.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Dynamic gating connects directly to existing HUF mechanisms. MC-4 is already a gate: it monitors ratio drift and signals when the declared ratio is violated. When the signal crosses threshold (drift exceeds tolerance), MC-4 triggers. V∞Core's softmax regime selection is dynamic gating: regimes activate based on which dimensions carry the strongest signal. DADC dimension-apportioned correction is dynamic gating: gains are allocated based on which physical dimensions are most active. The Bark scale's frequency-dependent critical bandwidth is dynamic gating: the brain adjusts observability scope based on frequency content.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At every level of HUF, the same principle appears: the system adapts its observability scope in real time, gating elements in and out based on whether they are actually present in the data, whether they contribute meaningfully to the signal, and whether they can be monitored within the declared boundary.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i/>
          <w:iCs/>
          <w:color w:val="2E75B6"/>
          <w:sz w:val="22"/>
          <w:szCs w:val="22"/>
        </w:rPr>
        <w:t xml:space="preserve">▶ </w:t>
      </w:r>
      <w:r>
        <w:rPr>
          <w:rFonts w:ascii="Times New Roman" w:cs="Times New Roman" w:eastAsia="Times New Roman" w:hAnsi="Times New Roman"/>
          <w:i/>
          <w:iCs/>
          <w:color w:val="2E75B6"/>
          <w:sz w:val="22"/>
          <w:szCs w:val="22"/>
        </w:rPr>
        <w:t xml:space="preserve">The nesting principle, center frequency and bandwidth, and dynamic gating form a unified picture of HUF operating at every scale. Scope is not fixed. Scope is adaptive.</w:t>
      </w:r>
    </w:p>
    <w:p>
      <w:r>
        <w:br w:type="page"/>
      </w:r>
    </w:p>
    <w:p>
      <w:pPr>
        <w:pStyle w:val="Heading1"/>
        <w:spacing w:after="200" w:before="360"/>
      </w:pPr>
      <w:r>
        <w:rPr>
          <w:rFonts w:ascii="Times New Roman" w:cs="Times New Roman" w:eastAsia="Times New Roman" w:hAnsi="Times New Roman"/>
          <w:b/>
          <w:bCs/>
          <w:color w:val="1F3864"/>
          <w:sz w:val="28"/>
          <w:szCs w:val="28"/>
        </w:rPr>
        <w:t xml:space="preserve">13. HUF-Org: The Framework as Living System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is not merely a theoretical framework applied to systems. HUF IS a system itself—a living organism that grows, integrates, and self-regulates. Understanding HUF-Org clarifies why HUF works and what happens when its biological principles are violated.</w:t>
      </w:r>
    </w:p>
    <w:p>
      <w:pPr>
        <w:pStyle w:val="Heading2"/>
        <w:spacing w:after="160" w:before="280"/>
      </w:pPr>
      <w:r>
        <w:rPr>
          <w:rFonts w:ascii="Times New Roman" w:cs="Times New Roman" w:eastAsia="Times New Roman" w:hAnsi="Times New Roman"/>
          <w:b/>
          <w:bCs/>
          <w:color w:val="1F3864"/>
          <w:sz w:val="24"/>
          <w:szCs w:val="24"/>
        </w:rPr>
        <w:t xml:space="preserve">13.1 The Organism Model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HUF system is a living organism. This is not metaphor; it is structural identity. The unity constraint Σ=1.0 is not a goal or an aspiration—it is a metabolic law. The car's fuel tank (the budget ceiling) is the organism's total metabolic energy. The driver, fuel, cargo, and all other elements are organs. Each organ demands a share of the metabolic budget. When all shares sum to 1.0, the organism is in homeostasis. This is not a constraint imposed from outside; this is how living systems work.</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 organism does not create energy. An organism allocates a finite energy budget across all functional systems. The brain, heart, lungs, and limbs all draw from the same energy pool. The ratio of energy to each system is the organism's operating state. Change the ratio—give the brain 80% of available energy at the expense of the immune system—and the organism becomes vulnerable. Restore the balance, and the organism thrives. The principle is identical in HUF: conservative energy budget, dynamic allocation, mutual balance.</w:t>
      </w:r>
    </w:p>
    <w:p>
      <w:pPr>
        <w:pStyle w:val="Heading2"/>
        <w:spacing w:after="160" w:before="280"/>
      </w:pPr>
      <w:r>
        <w:rPr>
          <w:rFonts w:ascii="Times New Roman" w:cs="Times New Roman" w:eastAsia="Times New Roman" w:hAnsi="Times New Roman"/>
          <w:b/>
          <w:bCs/>
          <w:color w:val="1F3864"/>
          <w:sz w:val="24"/>
          <w:szCs w:val="24"/>
        </w:rPr>
        <w:t xml:space="preserve">13.2 What HUF-Org Is Not: The Cancer Principle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To understand what HUF-Org protects against, consider cancer. Cancer is what happens when one element claims an increasing share of the organism's budget WITHOUT portfolio rebalancing. A tumor cell divides. Its share grows: 1% of body mass → 5% → 15% → 50%. The tumor "looks successful"—it is growing, multiplying, expanding. By every local measure, the tumor is thriving. But the organism is dying. Why? Because the tumor's rising share is not offset by reductions elsewhere. The brain still demands blood. The heart still beats. The immune system still consumes energy. But now the tumor also consumes energy, and the total exceeds the metabolic budget. The organism collapses.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Deceptive Drift in biological form. The cancer signal is a rising share without portfolio rebalancing. In HUF terms: an element's observed ratio ρᵢ_obs increases, but the declared portfolio was not adjusted to compensate. No other element's share decreased. The sum Σρᵢ appears to exceed 1.0 momentarily, straining the system. If the rebalancing does not occur—if no other element is asked to reduce its consumption—the system fails. MC-4 detects this. MC-4 signals: drift detected, rebalancing required.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death signal is growth WITHOUT rebalancing. The cancer test is: does this element's rising share come at the expense of other elements through declared portfolio adjustment? If yes, healthy growth. If no, pathological. HUF prevents cancer by making portfolio rebalancing mandatory. Every integration of a new element triggers rebalancing across ALL existing elements.</w:t>
      </w:r>
    </w:p>
    <w:p>
      <w:pPr>
        <w:pStyle w:val="Heading2"/>
        <w:spacing w:after="160" w:before="280"/>
      </w:pPr>
      <w:r>
        <w:rPr>
          <w:rFonts w:ascii="Times New Roman" w:cs="Times New Roman" w:eastAsia="Times New Roman" w:hAnsi="Times New Roman"/>
          <w:b/>
          <w:bCs/>
          <w:color w:val="1F3864"/>
          <w:sz w:val="24"/>
          <w:szCs w:val="24"/>
        </w:rPr>
        <w:t xml:space="preserve">13.3 Integration Protocol: Iterative Integration at Q-Governed Rate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healthy organism grows slowly. It does not add a new organ overnight. New cells are born, integrated, tested, and only if they pass tissue rejection do they remain. The integration rate is governed by the organism's most fragile component—the organ with the highest Q-factor.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Q = T_char / T_obs. An organ with high Q (narrow bandwidth, sharp resonance) is sensitive to perturbation. Introduce a new metabolic demand too quickly, and the high-Q organ fails. A low-Q organ (broad bandwidth, robust) can absorb change rapidly. The overall integration rate is limited by the slowest, most sensitive component.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HUF-Org, new elements join one at a time. Each integration triggers portfolio rebalancing across ALL existing elements. Each element's share adjusts. The integration rate is limited by the most Q-sensitive element in the current portfolio. Like introducing a new species to an ecosystem: if the newcomer's resource demand overwhelms any existing species, the integration fails. Slow down, reduce the newcomer's share, or reject it at the current scope. This is not cruelty; this is stability.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maps directly: adding a passenger changes the driver/fuel/cargo ratio. The driver maintains control (51%+). Fuel consumption changes. Cargo space shrinks. The car rebalances. If a second passenger is added, the process repeats. If a third passenger would exceed the driver's control margin, the car rejects the integration: "This vehicle is now at capacity. Further growth requires a larger car."</w:t>
      </w:r>
    </w:p>
    <w:p>
      <w:pPr>
        <w:pStyle w:val="Heading2"/>
        <w:spacing w:after="160" w:before="280"/>
      </w:pPr>
      <w:r>
        <w:rPr>
          <w:rFonts w:ascii="Times New Roman" w:cs="Times New Roman" w:eastAsia="Times New Roman" w:hAnsi="Times New Roman"/>
          <w:b/>
          <w:bCs/>
          <w:color w:val="1F3864"/>
          <w:sz w:val="24"/>
          <w:szCs w:val="24"/>
        </w:rPr>
        <w:t xml:space="preserve">13.4 The Viability Test: Monte Carlo Before Integration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Before integrating a new element, run a viability test. Perturb the proposed element's share by ±σ (one standard deviation). Observe how all existing elements respond. Check each element's Q-sensitivity bounds. Do they remain within tolerance? If yes, the integration is safe. If no, the test fails: reduce the integration rate, reduce the newcomer's proposed share, or reject it entirely.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immune system's antigen test applied to portfolio management. The immune system does not immediately integrate foreign cells. It tests them: are they compatible with the organism's existing architecture? If the test fails, the foreign cell is rejected before it can damage the host. MC-4 performs the same function: it monitors whether proposed integrations pass the viability test. If they fail, it signals rejection.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viability test ensures that every integration is reversible until it has been proven safe. The organism grows, but growth is cautious, tested, and reversible. This is how HUF-Org survives. This is how cancer is prevented.</w:t>
      </w:r>
    </w:p>
    <w:p>
      <w:r>
        <w:br w:type="page"/>
      </w:r>
    </w:p>
    <w:p>
      <w:pPr>
        <w:pStyle w:val="Heading1"/>
        <w:spacing w:after="200" w:before="360"/>
      </w:pPr>
      <w:r>
        <w:rPr>
          <w:rFonts w:ascii="Times New Roman" w:cs="Times New Roman" w:eastAsia="Times New Roman" w:hAnsi="Times New Roman"/>
          <w:b/>
          <w:bCs/>
          <w:color w:val="1F3864"/>
          <w:sz w:val="28"/>
          <w:szCs w:val="28"/>
        </w:rPr>
        <w:t xml:space="preserve">14. Machine Learning as HUF-Org: Structural Identity</w:t>
      </w:r>
    </w:p>
    <w:p>
      <w:pPr>
        <w:pStyle w:val="Heading2"/>
        <w:spacing w:after="160" w:before="280"/>
      </w:pPr>
      <w:r>
        <w:rPr>
          <w:rFonts w:ascii="Times New Roman" w:cs="Times New Roman" w:eastAsia="Times New Roman" w:hAnsi="Times New Roman"/>
          <w:b/>
          <w:bCs/>
          <w:color w:val="1F3864"/>
          <w:sz w:val="24"/>
          <w:szCs w:val="24"/>
        </w:rPr>
        <w:t xml:space="preserve">14.1 The Discovery: Not Analogy, Identity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the HUF-Org organism model was formulated—conservative budget, iterative integration, Q-sensitivity, immune system, viability test, deceleration—it was immediately recognized that machine learning IS a HUF-Org process. Not metaphorically. Structurally. Every training run is a HUF-Org growth experiment. The weight space is a ratio portfolio under unity constraint. The loss function is a homeostatic signal. The optimizer is an integration protocol. Overfitting is cancer. Regularization is the immune system. Learning rate scheduling is organism deceleration. Early stopping is the viability test.</w:t>
      </w:r>
    </w:p>
    <w:p>
      <w:pPr>
        <w:pStyle w:val="Heading2"/>
        <w:spacing w:after="160" w:before="280"/>
      </w:pPr>
      <w:r>
        <w:rPr>
          <w:rFonts w:ascii="Times New Roman" w:cs="Times New Roman" w:eastAsia="Times New Roman" w:hAnsi="Times New Roman"/>
          <w:b/>
          <w:bCs/>
          <w:color w:val="1F3864"/>
          <w:sz w:val="24"/>
          <w:szCs w:val="24"/>
        </w:rPr>
        <w:t xml:space="preserve">14.2 The Complete Mapping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structural identity between machine learning and HUF-Org is complete and quantitative. Consider the following table, where each ML component maps to a HUF concept, and each mapping reveals structural identity:</w:t>
      </w:r>
    </w:p>
    <w:p>
      <w:r>
        <w:br w:type="page"/>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tblGrid>
      <w:tr>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ML Concept</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Concept</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Structural Role</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Weight space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portfolio</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Elements constrained under unity</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Softmax output</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Σ=1.0</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Literal enforcement of unity constraint</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Learning rate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Q-sensitivity</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Integration speed limit set by fragile components</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Gradient descent</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Iterative integration</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One step, portfolio rebalance</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Overfitting</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Cancer / Deceptive Drift</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Rising training accuracy = death signal</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Regularization (L1, L2, dropout)</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immune system</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detection and gating</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Early stopping</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Viability test</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Stop before organism viability fails</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Learning rate schedule</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Decelerating organism</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Integration rate slows as carrying capacity approached</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Batch size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Observation bandwidth</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Adaptive scope of integration</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Training loss curve</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Logistic growth curve</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Sigmoid approach to carrying capacity</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Validation loss divergence</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 crossing</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Cliff event, not smooth slope</w:t>
            </w:r>
          </w:p>
        </w:tc>
      </w:tr>
    </w:tbl>
    <w:p>
      <w:pPr>
        <w:spacing w:after="200"/>
      </w:pPr>
    </w:p>
    <w:p>
      <w:pPr>
        <w:pStyle w:val="Heading2"/>
        <w:spacing w:after="160" w:before="280"/>
      </w:pPr>
      <w:r>
        <w:rPr>
          <w:rFonts w:ascii="Times New Roman" w:cs="Times New Roman" w:eastAsia="Times New Roman" w:hAnsi="Times New Roman"/>
          <w:b/>
          <w:bCs/>
          <w:color w:val="1F3864"/>
          <w:sz w:val="24"/>
          <w:szCs w:val="24"/>
        </w:rPr>
        <w:t xml:space="preserve">14.3 The Car Analogy in Machine Learning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Recall the HUF car analogy: the vehicle is the system; the driver, fuel, and cargo are portfolio elements under Σ=1.0. The analogy extends directly to machine learning:</w:t>
      </w:r>
    </w:p>
    <w:p>
      <w:pPr>
        <w:spacing w:after="160"/>
        <w:jc w:val="both"/>
      </w:pPr>
      <w:r>
        <w:rPr>
          <w:rFonts w:ascii="Times New Roman" w:cs="Times New Roman" w:eastAsia="Times New Roman" w:hAnsi="Times New Roman"/>
          <w:b w:val="false"/>
          <w:bCs w:val="false"/>
          <w:color w:val="333333"/>
          <w:sz w:val="22"/>
          <w:szCs w:val="22"/>
        </w:rPr>
        <w:t xml:space="preserve">The model </w:t>
      </w:r>
      <w:r>
        <w:rPr>
          <w:rFonts w:ascii="Times New Roman" w:cs="Times New Roman" w:eastAsia="Times New Roman" w:hAnsi="Times New Roman"/>
          <w:b/>
          <w:bCs/>
          <w:color w:val="333333"/>
          <w:sz w:val="22"/>
          <w:szCs w:val="22"/>
        </w:rPr>
        <w:t xml:space="preserve">is the car.</w:t>
      </w:r>
      <w:r>
        <w:rPr>
          <w:rFonts w:ascii="Times New Roman" w:cs="Times New Roman" w:eastAsia="Times New Roman" w:hAnsi="Times New Roman"/>
          <w:b w:val="false"/>
          <w:bCs w:val="false"/>
          <w:color w:val="333333"/>
          <w:sz w:val="22"/>
          <w:szCs w:val="22"/>
        </w:rPr>
        <w:t xml:space="preserve"> A neural network has no intent, no goal—only structure. Like a vehicle, it is a container of constraints.</w:t>
      </w:r>
    </w:p>
    <w:p>
      <w:pPr>
        <w:spacing w:after="160"/>
        <w:jc w:val="both"/>
      </w:pPr>
      <w:r>
        <w:rPr>
          <w:rFonts w:ascii="Times New Roman" w:cs="Times New Roman" w:eastAsia="Times New Roman" w:hAnsi="Times New Roman"/>
          <w:b w:val="false"/>
          <w:bCs w:val="false"/>
          <w:color w:val="333333"/>
          <w:sz w:val="22"/>
          <w:szCs w:val="22"/>
        </w:rPr>
        <w:t xml:space="preserve">The training data </w:t>
      </w:r>
      <w:r>
        <w:rPr>
          <w:rFonts w:ascii="Times New Roman" w:cs="Times New Roman" w:eastAsia="Times New Roman" w:hAnsi="Times New Roman"/>
          <w:b/>
          <w:bCs/>
          <w:color w:val="333333"/>
          <w:sz w:val="22"/>
          <w:szCs w:val="22"/>
        </w:rPr>
        <w:t xml:space="preserve">is the fuel.</w:t>
      </w:r>
      <w:r>
        <w:rPr>
          <w:rFonts w:ascii="Times New Roman" w:cs="Times New Roman" w:eastAsia="Times New Roman" w:hAnsi="Times New Roman"/>
          <w:b w:val="false"/>
          <w:bCs w:val="false"/>
          <w:color w:val="333333"/>
          <w:sz w:val="22"/>
          <w:szCs w:val="22"/>
        </w:rPr>
        <w:t xml:space="preserve"> It is finite. It can be exhausted. As epochs accumulate, the training set is consumed. A larger dataset is more fuel; a smaller dataset, less.</w:t>
      </w:r>
    </w:p>
    <w:p>
      <w:pPr>
        <w:spacing w:after="160"/>
        <w:jc w:val="both"/>
      </w:pPr>
      <w:r>
        <w:rPr>
          <w:rFonts w:ascii="Times New Roman" w:cs="Times New Roman" w:eastAsia="Times New Roman" w:hAnsi="Times New Roman"/>
          <w:b w:val="false"/>
          <w:bCs w:val="false"/>
          <w:color w:val="333333"/>
          <w:sz w:val="22"/>
          <w:szCs w:val="22"/>
        </w:rPr>
        <w:t xml:space="preserve">The optimizer </w:t>
      </w:r>
      <w:r>
        <w:rPr>
          <w:rFonts w:ascii="Times New Roman" w:cs="Times New Roman" w:eastAsia="Times New Roman" w:hAnsi="Times New Roman"/>
          <w:b/>
          <w:bCs/>
          <w:color w:val="333333"/>
          <w:sz w:val="22"/>
          <w:szCs w:val="22"/>
        </w:rPr>
        <w:t xml:space="preserve">is the driver.</w:t>
      </w:r>
      <w:r>
        <w:rPr>
          <w:rFonts w:ascii="Times New Roman" w:cs="Times New Roman" w:eastAsia="Times New Roman" w:hAnsi="Times New Roman"/>
          <w:b w:val="false"/>
          <w:bCs w:val="false"/>
          <w:color w:val="333333"/>
          <w:sz w:val="22"/>
          <w:szCs w:val="22"/>
        </w:rPr>
        <w:t xml:space="preserve"> It navigates weight space. It makes decisions about direction and speed. Like a driver, the optimizer can make poor choices.</w:t>
      </w:r>
    </w:p>
    <w:p>
      <w:pPr>
        <w:spacing w:after="160"/>
        <w:jc w:val="both"/>
      </w:pPr>
      <w:r>
        <w:rPr>
          <w:rFonts w:ascii="Times New Roman" w:cs="Times New Roman" w:eastAsia="Times New Roman" w:hAnsi="Times New Roman"/>
          <w:b w:val="false"/>
          <w:bCs w:val="false"/>
          <w:color w:val="333333"/>
          <w:sz w:val="22"/>
          <w:szCs w:val="22"/>
        </w:rPr>
        <w:t xml:space="preserve">The learning rate </w:t>
      </w:r>
      <w:r>
        <w:rPr>
          <w:rFonts w:ascii="Times New Roman" w:cs="Times New Roman" w:eastAsia="Times New Roman" w:hAnsi="Times New Roman"/>
          <w:b/>
          <w:bCs/>
          <w:color w:val="333333"/>
          <w:sz w:val="22"/>
          <w:szCs w:val="22"/>
        </w:rPr>
        <w:t xml:space="preserve">is the accelerator.</w:t>
      </w:r>
      <w:r>
        <w:rPr>
          <w:rFonts w:ascii="Times New Roman" w:cs="Times New Roman" w:eastAsia="Times New Roman" w:hAnsi="Times New Roman"/>
          <w:b w:val="false"/>
          <w:bCs w:val="false"/>
          <w:color w:val="333333"/>
          <w:sz w:val="22"/>
          <w:szCs w:val="22"/>
        </w:rPr>
        <w:t xml:space="preserve"> High learning rate: driver presses hard, moves fast, may crash. Low learning rate: driver creeps forward, moves slow, may run out of fuel before reaching the destination.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Overfitting is the moment when the fuel gauge reaches empty while the driver keeps accelerating. The model's training accuracy rises (the driver feels in control, pressing the accelerator, the speedometer climbing). But the validation accuracy falls (the fuel is empty, the engine is burning fumes, the vehicle is stalling). The model "abruptly informs" when it encounters new data—the fuel gauge was not being watched. The driver did not notice when fuel reached zero.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Rising training accuracy while validation accuracy degrades is Deceptive Drift in silicon. The model's share of the training data rises (its share of observed patterns climbs), but the declared budget (the generalization capacity) was never adjusted. No rebalancing occurred. The model consumed all available fuel and has nothing left for novel examples. This is cancer in a neural network.</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detects this by monitoring the divergence between training and validation loss. The moment validation loss diverges from training loss—the moment they separate—the Sufficiency Frontier has been crossed. Not gradually. Not as a slope. As a cliff.</w:t>
      </w:r>
    </w:p>
    <w:p>
      <w:pPr>
        <w:pStyle w:val="Heading2"/>
        <w:spacing w:after="160" w:before="280"/>
      </w:pPr>
      <w:r>
        <w:rPr>
          <w:rFonts w:ascii="Times New Roman" w:cs="Times New Roman" w:eastAsia="Times New Roman" w:hAnsi="Times New Roman"/>
          <w:b/>
          <w:bCs/>
          <w:color w:val="1F3864"/>
          <w:sz w:val="24"/>
          <w:szCs w:val="24"/>
        </w:rPr>
        <w:t xml:space="preserve">14.4 The Billion-Run Validation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model ever trained has recorded its own telemetry: training loss per epoch, validation loss per epoch, learning rate, batch size, architecture, and final accuracy. These records span billions of training runs. Collectively, they form the largest empirical dataset of HUF-Org dynamics ever assembled.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Sufficiency Frontier can be empirically located in any training run by finding the epoch where validation loss begins to diverge from training loss—where the two curves separate. That separation IS the frontier crossing. That epoch defines the organism's carrying capacity. Training beyond that point is growth into cancer.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modern ML framework (PyTorch, TensorFlow, JAX) can log these metrics. No other HUF validation domain has this density of empirical data, at this scale, with this granularity. The ML-HUF identity is not theoretical. It is quantitatively verified billions of times per day across millions of deployed models. Overfitting, regularization, early stopping, learning rate scheduling—all are HUF-Org dynamics recorded in millisecond granularity.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discovery is profound: machine learning practitioners have been running HUF-Org experiments without knowing it. When they tune hyperparameters (learning rate, batch size, regularization strength), they are tuning HUF-Org integration parameters. When they watch validation loss diverge, they are watching the organism approach its carrying capacity. When they apply early stopping, they are triggering the viability test. The framework was hidden in the practice. It is now revealed.</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Open Problems and Future Work</w:t>
      </w:r>
    </w:p>
    <w:p>
      <w:pPr>
        <w:pStyle w:val="Heading2"/>
        <w:spacing w:after="160" w:before="280"/>
      </w:pPr>
      <w:r>
        <w:rPr>
          <w:rFonts w:ascii="Times New Roman" w:cs="Times New Roman" w:eastAsia="Times New Roman" w:hAnsi="Times New Roman"/>
          <w:b/>
          <w:bCs/>
          <w:color w:val="1F3864"/>
          <w:sz w:val="24"/>
          <w:szCs w:val="24"/>
        </w:rPr>
        <w:t xml:space="preserve">15.1 Mathematical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non-linear convergence proof remains open. Grok assessed this as requiring advanced mathematical tools beyond the current framework. A three-step traceable path has been defined: (1) empirical non-linear datasets from Phase D, (2) symbolic simulation of the governance correction map, (3) construction of a Lyapunov function for global asymptotic stability. Thirteen conjectures from the collective review (Layer 13 of the taxonomy) await formal proof or refutation.</w:t>
      </w:r>
    </w:p>
    <w:p>
      <w:pPr>
        <w:pStyle w:val="Heading2"/>
        <w:spacing w:after="160" w:before="280"/>
      </w:pPr>
      <w:r>
        <w:rPr>
          <w:rFonts w:ascii="Times New Roman" w:cs="Times New Roman" w:eastAsia="Times New Roman" w:hAnsi="Times New Roman"/>
          <w:b/>
          <w:bCs/>
          <w:color w:val="1F3864"/>
          <w:sz w:val="24"/>
          <w:szCs w:val="24"/>
        </w:rPr>
        <w:t xml:space="preserve">15.2 Empirical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Phase D of the Croatia Ramsar pilot has not yet begun. This requires the first institutional contact with Croatian conservation authorities. The pilot would provide the first real-world institutional deployment data, moving beyond retrospective analysis to prospective governance monitoring. Three reporting cycles minimum are needed for convergence trajectory analysis.</w:t>
      </w:r>
    </w:p>
    <w:p>
      <w:pPr>
        <w:pStyle w:val="Heading2"/>
        <w:spacing w:after="160" w:before="280"/>
      </w:pPr>
      <w:r>
        <w:rPr>
          <w:rFonts w:ascii="Times New Roman" w:cs="Times New Roman" w:eastAsia="Times New Roman" w:hAnsi="Times New Roman"/>
          <w:b/>
          <w:bCs/>
          <w:color w:val="1F3864"/>
          <w:sz w:val="24"/>
          <w:szCs w:val="24"/>
        </w:rPr>
        <w:t xml:space="preserve">15.3 Domain Extension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Four application domains have been sketched but not empirically tested: supply chain (System D), logistics (System E), manufacturing (System F), and AI governance (System G). Each has a conjectural threshold configuration documented in the taxonomy. Real-data validation requires domain partnerships.</w:t>
      </w:r>
    </w:p>
    <w:p>
      <w:pPr>
        <w:pStyle w:val="Heading2"/>
        <w:spacing w:after="160" w:before="280"/>
      </w:pPr>
      <w:r>
        <w:rPr>
          <w:rFonts w:ascii="Times New Roman" w:cs="Times New Roman" w:eastAsia="Times New Roman" w:hAnsi="Times New Roman"/>
          <w:b/>
          <w:bCs/>
          <w:color w:val="1F3864"/>
          <w:sz w:val="24"/>
          <w:szCs w:val="24"/>
        </w:rPr>
        <w:t xml:space="preserve">15.4 Technical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exists as a set of JavaScript builders and Python implementations. A formal API specification, automated testing framework, and deployment pipeline are needed for production use. Volume 7 addresses this gap.</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The Five-AI Collective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framework was developed through a distinctive collaboration between a human principal investigator and five AI systems, each contributing according to its strengths:</w:t>
      </w:r>
    </w:p>
    <w:p>
      <w:pPr>
        <w:spacing w:after="160"/>
        <w:jc w:val="both"/>
      </w:pPr>
      <w:r>
        <w:rPr>
          <w:rFonts w:ascii="Times New Roman" w:cs="Times New Roman" w:eastAsia="Times New Roman" w:hAnsi="Times New Roman"/>
          <w:b/>
          <w:bCs/>
          <w:color w:val="333333"/>
          <w:sz w:val="22"/>
          <w:szCs w:val="22"/>
        </w:rPr>
        <w:t xml:space="preserve">Claude</w:t>
      </w:r>
      <w:r>
        <w:rPr>
          <w:rFonts w:ascii="Times New Roman" w:cs="Times New Roman" w:eastAsia="Times New Roman" w:hAnsi="Times New Roman"/>
          <w:color w:val="333333"/>
          <w:sz w:val="22"/>
          <w:szCs w:val="22"/>
        </w:rPr>
        <w:t xml:space="preserve"> (Anthropic): Primary research partner. Document architecture, mathematical formalization, code generation, cross-referencing. Builder of the document corpus and the Triad structure.</w:t>
      </w:r>
    </w:p>
    <w:p>
      <w:pPr>
        <w:spacing w:after="160"/>
        <w:jc w:val="both"/>
      </w:pPr>
      <w:r>
        <w:rPr>
          <w:rFonts w:ascii="Times New Roman" w:cs="Times New Roman" w:eastAsia="Times New Roman" w:hAnsi="Times New Roman"/>
          <w:b/>
          <w:bCs/>
          <w:color w:val="333333"/>
          <w:sz w:val="22"/>
          <w:szCs w:val="22"/>
        </w:rPr>
        <w:t xml:space="preserve">Grok</w:t>
      </w:r>
      <w:r>
        <w:rPr>
          <w:rFonts w:ascii="Times New Roman" w:cs="Times New Roman" w:eastAsia="Times New Roman" w:hAnsi="Times New Roman"/>
          <w:color w:val="333333"/>
          <w:sz w:val="22"/>
          <w:szCs w:val="22"/>
        </w:rPr>
        <w:t xml:space="preserve"> (xAI): Mathematical extensions. Thirteen conjectures, Lyapunov stability analysis, Q-factor derivation, Ostrom mapping, four domain application paths. Go/No-Go verdicts on framework claims.</w:t>
      </w:r>
    </w:p>
    <w:p>
      <w:pPr>
        <w:spacing w:after="160"/>
        <w:jc w:val="both"/>
      </w:pPr>
      <w:r>
        <w:rPr>
          <w:rFonts w:ascii="Times New Roman" w:cs="Times New Roman" w:eastAsia="Times New Roman" w:hAnsi="Times New Roman"/>
          <w:b/>
          <w:bCs/>
          <w:color w:val="333333"/>
          <w:sz w:val="22"/>
          <w:szCs w:val="22"/>
        </w:rPr>
        <w:t xml:space="preserve">GPT</w:t>
      </w:r>
      <w:r>
        <w:rPr>
          <w:rFonts w:ascii="Times New Roman" w:cs="Times New Roman" w:eastAsia="Times New Roman" w:hAnsi="Times New Roman"/>
          <w:color w:val="333333"/>
          <w:sz w:val="22"/>
          <w:szCs w:val="22"/>
        </w:rPr>
        <w:t xml:space="preserve"> (OpenAI): Literature review, citation verification, academic writing standards. External perspective on framework positioning.</w:t>
      </w:r>
    </w:p>
    <w:p>
      <w:pPr>
        <w:spacing w:after="160"/>
        <w:jc w:val="both"/>
      </w:pPr>
      <w:r>
        <w:rPr>
          <w:rFonts w:ascii="Times New Roman" w:cs="Times New Roman" w:eastAsia="Times New Roman" w:hAnsi="Times New Roman"/>
          <w:b/>
          <w:bCs/>
          <w:color w:val="333333"/>
          <w:sz w:val="22"/>
          <w:szCs w:val="22"/>
        </w:rPr>
        <w:t xml:space="preserve">Gemini</w:t>
      </w:r>
      <w:r>
        <w:rPr>
          <w:rFonts w:ascii="Times New Roman" w:cs="Times New Roman" w:eastAsia="Times New Roman" w:hAnsi="Times New Roman"/>
          <w:color w:val="333333"/>
          <w:sz w:val="22"/>
          <w:szCs w:val="22"/>
        </w:rPr>
        <w:t xml:space="preserve"> (Google): Data processing pathways, geospatial analysis (Toronto infrastructure), cross-domain comparison methodology.</w:t>
      </w:r>
    </w:p>
    <w:p>
      <w:pPr>
        <w:spacing w:after="160"/>
        <w:jc w:val="both"/>
      </w:pPr>
      <w:r>
        <w:rPr>
          <w:rFonts w:ascii="Times New Roman" w:cs="Times New Roman" w:eastAsia="Times New Roman" w:hAnsi="Times New Roman"/>
          <w:b/>
          <w:bCs/>
          <w:color w:val="333333"/>
          <w:sz w:val="22"/>
          <w:szCs w:val="22"/>
        </w:rPr>
        <w:t xml:space="preserve">DeepSeek</w:t>
      </w:r>
      <w:r>
        <w:rPr>
          <w:rFonts w:ascii="Times New Roman" w:cs="Times New Roman" w:eastAsia="Times New Roman" w:hAnsi="Times New Roman"/>
          <w:color w:val="333333"/>
          <w:sz w:val="22"/>
          <w:szCs w:val="22"/>
        </w:rPr>
        <w:t xml:space="preserve"> (DeepSeek): Mathematical verification, alternative proof strategies, edge case analysis.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 Control Contract (OCC 51/49) governs this collaboration: the human principal investigator retains majority decision authority over all framework claims, publication decisions, and governance design. The AI systems advise; they do not decide. This contract applies reflexively: HUF monitors its own development process as a portfolio of contributions.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15.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Triad presents a complete framework for portfolio governance that is theoretically grounded (Pillar 1: sufficient statistics), observationally valid (Pillar 2: degenerate state observer), and operationally actionable (Volumes 0–8: progressive governance implementation). The unity constraint Σρᵢ = 1 is the single invariant from which all structures derive. Because this constraint holds for any system where shares are defined as proportions of a fixed total, HUF’s applicability is bounded only by the existence of a budget ceiling—a condition satisfied across mechanical, biological, ecological, digital, astrophysical, acoustic, and institutional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of Triads (Section 10) reveals that HUF is not an isolated theory but a web of three interconnected structures: mathematics, application, and validation. The three unions connecting these triads ensure that theory informs practice, practice tests theory, and both reinforce operational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(Section 11) translates this architecture into language anyone can understand. The fuel tank is the budget ceiling. The fuel gauge is the ratio state monitor (MC-4). The driver/fuel ratio is the Operator Control Contract. The burnt fuel is the observed share, the declared fuel share is the declared weight. When someone understands that a 4-gallon tank with 2 gallons remaining is a different state than a 40-gallon tank with 2 gallons remaining, they have grasped the core of HUF: governance by ratio, not by absolute quantity.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not a claim of completeness. Open problems remain in non-linear convergence theory, prospective institutional deployment, and domain extension. What the Triad does claim is structural coherence: the two pillar papers, nine governance volumes, three institutional repositories, and universal analogy form a mutually reinforcing architecture where each component strengthens every other component through shared definitions, shared data, and shared mathematical foundations.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Any reader can enter at any point. The cross-references will guide them to wherever they need to go next.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i/>
          <w:iCs/>
          <w:color w:val="333333"/>
          <w:sz w:val="22"/>
          <w:szCs w:val="22"/>
        </w:rPr>
        <w:t xml:space="preserve">Nothing claims more than the artifacts support.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Peter Higgins</w:t>
      </w:r>
      <w:r>
        <w:rPr>
          <w:rFonts w:ascii="Times New Roman" w:cs="Times New Roman" w:eastAsia="Times New Roman" w:hAnsi="Times New Roman"/>
          <w:color w:val="333333"/>
          <w:sz w:val="22"/>
          <w:szCs w:val="22"/>
        </w:rPr>
        <w:t xml:space="preserve"> · Principal Investigator · Rogue Wave Audio · Markham, Ontario</w:t>
      </w:r>
    </w:p>
    <w:p>
      <w:pPr>
        <w:spacing w:after="160"/>
        <w:jc w:val="both"/>
      </w:pPr>
      <w:r>
        <w:rPr>
          <w:rFonts w:ascii="Times New Roman" w:cs="Times New Roman" w:eastAsia="Times New Roman" w:hAnsi="Times New Roman"/>
          <w:i/>
          <w:iCs/>
          <w:color w:val="999999"/>
          <w:sz w:val="22"/>
          <w:szCs w:val="22"/>
        </w:rPr>
        <w:t xml:space="preserve">HUF v1.4.0 · MIT License · March 2026</w:t>
      </w:r>
    </w:p>
    <w:p>
      <w:pPr>
        <w:spacing w:after="160"/>
        <w:jc w:val="both"/>
      </w:pPr>
      <w:r>
        <w:rPr>
          <w:rFonts w:ascii="Times New Roman" w:cs="Times New Roman" w:eastAsia="Times New Roman" w:hAnsi="Times New Roman"/>
          <w:i/>
          <w:iCs/>
          <w:color w:val="999999"/>
          <w:sz w:val="22"/>
          <w:szCs w:val="22"/>
        </w:rPr>
        <w:t xml:space="preserve">Collective contributions: Claude, Copilot, Gemini, ChatGPT, Grok, DeepSeek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v1.3.0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Triad — Volume 8</w:t>
    </w:r>
    <w:r>
      <w:rPr>
        <w:rFonts w:ascii="Times New Roman" w:cs="Times New Roman" w:eastAsia="Times New Roman" w:hAnsi="Times New Roman"/>
        <w:i/>
        <w:iCs/>
        <w:color w:val="2E75B6"/>
        <w:sz w:val="18"/>
        <w:szCs w:val="18"/>
      </w:rPr>
      <w:t xml:space="preserve">	The Triad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2026-03-09T20:41:26.720Z</dcterms:created>
  <dcterms:modified xsi:type="dcterms:W3CDTF">2026-03-09T20:41:26.720Z</dcterms:modified>
</cp:coreProperties>
</file>

<file path=docProps/custom.xml><?xml version="1.0" encoding="utf-8"?>
<Properties xmlns="http://schemas.openxmlformats.org/officeDocument/2006/custom-properties" xmlns:vt="http://schemas.openxmlformats.org/officeDocument/2006/docPropsVTypes"/>
</file>