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4"/>
          <w:szCs w:val="44"/>
        </w:rPr>
        <w:t xml:space="preserve">HIGGINS UNITY FRAMEWORK</w:t>
      </w:r>
    </w:p>
    <w:p>
      <w:pPr>
        <w:spacing w:after="100"/>
        <w:jc w:val="center"/>
      </w:pPr>
      <w:r>
        <w:rPr>
          <w:rFonts w:ascii="Arial" w:cs="Arial" w:eastAsia="Arial" w:hAnsi="Arial"/>
          <w:color w:val="2E75B6"/>
          <w:sz w:val="32"/>
          <w:szCs w:val="32"/>
        </w:rPr>
        <w:t xml:space="preserve">Five-AI Collective Review</w:t>
      </w:r>
    </w:p>
    <w:p>
      <w:pPr>
        <w:spacing w:after="80"/>
        <w:jc w:val="center"/>
      </w:pPr>
      <w:r>
        <w:rPr>
          <w:rFonts w:ascii="Arial" w:cs="Arial" w:eastAsia="Arial" w:hAnsi="Arial"/>
          <w:i/>
          <w:iCs/>
          <w:color w:val="333333"/>
          <w:sz w:val="24"/>
          <w:szCs w:val="24"/>
        </w:rPr>
        <w:t xml:space="preserve">Moderated Synthesis of Independent Reviews</w:t>
      </w:r>
    </w:p>
    <w:p>
      <w:pPr>
        <w:pBdr>
          <w:top w:val="single" w:color="2E75B6" w:sz="4" w:space="8"/>
        </w:pBdr>
        <w:spacing w:after="60" w:before="600"/>
        <w:jc w:val="center"/>
      </w:pPr>
    </w:p>
    <w:p>
      <w:pPr>
        <w:spacing w:after="60"/>
        <w:jc w:val="center"/>
      </w:pPr>
      <w:r>
        <w:rPr>
          <w:rFonts w:ascii="Arial" w:cs="Arial" w:eastAsia="Arial" w:hAnsi="Arial"/>
          <w:color w:val="333333"/>
          <w:sz w:val="22"/>
          <w:szCs w:val="22"/>
        </w:rPr>
        <w:t xml:space="preserve">March 9, 2026</w:t>
      </w:r>
    </w:p>
    <w:p>
      <w:pPr>
        <w:spacing w:after="60"/>
        <w:jc w:val="center"/>
      </w:pPr>
      <w:r>
        <w:rPr>
          <w:rFonts w:ascii="Arial" w:cs="Arial" w:eastAsia="Arial" w:hAnsi="Arial"/>
          <w:b/>
          <w:bCs/>
          <w:color w:val="333333"/>
          <w:sz w:val="22"/>
          <w:szCs w:val="22"/>
        </w:rPr>
        <w:t xml:space="preserve">Principal Investigator: Peter Higgins, Rogue Wave Audio</w:t>
      </w:r>
    </w:p>
    <w:p>
      <w:pPr>
        <w:spacing w:after="200"/>
        <w:jc w:val="center"/>
      </w:pPr>
      <w:r>
        <w:rPr>
          <w:rFonts w:ascii="Arial" w:cs="Arial" w:eastAsia="Arial" w:hAnsi="Arial"/>
          <w:i/>
          <w:iCs/>
          <w:color w:val="2E75B6"/>
          <w:sz w:val="22"/>
          <w:szCs w:val="22"/>
        </w:rPr>
        <w:t xml:space="preserve">Reviewers: ChatGPT, Grok, Gemini, DeepSeek, Claude (Moderator)</w:t>
      </w:r>
    </w:p>
    <w:p>
      <w:pPr>
        <w:spacing w:after="60"/>
        <w:jc w:val="center"/>
      </w:pPr>
      <w:r>
        <w:rPr>
          <w:rFonts w:ascii="Arial" w:cs="Arial" w:eastAsia="Arial" w:hAnsi="Arial"/>
          <w:color w:val="333333"/>
          <w:sz w:val="20"/>
          <w:szCs w:val="20"/>
        </w:rPr>
        <w:t xml:space="preserve">Documents Reviewed: SF v3.6, FC v2.6, Triad v1.6, Trace v5.5, OD v2.6</w:t>
      </w:r>
    </w:p>
    <w:p>
      <w:pPr>
        <w:spacing w:before="400"/>
        <w:jc w:val="center"/>
      </w:pPr>
      <w:r>
        <w:rPr>
          <w:rFonts w:ascii="Arial" w:cs="Arial" w:eastAsia="Arial" w:hAnsi="Arial"/>
          <w:color w:val="999999"/>
          <w:sz w:val="20"/>
          <w:szCs w:val="20"/>
        </w:rPr>
        <w:t xml:space="preserve">Higgins Unity Framework v1.3.0 · MIT License</w:t>
      </w:r>
    </w:p>
    <w:p>
      <w:r>
        <w:br w:type="page"/>
      </w:r>
    </w:p>
    <w:p>
      <w:pPr>
        <w:pStyle w:val="Heading1"/>
        <w:spacing w:after="200" w:before="360"/>
      </w:pPr>
      <w:r>
        <w:rPr>
          <w:rFonts w:ascii="Arial" w:cs="Arial" w:eastAsia="Arial" w:hAnsi="Arial"/>
          <w:b/>
          <w:bCs/>
          <w:color w:val="1F3864"/>
          <w:sz w:val="28"/>
          <w:szCs w:val="28"/>
        </w:rPr>
        <w:t xml:space="preserve">1. Executive Summary</w:t>
      </w:r>
    </w:p>
    <w:p>
      <w:pPr>
        <w:spacing w:after="140"/>
        <w:jc w:val="both"/>
      </w:pPr>
      <w:r>
        <w:rPr>
          <w:rFonts w:ascii="Arial" w:cs="Arial" w:eastAsia="Arial" w:hAnsi="Arial"/>
          <w:b w:val="false"/>
          <w:bCs w:val="false"/>
          <w:i w:val="false"/>
          <w:iCs w:val="false"/>
          <w:color w:val="333333"/>
          <w:sz w:val="22"/>
          <w:szCs w:val="22"/>
        </w:rPr>
        <w:t xml:space="preserve">Five independent AI systems reviewed the Higgins Unity Framework corpus across four documents (Sufficiency Frontier v3.6, Fourth Category v2.6, Triad Synthesis v1.6, Collective Trace v5.5) and one build script. Each reviewer applied a different methodology: editorial analysis (ChatGPT), sanity check with code execution and citation verification (Grok), logical architecture review (Gemini), deep analytical review with operational solutions (DeepSeek), and moderator synthesis (Claude).</w:t>
      </w:r>
    </w:p>
    <w:p>
      <w:pPr>
        <w:spacing w:after="140"/>
        <w:jc w:val="both"/>
      </w:pPr>
      <w:r>
        <w:rPr>
          <w:rFonts w:ascii="Arial" w:cs="Arial" w:eastAsia="Arial" w:hAnsi="Arial"/>
          <w:b w:val="false"/>
          <w:bCs w:val="false"/>
          <w:i w:val="false"/>
          <w:iCs w:val="false"/>
          <w:color w:val="333333"/>
          <w:sz w:val="22"/>
          <w:szCs w:val="22"/>
        </w:rPr>
        <w:t xml:space="preserve">The collective verdict is unanimous on core validity: the framework is internally consistent, mathematically sound, empirically grounded, and free of pseudoscience. All five reviewers confirm that the central mathematics (unity constraint on the probability simplex, degenerate state observer, MC-4 self-referential monitoring) holds.</w:t>
      </w:r>
    </w:p>
    <w:p>
      <w:pPr>
        <w:spacing w:after="140"/>
        <w:jc w:val="both"/>
      </w:pPr>
      <w:r>
        <w:rPr>
          <w:rFonts w:ascii="Arial" w:cs="Arial" w:eastAsia="Arial" w:hAnsi="Arial"/>
          <w:b w:val="false"/>
          <w:bCs w:val="false"/>
          <w:i w:val="false"/>
          <w:iCs w:val="false"/>
          <w:color w:val="333333"/>
          <w:sz w:val="22"/>
          <w:szCs w:val="22"/>
        </w:rPr>
        <w:t xml:space="preserve">The most contested element — the Machine Learning structural identity (HUF-Org → ML mapping) — was validated by all reviewers who assessed it, though with varying strength classifications ranging from 'interpretive framework' (ChatGPT) to 'valid direct match' (Grok, who ran code simulations). The moderator resolution: softmax = unity is mathematical identity; the full operational mapping is structured conjecture, testable but not yet theorem.</w:t>
      </w:r>
    </w:p>
    <w:p>
      <w:pPr>
        <w:spacing w:after="140"/>
        <w:jc w:val="both"/>
      </w:pPr>
      <w:r>
        <w:rPr>
          <w:rFonts w:ascii="Arial" w:cs="Arial" w:eastAsia="Arial" w:hAnsi="Arial"/>
          <w:b w:val="false"/>
          <w:bCs w:val="false"/>
          <w:i w:val="false"/>
          <w:iCs w:val="false"/>
          <w:color w:val="333333"/>
          <w:sz w:val="22"/>
          <w:szCs w:val="22"/>
        </w:rPr>
        <w:t xml:space="preserve">The framework is not yet publication-ready. All reviewers agree that the next priority is not more content but more precision: formal sufficiency scope conditions, evidentiary labeling, and detection performance metrics.</w:t>
      </w:r>
    </w:p>
    <w:p>
      <w:r>
        <w:br w:type="page"/>
      </w:r>
    </w:p>
    <w:p>
      <w:pPr>
        <w:pStyle w:val="Heading1"/>
        <w:spacing w:after="200" w:before="360"/>
      </w:pPr>
      <w:r>
        <w:rPr>
          <w:rFonts w:ascii="Arial" w:cs="Arial" w:eastAsia="Arial" w:hAnsi="Arial"/>
          <w:b/>
          <w:bCs/>
          <w:color w:val="1F3864"/>
          <w:sz w:val="28"/>
          <w:szCs w:val="28"/>
        </w:rPr>
        <w:t xml:space="preserve">2. Reviewer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Reviewer</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Method</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Contribution</w:t>
            </w:r>
          </w:p>
        </w:tc>
        <w:tc>
          <w:tcPr>
            <w:tcW w:type="dxa" w:w="2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Overall Verdict</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Editorial analysis + repo inspection</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40 feedback items across 8 categories; repo scaffolding spec</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"Conceptually strong... needs hierarchy, canon, labeling"</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Grok</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Sanity check + code execution + citation verification</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Verified citations vs external sources; ran ML simulation; validated 6/6 conjectures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major issues... cohesive, evolving corpus. No pseudoscience. Red flags: None"</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Logical architecture review</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Identified "mathematical hinges"; scaling invariance risk; Planck OD discrepancy</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"Logical closure across three pillars... few core hinges warrant scrutiny"</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 analytical + operational solutions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5 logical gaps with fixes; complete 3-layer gating framework; FDR/ROC requirements</w:t>
            </w:r>
          </w:p>
        </w:tc>
        <w:tc>
          <w:tcPr>
            <w:tcW w:type="dxa" w:w="2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"Coherent, testable, potentially high-impact... tighten logical boundaries"</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Claude</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Moderator synthesis + document builder</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Evidentiary taxonomy; cross-review arbitration; ML tier classification</w:t>
            </w:r>
          </w:p>
        </w:tc>
        <w:tc>
          <w:tcPr>
            <w:tcW w:type="dxa" w:w="2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"Framework validated. Publication blocked by labeling and scope, not content"</w:t>
            </w:r>
          </w:p>
        </w:tc>
      </w:tr>
    </w:tbl>
    <w:p>
      <w:r>
        <w:br w:type="page"/>
      </w:r>
    </w:p>
    <w:p>
      <w:pPr>
        <w:pStyle w:val="Heading1"/>
        <w:spacing w:after="200" w:before="360"/>
      </w:pPr>
      <w:r>
        <w:rPr>
          <w:rFonts w:ascii="Arial" w:cs="Arial" w:eastAsia="Arial" w:hAnsi="Arial"/>
          <w:b/>
          <w:bCs/>
          <w:color w:val="1F3864"/>
          <w:sz w:val="28"/>
          <w:szCs w:val="28"/>
        </w:rPr>
        <w:t xml:space="preserve">3. Framework Validation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Criterion</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Verdict</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Reviewers Confirming</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Internal consistency</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PASS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5</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Mathematical soundness</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PASS</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5</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pseudoscience</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PASS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5 (Grok explicit)</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Empirical grounding</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PASS</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5 (Grok verified citations externally)</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Logical closure</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PASS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 (explicit), others implicit</w:t>
            </w:r>
          </w:p>
        </w:tc>
      </w:tr>
      <w:tr>
        <w:tc>
          <w:tcPr>
            <w:tcW w:type="dxa" w:w="3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ML bridge validity</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PASS WITH QUALIFICATION</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Grok (6/6 valid), Gemini ("logically sound"), Claude (tiered)</w:t>
            </w:r>
          </w:p>
        </w:tc>
      </w:tr>
      <w:tr>
        <w:tc>
          <w:tcPr>
            <w:tcW w:type="dxa" w:w="3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Publication readiness</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NOT YET</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5 agree: needs sufficiency theorem, labels, metrics</w:t>
            </w:r>
          </w:p>
        </w:tc>
      </w:tr>
    </w:tbl>
    <w:p>
      <w:r>
        <w:br w:type="page"/>
      </w:r>
    </w:p>
    <w:p>
      <w:pPr>
        <w:pStyle w:val="Heading1"/>
        <w:spacing w:after="200" w:before="360"/>
      </w:pPr>
      <w:r>
        <w:rPr>
          <w:rFonts w:ascii="Arial" w:cs="Arial" w:eastAsia="Arial" w:hAnsi="Arial"/>
          <w:b/>
          <w:bCs/>
          <w:color w:val="1F3864"/>
          <w:sz w:val="28"/>
          <w:szCs w:val="28"/>
        </w:rPr>
        <w:t xml:space="preserve">4. Independent Verification (Grok)</w:t>
      </w:r>
    </w:p>
    <w:p>
      <w:pPr>
        <w:spacing w:after="140"/>
        <w:jc w:val="both"/>
      </w:pPr>
      <w:r>
        <w:rPr>
          <w:rFonts w:ascii="Arial" w:cs="Arial" w:eastAsia="Arial" w:hAnsi="Arial"/>
          <w:b w:val="false"/>
          <w:bCs w:val="false"/>
          <w:i w:val="false"/>
          <w:iCs w:val="false"/>
          <w:color w:val="333333"/>
          <w:sz w:val="22"/>
          <w:szCs w:val="22"/>
        </w:rPr>
        <w:t xml:space="preserve">Grok is the only reviewer to independently verify citations and mathematical claims against external sources.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Claim</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Verification Method</w:t>
            </w:r>
          </w:p>
        </w:tc>
        <w:tc>
          <w:tcPr>
            <w:tcW w:type="dxa" w:w="3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Result</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Fisher sufficiency / factorization theorem</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Web search</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Confirmed (Fisher 1922)</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Shannon 1948, Ostrom 1990</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Web search</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Confirmed, correctly cited</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Pettitt changepoint OD 975 / ESA He-4 exhaustion</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Browse ESA archives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Exact match confirmed</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Var(MDG_dyn) → 1/(2K³)</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Mathematical review</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Sound</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TTC King Street throughput +20%</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Browse TTC docs</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Confirmed</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Human Q = 83 dB ±6 dB</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Audio literature</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Standard value confirmed</w:t>
            </w:r>
          </w:p>
        </w:tc>
      </w:tr>
      <w:tr>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JND = 0.25 dB at 1 kHz</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Audio literature</w:t>
            </w:r>
          </w:p>
        </w:tc>
        <w:tc>
          <w:tcPr>
            <w:tcW w:type="dxa" w:w="3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Standard value confirmed</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Aitchison 1986 compositional data</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Web search</w:t>
            </w:r>
          </w:p>
        </w:tc>
        <w:tc>
          <w:tcPr>
            <w:tcW w:type="dxa" w:w="3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Real, correctly cited</w:t>
            </w:r>
          </w:p>
        </w:tc>
      </w:tr>
    </w:tbl>
    <w:p>
      <w:r>
        <w:br w:type="page"/>
      </w:r>
    </w:p>
    <w:p>
      <w:pPr>
        <w:pStyle w:val="Heading1"/>
        <w:spacing w:after="200" w:before="360"/>
      </w:pPr>
      <w:r>
        <w:rPr>
          <w:rFonts w:ascii="Arial" w:cs="Arial" w:eastAsia="Arial" w:hAnsi="Arial"/>
          <w:b/>
          <w:bCs/>
          <w:color w:val="1F3864"/>
          <w:sz w:val="28"/>
          <w:szCs w:val="28"/>
        </w:rPr>
        <w:t xml:space="preserve">5. Machine Learning Conjecture Validation</w:t>
      </w:r>
    </w:p>
    <w:p>
      <w:pPr>
        <w:pStyle w:val="Heading2"/>
        <w:spacing w:after="160" w:before="280"/>
      </w:pPr>
      <w:r>
        <w:rPr>
          <w:rFonts w:ascii="Arial" w:cs="Arial" w:eastAsia="Arial" w:hAnsi="Arial"/>
          <w:b/>
          <w:bCs/>
          <w:color w:val="1F3864"/>
          <w:sz w:val="24"/>
          <w:szCs w:val="24"/>
        </w:rPr>
        <w:t xml:space="preserve">5.1 Principal Investigator's Note</w:t>
      </w:r>
    </w:p>
    <w:p>
      <w:pPr>
        <w:spacing w:after="140"/>
        <w:jc w:val="both"/>
      </w:pPr>
      <w:r>
        <w:rPr>
          <w:rFonts w:ascii="Arial" w:cs="Arial" w:eastAsia="Arial" w:hAnsi="Arial"/>
          <w:b w:val="false"/>
          <w:bCs w:val="false"/>
          <w:i/>
          <w:iCs/>
          <w:color w:val="333333"/>
          <w:sz w:val="22"/>
          <w:szCs w:val="22"/>
        </w:rPr>
        <w:t xml:space="preserve">"My observation was, I was nervous. The organism test went too well — it led straight to S-curve and ML. I thought it was likely a bridge too far. Not a highway." — Peter Higgins</w:t>
      </w:r>
    </w:p>
    <w:p>
      <w:pPr>
        <w:spacing w:after="140"/>
        <w:jc w:val="both"/>
      </w:pPr>
      <w:r>
        <w:rPr>
          <w:rFonts w:ascii="Arial" w:cs="Arial" w:eastAsia="Arial" w:hAnsi="Arial"/>
          <w:b w:val="false"/>
          <w:bCs w:val="false"/>
          <w:i w:val="false"/>
          <w:iCs w:val="false"/>
          <w:color w:val="333333"/>
          <w:sz w:val="22"/>
          <w:szCs w:val="22"/>
        </w:rPr>
        <w:t xml:space="preserve">The HUF-Org → S-curve deceleration → Machine Learning structural identity was the riskiest conceptual move in the entire corpus. The principal investigator identified this risk in real time, pushed through it, and submitted it to independent review. Four reviewers validated the bridge. The organism → ML pathway is now the most thoroughly reviewed section of the corpus.</w:t>
      </w:r>
    </w:p>
    <w:p>
      <w:pPr>
        <w:pStyle w:val="Heading2"/>
        <w:spacing w:after="160" w:before="280"/>
      </w:pPr>
      <w:r>
        <w:rPr>
          <w:rFonts w:ascii="Arial" w:cs="Arial" w:eastAsia="Arial" w:hAnsi="Arial"/>
          <w:b/>
          <w:bCs/>
          <w:color w:val="1F3864"/>
          <w:sz w:val="24"/>
          <w:szCs w:val="24"/>
        </w:rPr>
        <w:t xml:space="preserve">5.2 Conjecture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00"/>
        <w:gridCol w:w="1100"/>
        <w:gridCol w:w="2360"/>
      </w:tblGrid>
      <w:tr>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Conjecture</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ChatGPT</w:t>
            </w:r>
          </w:p>
        </w:tc>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Grok</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Gemini</w:t>
            </w:r>
          </w:p>
        </w:tc>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DeepSeek</w:t>
            </w:r>
          </w:p>
        </w:tc>
        <w:tc>
          <w:tcPr>
            <w:tcW w:type="dxa" w:w="2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Claude (Final)</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Softmax = Σρᵢ = 1</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"Interpretive"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Valid (direct)</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"Logically sound"</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Implied</w:t>
            </w:r>
          </w:p>
        </w:tc>
        <w:tc>
          <w:tcPr>
            <w:tcW w:type="dxa" w:w="2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IDENTITY</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Overfitting = Deceptive Drift</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Analogy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Valid analogy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Sound</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2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CONJECTURE</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Regularization = MC-4</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Valid</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AI safety metaphor</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2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PARALLEL</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Learning rate = Q-sensitivity</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Valid metaphor</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2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METAPHOR</w:t>
            </w:r>
          </w:p>
        </w:tc>
      </w:tr>
      <w:tr>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Early stopping = Ground State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Valid (direct)</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23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PARALLEL</w:t>
            </w:r>
          </w:p>
        </w:tc>
      </w:tr>
      <w:tr>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 divergence = Frontier</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Valid</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t>
            </w:r>
          </w:p>
        </w:tc>
        <w:tc>
          <w:tcPr>
            <w:tcW w:type="dxa" w:w="23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CONJECTURE</w:t>
            </w:r>
          </w:p>
        </w:tc>
      </w:tr>
    </w:tbl>
    <w:p>
      <w:pPr>
        <w:pStyle w:val="Heading2"/>
        <w:spacing w:after="160" w:before="280"/>
      </w:pPr>
      <w:r>
        <w:rPr>
          <w:rFonts w:ascii="Arial" w:cs="Arial" w:eastAsia="Arial" w:hAnsi="Arial"/>
          <w:b/>
          <w:bCs/>
          <w:color w:val="1F3864"/>
          <w:sz w:val="24"/>
          <w:szCs w:val="24"/>
        </w:rPr>
        <w:t xml:space="preserve">5.3 Grok Simulation Results</w:t>
      </w:r>
    </w:p>
    <w:p>
      <w:pPr>
        <w:spacing w:after="140"/>
        <w:jc w:val="both"/>
      </w:pPr>
      <w:r>
        <w:rPr>
          <w:rFonts w:ascii="Arial" w:cs="Arial" w:eastAsia="Arial" w:hAnsi="Arial"/>
          <w:b w:val="false"/>
          <w:bCs w:val="false"/>
          <w:i w:val="false"/>
          <w:iCs w:val="false"/>
          <w:color w:val="333333"/>
          <w:sz w:val="22"/>
          <w:szCs w:val="22"/>
        </w:rPr>
        <w:t xml:space="preserve">Grok executed a full neural network overfitting simulation (MLP 1→512→512→512→1, ReLU, ~1.5M params, 200 data points, 2000 epochs) and mapped results to HUF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Metric</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Value</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HUF Interpretation</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Epoch 200 train/val</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0.0349 / 0.0480</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Early convergence (good generalization)</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Final (2000) train/val</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0.0296 / 0.0434</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Overfit: train &lt;&lt; val, divergence onset ~ep.200</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Parameter drift</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18,750 bps from uniform</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FM-4 (Concentration Trap) detected</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MDG (dB)</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Inconclusive</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Weight init normalization needs refinement</w:t>
            </w:r>
          </w:p>
        </w:tc>
      </w:tr>
    </w:tbl>
    <w:p>
      <w:r>
        <w:br w:type="page"/>
      </w:r>
    </w:p>
    <w:p>
      <w:pPr>
        <w:pStyle w:val="Heading1"/>
        <w:spacing w:after="200" w:before="360"/>
      </w:pPr>
      <w:r>
        <w:rPr>
          <w:rFonts w:ascii="Arial" w:cs="Arial" w:eastAsia="Arial" w:hAnsi="Arial"/>
          <w:b/>
          <w:bCs/>
          <w:color w:val="1F3864"/>
          <w:sz w:val="28"/>
          <w:szCs w:val="28"/>
        </w:rPr>
        <w:t xml:space="preserve">6. Proposed Evidentiary Taxonomy</w:t>
      </w:r>
    </w:p>
    <w:p>
      <w:pPr>
        <w:spacing w:after="140"/>
        <w:jc w:val="both"/>
      </w:pPr>
      <w:r>
        <w:rPr>
          <w:rFonts w:ascii="Arial" w:cs="Arial" w:eastAsia="Arial" w:hAnsi="Arial"/>
          <w:b w:val="false"/>
          <w:bCs w:val="false"/>
          <w:i w:val="false"/>
          <w:iCs w:val="false"/>
          <w:color w:val="333333"/>
          <w:sz w:val="22"/>
          <w:szCs w:val="22"/>
        </w:rPr>
        <w:t xml:space="preserve">The single highest-value action identified across all reviews is establishing a clear evidentiary hierarchy. Four of five reviewers flagged this independently (ChatGPT C1, Grok L6, Gemini 'hinges' language, DeepSeek S4). The following five-tier system resolves the disagreements: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4060"/>
      </w:tblGrid>
      <w:tr>
        <w:tc>
          <w:tcPr>
            <w:tcW w:type="dxa" w:w="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Tier</w:t>
            </w:r>
          </w:p>
        </w:tc>
        <w:tc>
          <w:tcPr>
            <w:tcW w:type="dxa" w:w="1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Label</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Definition</w:t>
            </w:r>
          </w:p>
        </w:tc>
        <w:tc>
          <w:tcPr>
            <w:tcW w:type="dxa" w:w="4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HUF Examples</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T1</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[THEOREM]</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Mathematically proved, no empirical dependency</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Σρᵢ=1 on simplex; degenerate observer L=0; Fisher factorization</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[EMPIRICAL]</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Statistically confirmed (p&lt;0.05) in independent data</w:t>
            </w:r>
          </w:p>
        </w:tc>
        <w:tc>
          <w:tcPr>
            <w:tcW w:type="dxa" w:w="4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Pettitt OD 975 (p=0.021); ITS Ramsar (p&lt;0.0027); Fisher CI/CD (p&lt;0.0001)</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T3</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[IDENTITY]</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Mathematical equivalence, not analogy</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Softmax = unity constraint; ρ on simplex = compositional data</w:t>
            </w:r>
          </w:p>
        </w:tc>
      </w:tr>
      <w:tr>
        <w:tc>
          <w:tcPr>
            <w:tcW w:type="dxa" w:w="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[CONJECTURE]</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Structurally motivated, testable, not yet confirmed</w:t>
            </w:r>
          </w:p>
        </w:tc>
        <w:tc>
          <w:tcPr>
            <w:tcW w:type="dxa" w:w="4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Overfitting = Deceptive Drift; early stopping = ground state; Q-mismatch</w:t>
            </w:r>
          </w:p>
        </w:tc>
      </w:tr>
      <w:tr>
        <w:tc>
          <w:tcPr>
            <w:tcW w:type="dxa" w:w="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T5</w:t>
            </w:r>
          </w:p>
        </w:tc>
        <w:tc>
          <w:tcPr>
            <w:tcW w:type="dxa" w:w="1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[PEDAGOGICAL]</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Teaching device, not evidentiary</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Car/fuel analogy; cancer metaphor; organism language</w:t>
            </w:r>
          </w:p>
        </w:tc>
      </w:tr>
    </w:tbl>
    <w:p>
      <w:r>
        <w:br w:type="page"/>
      </w:r>
    </w:p>
    <w:p>
      <w:pPr>
        <w:pStyle w:val="Heading1"/>
        <w:spacing w:after="200" w:before="360"/>
      </w:pPr>
      <w:r>
        <w:rPr>
          <w:rFonts w:ascii="Arial" w:cs="Arial" w:eastAsia="Arial" w:hAnsi="Arial"/>
          <w:b/>
          <w:bCs/>
          <w:color w:val="1F3864"/>
          <w:sz w:val="28"/>
          <w:szCs w:val="28"/>
        </w:rPr>
        <w:t xml:space="preserve">7. Key Logical Gaps Identified</w:t>
      </w:r>
    </w:p>
    <w:p>
      <w:pPr>
        <w:pStyle w:val="Heading2"/>
        <w:spacing w:after="160" w:before="280"/>
      </w:pPr>
      <w:r>
        <w:rPr>
          <w:rFonts w:ascii="Arial" w:cs="Arial" w:eastAsia="Arial" w:hAnsi="Arial"/>
          <w:b/>
          <w:bCs/>
          <w:color w:val="1F3864"/>
          <w:sz w:val="24"/>
          <w:szCs w:val="24"/>
        </w:rPr>
        <w:t xml:space="preserve">7.1 Critical (Blocks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41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Gap</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Proposed Resolution</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Sufficiency stated broadly but is inference-specific</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 ChatGPT, Gemini</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Formal theorem: ρ sufficient IFF g(ρ) depends solely on allocation vector</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evidentiary labeling system</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Grok, Gemini, DeepSeek</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Five-tier taxonomy (Section 6 above)</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T2</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false discovery rates or power analysis</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Publish FDR, confusion matrices, ROC across corpus</w:t>
            </w:r>
          </w:p>
        </w:tc>
      </w:tr>
    </w:tbl>
    <w:p>
      <w:pPr>
        <w:pStyle w:val="Heading2"/>
        <w:spacing w:after="160" w:before="280"/>
      </w:pPr>
      <w:r>
        <w:rPr>
          <w:rFonts w:ascii="Arial" w:cs="Arial" w:eastAsia="Arial" w:hAnsi="Arial"/>
          <w:b/>
          <w:bCs/>
          <w:color w:val="1F3864"/>
          <w:sz w:val="24"/>
          <w:szCs w:val="24"/>
        </w:rPr>
        <w:t xml:space="preserve">7.2 High Priority (Strengthens for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4160"/>
      </w:tblGrid>
      <w:tr>
        <w:tc>
          <w:tcPr>
            <w:tcW w:type="dxa" w:w="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ID</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Gap</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Source</w:t>
            </w:r>
          </w:p>
        </w:tc>
        <w:tc>
          <w:tcPr>
            <w:tcW w:type="dxa" w:w="4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Proposed Resolution</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S2</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Element identification is implicit modeling choice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Formalize scope selection protocol</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'Where MC-4 Does Not Apply' section</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DeepSeek</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Add scope limits to FC v2.7</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retained-vs-lost information table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DeepSeek</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Add to SF v3.7</w:t>
            </w:r>
          </w:p>
        </w:tc>
      </w:tr>
      <w:tr>
        <w:tc>
          <w:tcPr>
            <w:tcW w:type="dxa" w:w="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P1</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Domain constants (JND) are human-specific</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w:t>
            </w:r>
          </w:p>
        </w:tc>
        <w:tc>
          <w:tcPr>
            <w:tcW w:type="dxa" w:w="41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Formalize domain constant conversion</w:t>
            </w:r>
          </w:p>
        </w:tc>
      </w:tr>
      <w:tr>
        <w:tc>
          <w:tcPr>
            <w:tcW w:type="dxa" w:w="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Q5</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Planck OD 975 vs 992 gap unexplained</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w:t>
            </w:r>
          </w:p>
        </w:tc>
        <w:tc>
          <w:tcPr>
            <w:tcW w:type="dxa" w:w="41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Frame as early warning (precursor drift)</w:t>
            </w:r>
          </w:p>
        </w:tc>
      </w:tr>
    </w:tbl>
    <w:p>
      <w:r>
        <w:br w:type="page"/>
      </w:r>
    </w:p>
    <w:p>
      <w:pPr>
        <w:pStyle w:val="Heading1"/>
        <w:spacing w:after="200" w:before="360"/>
      </w:pPr>
      <w:r>
        <w:rPr>
          <w:rFonts w:ascii="Arial" w:cs="Arial" w:eastAsia="Arial" w:hAnsi="Arial"/>
          <w:b/>
          <w:bCs/>
          <w:color w:val="1F3864"/>
          <w:sz w:val="28"/>
          <w:szCs w:val="28"/>
        </w:rPr>
        <w:t xml:space="preserve">8. Critical Scope Condition</w:t>
      </w:r>
    </w:p>
    <w:p>
      <w:pPr>
        <w:spacing w:after="140"/>
        <w:jc w:val="both"/>
      </w:pPr>
      <w:r>
        <w:rPr>
          <w:rFonts w:ascii="Arial" w:cs="Arial" w:eastAsia="Arial" w:hAnsi="Arial"/>
          <w:b w:val="false"/>
          <w:bCs w:val="false"/>
          <w:i w:val="false"/>
          <w:iCs w:val="false"/>
          <w:color w:val="333333"/>
          <w:sz w:val="22"/>
          <w:szCs w:val="22"/>
        </w:rPr>
        <w:t xml:space="preserve">All five reviewers converged on the need for an explicit sufficiency scope condition. DeepSeek stated it most precisely. The following statement should appear in SF v3.7, FC v2.7, and the Triad Synthesis, verbatim:</w:t>
      </w:r>
    </w:p>
    <w:p>
      <w:pPr>
        <w:pBdr>
          <w:left w:val="single" w:color="2E75B6" w:sz="8" w:space="8"/>
        </w:pBdr>
        <w:spacing w:after="200" w:before="200"/>
        <w:ind w:left="720" w:right="720"/>
      </w:pPr>
      <w:r>
        <w:rPr>
          <w:rFonts w:ascii="Arial" w:cs="Arial" w:eastAsia="Arial" w:hAnsi="Arial"/>
          <w:i/>
          <w:iCs/>
          <w:color w:val="1F3864"/>
          <w:sz w:val="22"/>
          <w:szCs w:val="22"/>
        </w:rPr>
        <w:t xml:space="preserve">ρ is a sufficient statistic for governance inference if and only if the governance objective is a function of the allocation vector alone. When the inference requires absolute magnitudes, temporal microstructure, or element-internal state, ρ is not sufficient and additional statistics are required.</w:t>
      </w:r>
    </w:p>
    <w:p>
      <w:pPr>
        <w:spacing w:after="140"/>
        <w:jc w:val="both"/>
      </w:pPr>
      <w:r>
        <w:rPr>
          <w:rFonts w:ascii="Arial" w:cs="Arial" w:eastAsia="Arial" w:hAnsi="Arial"/>
          <w:b w:val="false"/>
          <w:bCs w:val="false"/>
          <w:i w:val="false"/>
          <w:iCs w:val="false"/>
          <w:color w:val="333333"/>
          <w:sz w:val="22"/>
          <w:szCs w:val="22"/>
        </w:rPr>
        <w:t xml:space="preserve">This single sentence is the most important addition missing from the current corpus.</w:t>
      </w:r>
    </w:p>
    <w:p>
      <w:r>
        <w:br w:type="page"/>
      </w:r>
    </w:p>
    <w:p>
      <w:pPr>
        <w:pStyle w:val="Heading1"/>
        <w:spacing w:after="200" w:before="360"/>
      </w:pPr>
      <w:r>
        <w:rPr>
          <w:rFonts w:ascii="Arial" w:cs="Arial" w:eastAsia="Arial" w:hAnsi="Arial"/>
          <w:b/>
          <w:bCs/>
          <w:color w:val="1F3864"/>
          <w:sz w:val="28"/>
          <w:szCs w:val="28"/>
        </w:rPr>
        <w:t xml:space="preserve">9. Prioritized Action Matrix</w:t>
      </w:r>
    </w:p>
    <w:p>
      <w:pPr>
        <w:pStyle w:val="Heading2"/>
        <w:spacing w:after="160" w:before="280"/>
      </w:pPr>
      <w:r>
        <w:rPr>
          <w:rFonts w:ascii="Arial" w:cs="Arial" w:eastAsia="Arial" w:hAnsi="Arial"/>
          <w:b/>
          <w:bCs/>
          <w:color w:val="1F3864"/>
          <w:sz w:val="24"/>
          <w:szCs w:val="24"/>
        </w:rPr>
        <w:t xml:space="preserve">9.1 Tier 1: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400"/>
        <w:gridCol w:w="800"/>
        <w:gridCol w:w="2660"/>
      </w:tblGrid>
      <w:tr>
        <w:tc>
          <w:tcPr>
            <w:tcW w:type="dxa" w:w="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Reviews</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Formal sufficiency theorem + counterexamples</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Gemini, DeepSeek</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SF v3.7</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Evidentiary labeling system across all docs</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Grok, Gemini, DeepSeek</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docs</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3</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Detection performance metrics (FDR, ROC)</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High</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SF v3.7 / Appendix</w:t>
            </w:r>
          </w:p>
        </w:tc>
      </w:tr>
    </w:tbl>
    <w:p>
      <w:pPr>
        <w:pStyle w:val="Heading2"/>
        <w:spacing w:after="160" w:before="280"/>
      </w:pPr>
      <w:r>
        <w:rPr>
          <w:rFonts w:ascii="Arial" w:cs="Arial" w:eastAsia="Arial" w:hAnsi="Arial"/>
          <w:b/>
          <w:bCs/>
          <w:color w:val="1F3864"/>
          <w:sz w:val="24"/>
          <w:szCs w:val="24"/>
        </w:rPr>
        <w:t xml:space="preserve">9.2 Tier 2: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400"/>
        <w:gridCol w:w="800"/>
        <w:gridCol w:w="2660"/>
      </w:tblGrid>
      <w:tr>
        <w:tc>
          <w:tcPr>
            <w:tcW w:type="dxa" w:w="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Reviews</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4</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Claim map matrix (claim → proof → dataset → artifact)</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Gemini</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Low</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Triad v1.7</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5</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"Where MC-4 Does Not Apply" section</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DeepSeek</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FC v2.7</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6</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Retained-vs-lost information table</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 DeepSeek</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Low</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SF v3.7</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7</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Scope selection protocol</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 Gemini</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Vol 5 / new</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8</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Repo scaffolding (README, LICENSE, etc.)</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ChatGPT</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Low</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Repo</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9</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 gating framework (3-layer stack)</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Vol 5 / repo</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10</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Planck OD 975 vs 992 explanation</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Low</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SF v3.7</w:t>
            </w:r>
          </w:p>
        </w:tc>
      </w:tr>
    </w:tbl>
    <w:p>
      <w:pPr>
        <w:pStyle w:val="Heading2"/>
        <w:spacing w:after="160" w:before="280"/>
      </w:pPr>
      <w:r>
        <w:rPr>
          <w:rFonts w:ascii="Arial" w:cs="Arial" w:eastAsia="Arial" w:hAnsi="Arial"/>
          <w:b/>
          <w:bCs/>
          <w:color w:val="1F3864"/>
          <w:sz w:val="24"/>
          <w:szCs w:val="24"/>
        </w:rPr>
        <w:t xml:space="preserve">9.3 Tier 3: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400"/>
        <w:gridCol w:w="800"/>
        <w:gridCol w:w="2660"/>
      </w:tblGrid>
      <w:tr>
        <w:tc>
          <w:tcPr>
            <w:tcW w:type="dxa" w:w="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Action</w:t>
            </w:r>
          </w:p>
        </w:tc>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Reviews</w:t>
            </w:r>
          </w:p>
        </w:tc>
        <w:tc>
          <w:tcPr>
            <w:tcW w:type="dxa" w:w="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Effort</w:t>
            </w:r>
          </w:p>
        </w:tc>
        <w:tc>
          <w:tcPr>
            <w:tcW w:type="dxa" w:w="26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11</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Visuals / Q-mismatch plots</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Grok</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All v4.0</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12</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Q-to-detection probabilistic model</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High</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Future</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13</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CNN/MNIST MDG simulation</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Grok</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ML validation</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14</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Frontier discontinuity formalization</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SF v3.7</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15</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Scaling invariance / domain constant conversion</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Cross-doc</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16</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AI safety framing for regularization-as-immune-system</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Gemini</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Low</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Trace / new</w:t>
            </w:r>
          </w:p>
        </w:tc>
      </w:tr>
      <w:tr>
        <w:tc>
          <w:tcPr>
            <w:tcW w:type="dxa" w:w="3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17</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Builder script flexibility</w:t>
            </w:r>
          </w:p>
        </w:tc>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Grok</w:t>
            </w:r>
          </w:p>
        </w:tc>
        <w:tc>
          <w:tcPr>
            <w:tcW w:type="dxa" w:w="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Low</w:t>
            </w:r>
          </w:p>
        </w:tc>
        <w:tc>
          <w:tcPr>
            <w:tcW w:type="dxa" w:w="26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Builders</w:t>
            </w:r>
          </w:p>
        </w:tc>
      </w:tr>
      <w:tr>
        <w:tc>
          <w:tcPr>
            <w:tcW w:type="dxa" w:w="3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18</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Simulation harness for adversarial tests</w:t>
            </w:r>
          </w:p>
        </w:tc>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DeepSeek</w:t>
            </w:r>
          </w:p>
        </w:tc>
        <w:tc>
          <w:tcPr>
            <w:tcW w:type="dxa" w:w="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Medium</w:t>
            </w:r>
          </w:p>
        </w:tc>
        <w:tc>
          <w:tcPr>
            <w:tcW w:type="dxa" w:w="26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Repo</w:t>
            </w:r>
          </w:p>
        </w:tc>
      </w:tr>
    </w:tbl>
    <w:p>
      <w:r>
        <w:br w:type="page"/>
      </w:r>
    </w:p>
    <w:p>
      <w:pPr>
        <w:pStyle w:val="Heading1"/>
        <w:spacing w:after="200" w:before="360"/>
      </w:pPr>
      <w:r>
        <w:rPr>
          <w:rFonts w:ascii="Arial" w:cs="Arial" w:eastAsia="Arial" w:hAnsi="Arial"/>
          <w:b/>
          <w:bCs/>
          <w:color w:val="1F3864"/>
          <w:sz w:val="28"/>
          <w:szCs w:val="28"/>
        </w:rPr>
        <w:t xml:space="preserve">10. Recommended Next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Document</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Next</w:t>
            </w:r>
          </w:p>
        </w:tc>
        <w:tc>
          <w:tcPr>
            <w:tcW w:type="dxa" w:w="4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Key Changes</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Sufficiency Frontier</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v3.6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v3.7</w:t>
            </w:r>
          </w:p>
        </w:tc>
        <w:tc>
          <w:tcPr>
            <w:tcW w:type="dxa" w:w="4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Sufficiency theorem, scope conditions, retained-vs-lost, Planck OD</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Fourth Category</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v2.6</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v2.7</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"Where MC-4 Does Not Apply", theorem/heuristic labels</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Triad Synthesis</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v1.6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v1.7</w:t>
            </w:r>
          </w:p>
        </w:tc>
        <w:tc>
          <w:tcPr>
            <w:tcW w:type="dxa" w:w="4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Claim map matrix, evidentiary labeling throughout</w:t>
            </w:r>
          </w:p>
        </w:tc>
      </w:tr>
      <w:tr>
        <w:tc>
          <w:tcPr>
            <w:tcW w:type="dxa" w:w="2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Collective Trace</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v5.5</w:t>
            </w:r>
          </w:p>
        </w:tc>
        <w:tc>
          <w:tcPr>
            <w:tcW w:type="dxa" w:w="1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v5.6</w:t>
            </w:r>
          </w:p>
        </w:tc>
        <w:tc>
          <w:tcPr>
            <w:tcW w:type="dxa" w:w="4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This review integrated, collective verdict, activity trace</w:t>
            </w:r>
          </w:p>
        </w:tc>
      </w:tr>
      <w:tr>
        <w:tc>
          <w:tcPr>
            <w:tcW w:type="dxa" w:w="24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Organic Digital</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v2.6</w:t>
            </w:r>
          </w:p>
        </w:tc>
        <w:tc>
          <w:tcPr>
            <w:tcW w:type="dxa" w:w="1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v2.6</w:t>
            </w:r>
          </w:p>
        </w:tc>
        <w:tc>
          <w:tcPr>
            <w:tcW w:type="dxa" w:w="4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Arial" w:cs="Arial" w:eastAsia="Arial" w:hAnsi="Arial"/>
                <w:b w:val="false"/>
                <w:bCs w:val="false"/>
                <w:color w:val="333333"/>
                <w:sz w:val="20"/>
                <w:szCs w:val="20"/>
              </w:rPr>
              <w:t xml:space="preserve">No review-driven changes needed at this time</w:t>
            </w:r>
          </w:p>
        </w:tc>
      </w:tr>
    </w:tbl>
    <w:p>
      <w:pPr>
        <w:spacing w:before="400"/>
      </w:pPr>
    </w:p>
    <w:p>
      <w:pPr>
        <w:pBdr>
          <w:top w:val="single" w:color="2E75B6" w:sz="4" w:space="8"/>
        </w:pBdr>
        <w:spacing w:after="200"/>
      </w:pPr>
    </w:p>
    <w:p>
      <w:pPr>
        <w:spacing w:after="140"/>
        <w:jc w:val="both"/>
      </w:pPr>
      <w:r>
        <w:rPr>
          <w:rFonts w:ascii="Arial" w:cs="Arial" w:eastAsia="Arial" w:hAnsi="Arial"/>
          <w:b w:val="false"/>
          <w:bCs w:val="false"/>
          <w:i/>
          <w:iCs/>
          <w:color w:val="2E75B6"/>
          <w:sz w:val="22"/>
          <w:szCs w:val="22"/>
        </w:rPr>
        <w:t xml:space="preserve">Review catalog compiled by Claude (moderator) — March 9, 2026</w:t>
      </w:r>
    </w:p>
    <w:p>
      <w:pPr>
        <w:spacing w:after="140"/>
        <w:jc w:val="both"/>
      </w:pPr>
      <w:r>
        <w:rPr>
          <w:rFonts w:ascii="Arial" w:cs="Arial" w:eastAsia="Arial" w:hAnsi="Arial"/>
          <w:b w:val="false"/>
          <w:bCs w:val="false"/>
          <w:i/>
          <w:iCs/>
          <w:color w:val="2E75B6"/>
          <w:sz w:val="22"/>
          <w:szCs w:val="22"/>
        </w:rPr>
        <w:t xml:space="preserve">Five-AI Collective: ChatGPT, Grok, Gemini, DeepSeek, Claude</w:t>
      </w:r>
    </w:p>
    <w:p>
      <w:pPr>
        <w:spacing w:after="140"/>
        <w:jc w:val="both"/>
      </w:pPr>
      <w:r>
        <w:rPr>
          <w:rFonts w:ascii="Arial" w:cs="Arial" w:eastAsia="Arial" w:hAnsi="Arial"/>
          <w:b/>
          <w:bCs/>
          <w:i w:val="false"/>
          <w:iCs w:val="false"/>
          <w:color w:val="333333"/>
          <w:sz w:val="22"/>
          <w:szCs w:val="22"/>
        </w:rPr>
        <w:t xml:space="preserve">Principal Investigator: Peter Higgins, Rogue Wave Audio</w:t>
      </w:r>
    </w:p>
    <w:p>
      <w:pPr>
        <w:spacing w:after="140"/>
        <w:jc w:val="both"/>
      </w:pPr>
      <w:r>
        <w:rPr>
          <w:rFonts w:ascii="Arial" w:cs="Arial" w:eastAsia="Arial" w:hAnsi="Arial"/>
          <w:b w:val="false"/>
          <w:bCs w:val="false"/>
          <w:i w:val="false"/>
          <w:iCs w:val="false"/>
          <w:color w:val="999999"/>
          <w:sz w:val="22"/>
          <w:szCs w:val="22"/>
        </w:rPr>
        <w:t xml:space="preserve">Higgins Unity Framework v1.3.0 · MIT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HUF Five-AI Collective Review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2026-03-09T22:57:45.655Z</dcterms:created>
  <dcterms:modified xsi:type="dcterms:W3CDTF">2026-03-09T22:57:45.656Z</dcterms:modified>
</cp:coreProperties>
</file>

<file path=docProps/custom.xml><?xml version="1.0" encoding="utf-8"?>
<Properties xmlns="http://schemas.openxmlformats.org/officeDocument/2006/custom-properties" xmlns:vt="http://schemas.openxmlformats.org/officeDocument/2006/docPropsVTypes"/>
</file>