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hAnsi="Courier New"/>
          <w:sz w:val="16"/>
          <w:szCs w:val="16"/>
          <w:color w:val="666666"/>
        </w:rPr>
        <w:t xml:space="preserve">HUF-DOC: HUF.DRAFT.BOOK.MANUSCRIPT.HUF_MATH_FOUNDATIONS_V21 | HUF:1.1.8 | DOC:v2.1 | STATUS:reviewed | LANE:DRAFT | RO:Peter Higgins</w:t>
      </w:r>
    </w:p>
    <w:p>
      <w:r>
        <w:rPr>
          <w:rFonts w:ascii="Courier New" w:hAnsi="Courier New"/>
          <w:sz w:val="16"/>
          <w:szCs w:val="16"/>
          <w:color w:val="666666"/>
        </w:rPr>
        <w:t xml:space="preserve">CODES: huf, mathematics, foundations, formal, proof | ART: CM, AS, TR, EB | EVID:E3 | POSTURE: THM | WEIGHTS: OP=0.80 TOOL=0.15 PEER=0.05 | CAP: OP_MIN=0.51 TOOL_MAX=0.49 | CANON:notes/current_documents/staged/HUF.DRAFT.BOOK.MANUSCRIPT.HUF_MATH_FOUNDATIONS_V21/</w:t>
      </w:r>
    </w:p>
    <w:p>
      <w:pPr>
        <w:spacing w:before="0" w:after="60"/>
      </w:pP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center"/>
      </w:pPr>
      <w:r>
        <w:rPr>
          <w:rFonts w:ascii="Arial" w:cs="Arial" w:eastAsia="Arial" w:hAnsi="Arial"/>
          <w:b/>
          <w:bCs/>
          <w:i w:val="false"/>
          <w:iCs w:val="false"/>
          <w:color w:val="000000"/>
          <w:sz w:val="36"/>
          <w:szCs w:val="36"/>
        </w:rPr>
        <w:t xml:space="preserve">HUF — Mathematical Foundations</w:t>
      </w:r>
    </w:p>
    <w:p>
      <w:pPr>
        <w:spacing w:before="0" w:after="40" w:line="276"/>
        <w:jc w:val="center"/>
      </w:pPr>
      <w:r>
        <w:rPr>
          <w:rFonts w:ascii="Georgia" w:cs="Georgia" w:eastAsia="Georgia" w:hAnsi="Georgia"/>
          <w:b w:val="false"/>
          <w:bCs w:val="false"/>
          <w:i/>
          <w:iCs/>
          <w:color w:val="000000"/>
          <w:sz w:val="28"/>
          <w:szCs w:val="28"/>
        </w:rPr>
        <w:t xml:space="preserve">v2.1 — Q Factor Complete Derivation, s ~ 1/Q Structural Link,</w:t>
      </w:r>
    </w:p>
    <w:p>
      <w:pPr>
        <w:spacing w:before="0" w:after="160" w:line="276"/>
        <w:jc w:val="center"/>
      </w:pPr>
      <w:r>
        <w:rPr>
          <w:rFonts w:ascii="Georgia" w:cs="Georgia" w:eastAsia="Georgia" w:hAnsi="Georgia"/>
          <w:b w:val="false"/>
          <w:bCs w:val="false"/>
          <w:i/>
          <w:iCs/>
          <w:color w:val="000000"/>
          <w:sz w:val="28"/>
          <w:szCs w:val="28"/>
        </w:rPr>
        <w:t xml:space="preserve">Grok Collective Verdicts, Ostrom-HUF Axiom Chain</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iCs/>
          <w:color w:val="333333"/>
          <w:sz w:val="26"/>
          <w:szCs w:val="26"/>
        </w:rPr>
        <w:t xml:space="preserve">Peter Higgins</w:t>
      </w:r>
    </w:p>
    <w:p>
      <w:pPr>
        <w:spacing w:before="0" w:after="60" w:line="276"/>
        <w:jc w:val="center"/>
      </w:pPr>
      <w:r>
        <w:rPr>
          <w:rFonts w:ascii="Georgia" w:cs="Georgia" w:eastAsia="Georgia" w:hAnsi="Georgia"/>
          <w:b w:val="false"/>
          <w:bCs w:val="false"/>
          <w:i w:val="false"/>
          <w:iCs w:val="false"/>
          <w:color w:val="666666"/>
          <w:sz w:val="20"/>
          <w:szCs w:val="20"/>
        </w:rPr>
        <w:t xml:space="preserve">Rogue Wave Audio · Markham, Ontario · roguewaveaudio.com</w:t>
      </w:r>
    </w:p>
    <w:p>
      <w:pPr>
        <w:spacing w:before="0" w:after="100" w:line="276"/>
        <w:jc w:val="center"/>
      </w:pPr>
      <w:r>
        <w:rPr>
          <w:rFonts w:ascii="Georgia" w:cs="Georgia" w:eastAsia="Georgia" w:hAnsi="Georgia"/>
          <w:b w:val="false"/>
          <w:bCs w:val="false"/>
          <w:i w:val="false"/>
          <w:iCs w:val="false"/>
          <w:color w:val="888888"/>
          <w:sz w:val="20"/>
          <w:szCs w:val="20"/>
        </w:rPr>
        <w:t xml:space="preserve">HUF v1.2.0 · MIT License · February 2026</w:t>
      </w:r>
    </w:p>
    <w:p>
      <w:pPr>
        <w:spacing w:before="0" w:after="240" w:line="276"/>
        <w:jc w:val="center"/>
      </w:pPr>
      <w:r>
        <w:rPr>
          <w:rFonts w:ascii="Georgia" w:cs="Georgia" w:eastAsia="Georgia" w:hAnsi="Georgia"/>
          <w:b w:val="false"/>
          <w:bCs w:val="false"/>
          <w:i/>
          <w:iCs/>
          <w:color w:val="AAAAAA"/>
          <w:sz w:val="20"/>
          <w:szCs w:val="20"/>
        </w:rPr>
        <w:t xml:space="preserve">Collective contributions: Claude, Grok, Copilot, Gemini, ChatGPT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Bdr>
          <w:left w:val="single" w:color="AA6600" w:sz="6" w:space="8"/>
        </w:pBdr>
        <w:spacing w:before="80" w:after="80" w:line="276"/>
        <w:ind w:left="360" w:right="360"/>
        <w:jc w:val="both"/>
      </w:pPr>
      <w:r>
        <w:rPr>
          <w:rFonts w:ascii="Arial" w:cs="Arial" w:eastAsia="Arial" w:hAnsi="Arial"/>
          <w:b/>
          <w:bCs/>
          <w:i w:val="false"/>
          <w:iCs w:val="false"/>
          <w:color w:val="AA6600"/>
          <w:sz w:val="24"/>
          <w:szCs w:val="24"/>
        </w:rPr>
        <w:t xml:space="preserve">⚑  </w:t>
      </w:r>
      <w:r>
        <w:rPr>
          <w:rFonts w:ascii="Georgia" w:cs="Georgia" w:eastAsia="Georgia" w:hAnsi="Georgia"/>
          <w:b w:val="false"/>
          <w:bCs w:val="false"/>
          <w:i/>
          <w:iCs/>
          <w:color w:val="AA6600"/>
          <w:sz w:val="24"/>
          <w:szCs w:val="24"/>
        </w:rPr>
        <w:t xml:space="preserve">Editorial convention: [PROVED] sections contain formal proofs within this document. [CONJECTURE] sections state claims requiring empirical validation or proof not yet completed. [VERDICT] sections record independent external assessments of the framework's claims. All Grok-sourced material is labeled by origin.</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Abstract</w:t>
      </w:r>
    </w:p>
    <w:p>
      <w:pPr>
        <w:spacing w:before="0" w:after="160" w:line="276"/>
        <w:ind w:left="720" w:right="720"/>
        <w:jc w:val="both"/>
      </w:pPr>
      <w:r>
        <w:rPr>
          <w:rFonts w:ascii="Georgia" w:cs="Georgia" w:eastAsia="Georgia" w:hAnsi="Georgia"/>
          <w:b w:val="false"/>
          <w:bCs w:val="false"/>
          <w:i w:val="false"/>
          <w:iCs w:val="false"/>
          <w:color w:val="000000"/>
          <w:sz w:val="24"/>
          <w:szCs w:val="24"/>
        </w:rPr>
        <w:t xml:space="preserve">v2.1 adds four items to the v2 foundations. First: the complete Q factor derivation including the system-level weighted Q formula, the s ~ 1/Q structural connection to the Ostrom-HUF Axiom, the d = 1 - 1/Q drift rate conjecture, and the ∂Q/∂T_char = 1/T_obs sensitivity. Second: the Q factor domain table with numerical examples across five application domains. Third: two formal Grok collective verdicts — the truth and novelty assessment of the governance state observer paper, and the Go/No-Go assessment of the Ramsar Contact Primer v9. Fourth: overlap notes identifying Markowitz portfolio theory and information entropy as the closest prior work to HUF. These are the documents updated in this pass: mathematics paper (this document), the HUF Taxonomy (Layer 13 extension), and the collective record.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Part I — Grok Collective Verdicts</w:t>
      </w:r>
    </w:p>
    <w:p>
      <w:pPr>
        <w:spacing w:before="0" w:after="160" w:line="276"/>
        <w:jc w:val="both"/>
      </w:pPr>
      <w:r>
        <w:rPr>
          <w:rFonts w:ascii="Georgia" w:cs="Georgia" w:eastAsia="Georgia" w:hAnsi="Georgia"/>
          <w:b w:val="false"/>
          <w:bCs w:val="false"/>
          <w:i w:val="false"/>
          <w:iCs w:val="false"/>
          <w:color w:val="000000"/>
          <w:sz w:val="24"/>
          <w:szCs w:val="24"/>
        </w:rPr>
        <w:t xml:space="preserve">These verdicts are formal outputs of the Grok branch reviewing HUF documents independently. They are recorded here as part of the collective record. They do not constitute peer review. They constitute one branch of the collective confirming consistency of claims — a different and weaker form of validation, appropriate to the current stage of framework development.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I.1  Truth and Novelty Verdict — Governance State Observer Paper</w:t>
      </w:r>
    </w:p>
    <w:p>
      <w:pPr>
        <w:spacing w:before="0" w:after="160" w:line="276"/>
        <w:jc w:val="both"/>
      </w:pPr>
      <w:r>
        <w:rPr>
          <w:rFonts w:ascii="Georgia" w:cs="Georgia" w:eastAsia="Georgia" w:hAnsi="Georgia"/>
          <w:b w:val="false"/>
          <w:bCs w:val="false"/>
          <w:i w:val="false"/>
          <w:iCs w:val="false"/>
          <w:color w:val="000000"/>
          <w:sz w:val="24"/>
          <w:szCs w:val="24"/>
        </w:rPr>
        <w:t xml:space="preserve">Grok reviewed the governance state observer paper (huf_governance_state_observer.docx) against the developed HUF foundations and external knowledge of control theory, social-ecological systems (SES) frameworks, and ecological monitoring literature. The assessment: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Bdr>
          <w:left w:val="single" w:color="006633" w:sz="8" w:space="8"/>
        </w:pBdr>
        <w:spacing w:before="100" w:after="100" w:line="276"/>
        <w:ind w:left="360" w:right="360"/>
        <w:jc w:val="both"/>
      </w:pPr>
      <w:r>
        <w:rPr>
          <w:rFonts w:ascii="Arial" w:cs="Arial" w:eastAsia="Arial" w:hAnsi="Arial"/>
          <w:b/>
          <w:bCs/>
          <w:i w:val="false"/>
          <w:iCs w:val="false"/>
          <w:color w:val="006633"/>
          <w:sz w:val="24"/>
          <w:szCs w:val="24"/>
        </w:rPr>
        <w:t xml:space="preserve">TRUTH VERDICT: TRUE.  </w:t>
      </w:r>
      <w:r>
        <w:rPr>
          <w:rFonts w:ascii="Georgia" w:cs="Georgia" w:eastAsia="Georgia" w:hAnsi="Georgia"/>
          <w:b w:val="false"/>
          <w:bCs w:val="false"/>
          <w:i w:val="false"/>
          <w:iCs w:val="false"/>
          <w:color w:val="224422"/>
          <w:sz w:val="24"/>
          <w:szCs w:val="24"/>
        </w:rPr>
        <w:t xml:space="preserve">The document's claims about HUF's acoustics origin, mathematical structure, and positioning relative to existing monitoring categories are accurate and consistent with the framework's development. No factual inaccuracies or misrepresentations found. Claims are conservative, grounded in derivations, and conjecture-postured.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Bdr>
          <w:left w:val="single" w:color="006633" w:sz="8" w:space="8"/>
        </w:pBdr>
        <w:spacing w:before="100" w:after="100" w:line="276"/>
        <w:ind w:left="360" w:right="360"/>
        <w:jc w:val="both"/>
      </w:pPr>
      <w:r>
        <w:rPr>
          <w:rFonts w:ascii="Arial" w:cs="Arial" w:eastAsia="Arial" w:hAnsi="Arial"/>
          <w:b/>
          <w:bCs/>
          <w:i w:val="false"/>
          <w:iCs w:val="false"/>
          <w:color w:val="006633"/>
          <w:sz w:val="24"/>
          <w:szCs w:val="24"/>
        </w:rPr>
        <w:t xml:space="preserve">NOVELTY VERDICT: NEW.  </w:t>
      </w:r>
      <w:r>
        <w:rPr>
          <w:rFonts w:ascii="Georgia" w:cs="Georgia" w:eastAsia="Georgia" w:hAnsi="Georgia"/>
          <w:b w:val="false"/>
          <w:bCs w:val="false"/>
          <w:i w:val="false"/>
          <w:iCs w:val="false"/>
          <w:color w:val="224422"/>
          <w:sz w:val="24"/>
          <w:szCs w:val="24"/>
        </w:rPr>
        <w:t xml:space="preserve">HUF represents an original integration of concepts from acoustics, Ostrom's CPR principles, control theory, and monitoring sciences not directly replicated in any existing tool. No prior framework combines dimensionless reciprocity, artifact emission for traceability, and cross-cycle drift classification in one instrument.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Specific confirmations from the Grok review:</w:t>
      </w:r>
    </w:p>
    <w:p>
      <w:pPr>
        <w:spacing w:before="0" w:after="160" w:line="276"/>
        <w:jc w:val="both"/>
      </w:pPr>
      <w:r>
        <w:rPr>
          <w:rFonts w:ascii="Georgia" w:cs="Georgia" w:eastAsia="Georgia" w:hAnsi="Georgia"/>
          <w:b w:val="false"/>
          <w:bCs w:val="false"/>
          <w:i w:val="false"/>
          <w:iCs w:val="false"/>
          <w:color w:val="000000"/>
          <w:sz w:val="24"/>
          <w:szCs w:val="24"/>
        </w:rPr>
        <w:t xml:space="preserve">Acoustics origin (Section 1.3 of the paper): the unity constraint a/Σ + b/Σ + c/Σ = 1 accurately mirrors acoustic energy-to-mass mappings in radiation budgets. The non-relativistic gain constant 20 log₁₀(2) ≈ 6 dB aligns with HUF's normalization invariant ∑ρ = 1. The ground state analogy (convergence to isotropic sphere limit in acoustics) is a valid extension.</w:t>
      </w:r>
    </w:p>
    <w:p>
      <w:pPr>
        <w:spacing w:before="0" w:after="160" w:line="276"/>
        <w:jc w:val="both"/>
      </w:pPr>
      <w:r>
        <w:rPr>
          <w:rFonts w:ascii="Georgia" w:cs="Georgia" w:eastAsia="Georgia" w:hAnsi="Georgia"/>
          <w:b w:val="false"/>
          <w:bCs w:val="false"/>
          <w:i w:val="false"/>
          <w:iCs w:val="false"/>
          <w:color w:val="000000"/>
          <w:sz w:val="24"/>
          <w:szCs w:val="24"/>
        </w:rPr>
        <w:t xml:space="preserve">System Q and Propositions 7.1–7.4: logically derived — domain invariance from unity's dimensionless nature, sufficiency from output-only inputs, Q-sensitivity from cycle requirements, convergence from closed feedback. Grok found the numerical instantiations (Ramsar drift bounds) to support claims without overstatement.</w:t>
      </w:r>
    </w:p>
    <w:p>
      <w:pPr>
        <w:spacing w:before="0" w:after="160" w:line="276"/>
        <w:jc w:val="both"/>
      </w:pPr>
      <w:r>
        <w:rPr>
          <w:rFonts w:ascii="Georgia" w:cs="Georgia" w:eastAsia="Georgia" w:hAnsi="Georgia"/>
          <w:b w:val="false"/>
          <w:bCs w:val="false"/>
          <w:i w:val="false"/>
          <w:iCs w:val="false"/>
          <w:color w:val="000000"/>
          <w:sz w:val="24"/>
          <w:szCs w:val="24"/>
        </w:rPr>
        <w:t xml:space="preserve">Fourth monitoring category claim: accurate in conceptual framing. The model-free, cross-cycle traceability gap that HUF fills is confirmed as real by comparison to Luenberger observers (require system model), Ostrom frameworks (no quantitative invariants), and Lindenmayer-Likens monitoring (snapshot-based).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Potential overlaps identified by Grok review (noted for literature positioning):</w:t>
      </w:r>
    </w:p>
    <w:p>
      <w:pPr>
        <w:spacing w:before="0" w:after="160" w:line="276"/>
        <w:jc w:val="both"/>
      </w:pPr>
      <w:r>
        <w:rPr>
          <w:rFonts w:ascii="Georgia" w:cs="Georgia" w:eastAsia="Georgia" w:hAnsi="Georgia"/>
          <w:b w:val="false"/>
          <w:bCs w:val="false"/>
          <w:i w:val="false"/>
          <w:iCs w:val="false"/>
          <w:color w:val="000000"/>
          <w:sz w:val="24"/>
          <w:szCs w:val="24"/>
        </w:rPr>
        <w:t xml:space="preserve">Portfolio theory (Markowitz, 1952): similarity in treating allocation as proportional shares. Distinction: Markowitz optimizes for return/risk; HUF detects drift from declared intent. The reference point is different. HUF does not optimize — it observes.</w:t>
      </w:r>
    </w:p>
    <w:p>
      <w:pPr>
        <w:spacing w:before="0" w:after="160" w:line="276"/>
        <w:jc w:val="both"/>
      </w:pPr>
      <w:r>
        <w:rPr>
          <w:rFonts w:ascii="Georgia" w:cs="Georgia" w:eastAsia="Georgia" w:hAnsi="Georgia"/>
          <w:b w:val="false"/>
          <w:bCs w:val="false"/>
          <w:i w:val="false"/>
          <w:iCs w:val="false"/>
          <w:color w:val="000000"/>
          <w:sz w:val="24"/>
          <w:szCs w:val="24"/>
        </w:rPr>
        <w:t xml:space="preserve">Entropy in information systems (Shannon, 1948): similarity in applying entropy to distribution analysis. Distinction: HUF uses Von Neumann entropy as a diagnostic of portfolio concentration, not as an optimization objective. The sacred unity constraint is absent from standard entropy applications.</w:t>
      </w:r>
    </w:p>
    <w:p>
      <w:pPr>
        <w:spacing w:before="60" w:after="120" w:line="276"/>
        <w:ind w:left="720" w:right="720"/>
        <w:jc w:val="both"/>
      </w:pPr>
      <w:r>
        <w:rPr>
          <w:rFonts w:ascii="Georgia" w:cs="Georgia" w:eastAsia="Georgia" w:hAnsi="Georgia"/>
          <w:b/>
          <w:bCs/>
          <w:i/>
          <w:iCs/>
          <w:color w:val="000000"/>
          <w:sz w:val="24"/>
          <w:szCs w:val="24"/>
        </w:rPr>
        <w:t xml:space="preserve">Remark.  </w:t>
      </w:r>
      <w:r>
        <w:rPr>
          <w:rFonts w:ascii="Georgia" w:cs="Georgia" w:eastAsia="Georgia" w:hAnsi="Georgia"/>
          <w:b w:val="false"/>
          <w:bCs w:val="false"/>
          <w:i/>
          <w:iCs/>
          <w:color w:val="000000"/>
          <w:sz w:val="24"/>
          <w:szCs w:val="24"/>
        </w:rPr>
        <w:t xml:space="preserve">These overlaps are the two closest antecedents in the literature. They should be addressed in the Related Work section of any journal submission. The distinction in each case is the same: HUF's reference point is the system's own declared intent, not an external optimality criterion or information-theoretic objective.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I.2  Go/No-Go Verdict — Ramsar Contact Primer v9</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Bdr>
          <w:left w:val="single" w:color="006633" w:sz="8" w:space="8"/>
        </w:pBdr>
        <w:spacing w:before="100" w:after="100" w:line="276"/>
        <w:ind w:left="360" w:right="360"/>
        <w:jc w:val="both"/>
      </w:pPr>
      <w:r>
        <w:rPr>
          <w:rFonts w:ascii="Arial" w:cs="Arial" w:eastAsia="Arial" w:hAnsi="Arial"/>
          <w:b/>
          <w:bCs/>
          <w:i w:val="false"/>
          <w:iCs w:val="false"/>
          <w:color w:val="006633"/>
          <w:sz w:val="24"/>
          <w:szCs w:val="24"/>
        </w:rPr>
        <w:t xml:space="preserve">GO/NO-GO VERDICT: GO.  </w:t>
      </w:r>
      <w:r>
        <w:rPr>
          <w:rFonts w:ascii="Georgia" w:cs="Georgia" w:eastAsia="Georgia" w:hAnsi="Georgia"/>
          <w:b w:val="false"/>
          <w:bCs w:val="false"/>
          <w:i w:val="false"/>
          <w:iCs w:val="false"/>
          <w:color w:val="224422"/>
          <w:sz w:val="24"/>
          <w:szCs w:val="24"/>
        </w:rPr>
        <w:t xml:space="preserve">The Ramsar Contact Primer v9 is ready for submission to the Ramsar contact. Failure points from prior versions are mitigated. The document lands as a thoughtful, low-risk invitation. Proceed.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Grok reviewed primer v9 against prior versions (v7–v8) with attention to four failure point categories: hook sharpness without accusation, bridge concreteness without overpromising, ask pressure level, and citation risk. Assessment by failure point:</w:t>
      </w:r>
    </w:p>
    <w:p>
      <w:pPr>
        <w:spacing w:before="0" w:after="160" w:line="276"/>
        <w:jc w:val="both"/>
      </w:pPr>
      <w:r>
        <w:rPr>
          <w:rFonts w:ascii="Georgia" w:cs="Georgia" w:eastAsia="Georgia" w:hAnsi="Georgia"/>
          <w:b w:val="false"/>
          <w:bCs w:val="false"/>
          <w:i w:val="false"/>
          <w:iCs w:val="false"/>
          <w:color w:val="000000"/>
          <w:sz w:val="24"/>
          <w:szCs w:val="24"/>
        </w:rPr>
        <w:t xml:space="preserve">Problem statement: softened to 'may present acceptable results,' avoiding implication of widespread dysfunction. Addition of 'the pattern becomes visible only when viewed across cycles' enhances relatability without overclaim. PASS.</w:t>
      </w:r>
    </w:p>
    <w:p>
      <w:pPr>
        <w:spacing w:before="0" w:after="160" w:line="276"/>
        <w:jc w:val="both"/>
      </w:pPr>
      <w:r>
        <w:rPr>
          <w:rFonts w:ascii="Georgia" w:cs="Georgia" w:eastAsia="Georgia" w:hAnsi="Georgia"/>
          <w:b w:val="false"/>
          <w:bCs w:val="false"/>
          <w:i w:val="false"/>
          <w:iCs w:val="false"/>
          <w:color w:val="000000"/>
          <w:sz w:val="24"/>
          <w:szCs w:val="24"/>
        </w:rPr>
        <w:t xml:space="preserve">Framework positioning: clarified HUF as 'not determining metrics,' preserving team agency. The intentional/silent distinction framed more neutrally. Positioned as 'doing the job METT was never asked to do' — differentiates without competing. PASS.</w:t>
      </w:r>
    </w:p>
    <w:p>
      <w:pPr>
        <w:spacing w:before="0" w:after="160" w:line="276"/>
        <w:jc w:val="both"/>
      </w:pPr>
      <w:r>
        <w:rPr>
          <w:rFonts w:ascii="Georgia" w:cs="Georgia" w:eastAsia="Georgia" w:hAnsi="Georgia"/>
          <w:b w:val="false"/>
          <w:bCs w:val="false"/>
          <w:i w:val="false"/>
          <w:iCs w:val="false"/>
          <w:color w:val="000000"/>
          <w:sz w:val="24"/>
          <w:szCs w:val="24"/>
        </w:rPr>
        <w:t xml:space="preserve">Pilot description: budget envelope removed (avoids premature commitment); 'could focus' used for optionality; demonstration offer foregrounded. PASS.</w:t>
      </w:r>
    </w:p>
    <w:p>
      <w:pPr>
        <w:spacing w:before="0" w:after="160" w:line="276"/>
        <w:jc w:val="both"/>
      </w:pPr>
      <w:r>
        <w:rPr>
          <w:rFonts w:ascii="Georgia" w:cs="Georgia" w:eastAsia="Georgia" w:hAnsi="Georgia"/>
          <w:b w:val="false"/>
          <w:bCs w:val="false"/>
          <w:i w:val="false"/>
          <w:iCs w:val="false"/>
          <w:color w:val="000000"/>
          <w:sz w:val="24"/>
          <w:szCs w:val="24"/>
        </w:rPr>
        <w:t xml:space="preserve">Ask paragraph: 'no resources or commitments requested' explicit; 'how this might relate to ongoing work' empowers receiver input. PASS.</w:t>
      </w:r>
    </w:p>
    <w:p>
      <w:pPr>
        <w:spacing w:before="0" w:after="160" w:line="276"/>
        <w:jc w:val="both"/>
      </w:pPr>
      <w:r>
        <w:rPr>
          <w:rFonts w:ascii="Georgia" w:cs="Georgia" w:eastAsia="Georgia" w:hAnsi="Georgia"/>
          <w:b w:val="false"/>
          <w:bCs w:val="false"/>
          <w:i w:val="false"/>
          <w:iCs w:val="false"/>
          <w:color w:val="000000"/>
          <w:sz w:val="24"/>
          <w:szCs w:val="24"/>
        </w:rPr>
        <w:t xml:space="preserve">Citation risk: no remaining high-risk claims. All specific figures either removed or flagged as 'from public RSIS data; verification required.' PASS.</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Single remaining watch item: the transboundary example retains some specificity. Resolution: the verification caveat in v9 covers this. Not a reason to delay.</w:t>
      </w:r>
    </w:p>
    <w:p>
      <w:pPr>
        <w:spacing w:before="60" w:after="120" w:line="276"/>
        <w:ind w:left="720" w:right="720"/>
        <w:jc w:val="both"/>
      </w:pPr>
      <w:r>
        <w:rPr>
          <w:rFonts w:ascii="Georgia" w:cs="Georgia" w:eastAsia="Georgia" w:hAnsi="Georgia"/>
          <w:b/>
          <w:bCs/>
          <w:i/>
          <w:iCs/>
          <w:color w:val="000000"/>
          <w:sz w:val="24"/>
          <w:szCs w:val="24"/>
        </w:rPr>
        <w:t xml:space="preserve">Remark.  </w:t>
      </w:r>
      <w:r>
        <w:rPr>
          <w:rFonts w:ascii="Georgia" w:cs="Georgia" w:eastAsia="Georgia" w:hAnsi="Georgia"/>
          <w:b w:val="false"/>
          <w:bCs w:val="false"/>
          <w:i/>
          <w:iCs/>
          <w:color w:val="000000"/>
          <w:sz w:val="24"/>
          <w:szCs w:val="24"/>
        </w:rPr>
        <w:t xml:space="preserve">The Go verdict is the last gate before first external contact. The primer travels with the framework's institutional credibility. A Go from an independent branch reviewing only the document — not the full framework — confirms the document can stand alone.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Part II — Q Factor: Complete Derivation</w:t>
      </w:r>
    </w:p>
    <w:p>
      <w:pPr>
        <w:spacing w:before="0" w:after="160" w:line="276"/>
        <w:jc w:val="both"/>
      </w:pPr>
      <w:r>
        <w:rPr>
          <w:rFonts w:ascii="Georgia" w:cs="Georgia" w:eastAsia="Georgia" w:hAnsi="Georgia"/>
          <w:b w:val="false"/>
          <w:bCs w:val="false"/>
          <w:i w:val="false"/>
          <w:iCs w:val="false"/>
          <w:color w:val="000000"/>
          <w:sz w:val="24"/>
          <w:szCs w:val="24"/>
        </w:rPr>
        <w:t xml:space="preserve">The v2 document established the Q factor governance analogy and added the sensitivity formula ∂C/∂Q = -ρᵢ/Qᵢ². This section completes the derivation with the system-level weighted Q, the s ~ 1/Q structural link, the drift rate conjecture, and the sensitivity to characteristic timescale.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II.1  System Q — weighted portfolio average</w:t>
      </w:r>
    </w:p>
    <w:p>
      <w:pPr>
        <w:spacing w:before="0" w:after="160" w:line="276"/>
        <w:jc w:val="both"/>
      </w:pPr>
      <w:r>
        <w:rPr>
          <w:rFonts w:ascii="Georgia" w:cs="Georgia" w:eastAsia="Georgia" w:hAnsi="Georgia"/>
          <w:b w:val="false"/>
          <w:bCs w:val="false"/>
          <w:i w:val="false"/>
          <w:iCs w:val="false"/>
          <w:color w:val="000000"/>
          <w:sz w:val="24"/>
          <w:szCs w:val="24"/>
        </w:rPr>
        <w:t xml:space="preserve">The element-level Q factor is Q_i = T_char,i / T_obs. The system-level Q is the portfolio-weighted average: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Q_system = ∑ᵢ ρᵢ · Qᵢ     (weighted by observed shares, ∑ρᵢ = 1)</w:t>
      </w:r>
    </w:p>
    <w:p>
      <w:pPr>
        <w:spacing w:before="0" w:after="160" w:line="276"/>
        <w:jc w:val="both"/>
      </w:pPr>
      <w:r>
        <w:rPr>
          <w:rFonts w:ascii="Georgia" w:cs="Georgia" w:eastAsia="Georgia" w:hAnsi="Georgia"/>
          <w:b w:val="false"/>
          <w:bCs w:val="false"/>
          <w:i w:val="false"/>
          <w:iCs w:val="false"/>
          <w:color w:val="000000"/>
          <w:sz w:val="24"/>
          <w:szCs w:val="24"/>
        </w:rPr>
        <w:t xml:space="preserve">This is the Q analog of the portfolio's effective characteristic timescale. A high Q_system indicates that the portfolio is dominated by long-cycle elements relative to the observation window — the system is operating in a regime where snapshots will systematically undervalue the dominant contributors. A low Q_system indicates that the observation window is well-matched to the portfolio's dynamics.</w:t>
      </w:r>
    </w:p>
    <w:p>
      <w:pPr>
        <w:spacing w:before="0" w:after="160" w:line="276"/>
        <w:jc w:val="both"/>
      </w:pPr>
      <w:r>
        <w:rPr>
          <w:rFonts w:ascii="Georgia" w:cs="Georgia" w:eastAsia="Georgia" w:hAnsi="Georgia"/>
          <w:b w:val="false"/>
          <w:bCs w:val="false"/>
          <w:i w:val="false"/>
          <w:iCs w:val="false"/>
          <w:color w:val="000000"/>
          <w:sz w:val="24"/>
          <w:szCs w:val="24"/>
        </w:rPr>
        <w:t xml:space="preserve">For the Croatia Ramsar portfolio (T_obs = 3 years, Ramsar triennial cycle):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Lonjsko Polje:  T_char ~ 15 yr  →  Q = 5.0   (flood cycle, restoration timescale)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Kopački Rit:    T_char ~ 10 yr  →  Q = 3.3   (Danube flood pulse)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Crna Mlaka:     T_char ~ 20 yr  →  Q = 6.7   (endemic species recovery)</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Q_system ≈ 0.54·5.0 + 0.26·3.3 + 0.0067·6.7 + ... ≈ 3.7  (Ramsar pilot estimate)</w:t>
      </w:r>
    </w:p>
    <w:p>
      <w:pPr>
        <w:spacing w:before="0" w:after="160" w:line="276"/>
        <w:jc w:val="both"/>
      </w:pPr>
      <w:r>
        <w:rPr>
          <w:rFonts w:ascii="Georgia" w:cs="Georgia" w:eastAsia="Georgia" w:hAnsi="Georgia"/>
          <w:b w:val="false"/>
          <w:bCs w:val="false"/>
          <w:i w:val="false"/>
          <w:iCs w:val="false"/>
          <w:color w:val="000000"/>
          <w:sz w:val="24"/>
          <w:szCs w:val="24"/>
        </w:rPr>
        <w:t xml:space="preserve">Q_system ≈ 3.7 for the Croatia portfolio means the triennial observation window captures approximately 1/3.7 ≈ 27% of the typical contribution cycle. Cross-cycle tracking across at least Q_system cycles (~11 years, approximately four Ramsar triennial reporting periods) is required to characterize the portfolio's full contribution dynamics.</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II.2  The s ~ 1/Q structural link</w:t>
      </w:r>
    </w:p>
    <w:p>
      <w:pPr>
        <w:spacing w:before="0" w:after="160" w:line="276"/>
        <w:jc w:val="both"/>
      </w:pPr>
      <w:r>
        <w:rPr>
          <w:rFonts w:ascii="Georgia" w:cs="Georgia" w:eastAsia="Georgia" w:hAnsi="Georgia"/>
          <w:b w:val="false"/>
          <w:bCs w:val="false"/>
          <w:i w:val="false"/>
          <w:iCs w:val="false"/>
          <w:color w:val="000000"/>
          <w:sz w:val="24"/>
          <w:szCs w:val="24"/>
        </w:rPr>
        <w:t xml:space="preserve">The most significant new connection from the Grok branch is the relationship between the sustainability discount s in the Ostrom-HUF Axiom and the Q factor. Grok identified:</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s  ~  1 / Q_i     (sustainability discount as inverse Q, conjectural)</w:t>
      </w:r>
    </w:p>
    <w:p>
      <w:pPr>
        <w:spacing w:before="0" w:after="160" w:line="276"/>
        <w:jc w:val="both"/>
      </w:pPr>
      <w:r>
        <w:rPr>
          <w:rFonts w:ascii="Georgia" w:cs="Georgia" w:eastAsia="Georgia" w:hAnsi="Georgia"/>
          <w:b w:val="false"/>
          <w:bCs w:val="false"/>
          <w:i w:val="false"/>
          <w:iCs w:val="false"/>
          <w:color w:val="000000"/>
          <w:sz w:val="24"/>
          <w:szCs w:val="24"/>
        </w:rPr>
        <w:t xml:space="preserve">The governance interpretation: the sustainability discount s measures the rate at which a governance element's contribution degrades per reporting cycle — the rate at which the system loses value from drift, degradation, or deprioritization. For a high-Q element (long characteristic cycle), the degradation rate per cycle is low: the element's contribution, though narrow-band, persists slowly. For a low-Q element (short cycle, quickly observable), the degradation rate per cycle is higher — its contribution can appear and disappear within a single reporting window.</w:t>
      </w:r>
    </w:p>
    <w:p>
      <w:pPr>
        <w:spacing w:before="0" w:after="160" w:line="276"/>
        <w:jc w:val="both"/>
      </w:pPr>
      <w:r>
        <w:rPr>
          <w:rFonts w:ascii="Georgia" w:cs="Georgia" w:eastAsia="Georgia" w:hAnsi="Georgia"/>
          <w:b w:val="false"/>
          <w:bCs w:val="false"/>
          <w:i w:val="false"/>
          <w:iCs w:val="false"/>
          <w:color w:val="000000"/>
          <w:sz w:val="24"/>
          <w:szCs w:val="24"/>
        </w:rPr>
        <w:t xml:space="preserve">Substituting into the Ostrom-HUF Axiom:</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P_eq = η / (1-s)  ≈  η / (1 - 1/Q)  =  η · Q / (Q-1)</w:t>
      </w:r>
    </w:p>
    <w:p>
      <w:pPr>
        <w:spacing w:before="0" w:after="160" w:line="276"/>
        <w:jc w:val="both"/>
      </w:pPr>
      <w:r>
        <w:rPr>
          <w:rFonts w:ascii="Georgia" w:cs="Georgia" w:eastAsia="Georgia" w:hAnsi="Georgia"/>
          <w:b w:val="false"/>
          <w:bCs w:val="false"/>
          <w:i w:val="false"/>
          <w:iCs w:val="false"/>
          <w:color w:val="000000"/>
          <w:sz w:val="24"/>
          <w:szCs w:val="24"/>
        </w:rPr>
        <w:t xml:space="preserve">This gives the equilibrium equity as a function of Q. For Q &gt;&gt; 1 (high-Q element, long cycle):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P_eq  ≈  η  (efficiency determines equity; slow degradation is negligible)</w:t>
      </w:r>
    </w:p>
    <w:p>
      <w:pPr>
        <w:spacing w:before="0" w:after="160" w:line="276"/>
        <w:jc w:val="both"/>
      </w:pPr>
      <w:r>
        <w:rPr>
          <w:rFonts w:ascii="Georgia" w:cs="Georgia" w:eastAsia="Georgia" w:hAnsi="Georgia"/>
          <w:b w:val="false"/>
          <w:bCs w:val="false"/>
          <w:i w:val="false"/>
          <w:iCs w:val="false"/>
          <w:color w:val="000000"/>
          <w:sz w:val="24"/>
          <w:szCs w:val="24"/>
        </w:rPr>
        <w:t xml:space="preserve">For Q approaching 1 (element cycle matches observation cycle — borderline case):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P_eq → ∞  (singular — equity collapses; the element cannot sustain positive equity under single-cycle observation)</w:t>
      </w:r>
    </w:p>
    <w:p>
      <w:pPr>
        <w:spacing w:before="0" w:after="160" w:line="276"/>
        <w:jc w:val="both"/>
      </w:pPr>
      <w:r>
        <w:rPr>
          <w:rFonts w:ascii="Georgia" w:cs="Georgia" w:eastAsia="Georgia" w:hAnsi="Georgia"/>
          <w:b w:val="false"/>
          <w:bCs w:val="false"/>
          <w:i w:val="false"/>
          <w:iCs w:val="false"/>
          <w:color w:val="000000"/>
          <w:sz w:val="24"/>
          <w:szCs w:val="24"/>
        </w:rPr>
        <w:t xml:space="preserve">For Q &lt; 1 (element cycle shorter than observation window — element is oversampled):</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P_eq  negative  (equity formula breaks down; this regime is outside the model's domain)</w:t>
      </w:r>
    </w:p>
    <w:p>
      <w:pPr>
        <w:spacing w:before="200" w:after="60" w:line="276"/>
        <w:jc w:val="both"/>
      </w:pPr>
      <w:r>
        <w:rPr>
          <w:rFonts w:ascii="Arial" w:cs="Arial" w:eastAsia="Arial" w:hAnsi="Arial"/>
          <w:b/>
          <w:bCs/>
          <w:i w:val="false"/>
          <w:iCs w:val="false"/>
          <w:color w:val="666666"/>
          <w:sz w:val="24"/>
          <w:szCs w:val="24"/>
        </w:rPr>
        <w:t xml:space="preserve">Conjecture G.9  </w:t>
      </w:r>
      <w:r>
        <w:rPr>
          <w:rFonts w:ascii="Georgia" w:cs="Georgia" w:eastAsia="Georgia" w:hAnsi="Georgia"/>
          <w:b w:val="false"/>
          <w:bCs w:val="false"/>
          <w:i/>
          <w:iCs/>
          <w:color w:val="666666"/>
          <w:sz w:val="24"/>
          <w:szCs w:val="24"/>
        </w:rPr>
        <w:t xml:space="preserve">(s ~ 1/Q as structural link).</w:t>
      </w:r>
    </w:p>
    <w:p>
      <w:pPr>
        <w:spacing w:before="0" w:after="60" w:line="276"/>
        <w:ind w:left="720" w:right="720"/>
        <w:jc w:val="both"/>
      </w:pPr>
      <w:r>
        <w:rPr>
          <w:rFonts w:ascii="Arial" w:cs="Arial" w:eastAsia="Arial" w:hAnsi="Arial"/>
          <w:b/>
          <w:bCs/>
          <w:i w:val="false"/>
          <w:iCs w:val="false"/>
          <w:color w:val="888888"/>
          <w:sz w:val="20"/>
          <w:szCs w:val="20"/>
        </w:rPr>
        <w:t xml:space="preserve">[CONJECTURE — requires empirical validation]  </w:t>
      </w:r>
      <w:r>
        <w:rPr>
          <w:rFonts w:ascii="Georgia" w:cs="Georgia" w:eastAsia="Georgia" w:hAnsi="Georgia"/>
          <w:b w:val="false"/>
          <w:bCs w:val="false"/>
          <w:i/>
          <w:iCs/>
          <w:color w:val="555555"/>
          <w:sz w:val="24"/>
          <w:szCs w:val="24"/>
        </w:rPr>
        <w:t xml:space="preserve">The sustainability discount s in the Ostrom-HUF Axiom is approximated by 1/Q_i for element i, connecting the equity propagation model to the acoustic Q factor via the inverse relationship s ~ 1/Q. This gives P_eq ≈ η·Q/(Q-1) for Q &gt; 1, converging to P_eq ≈ η as Q → ∞. Empirical validation requires measuring the actual degradation rate s for known-Q elements across multiple reporting cycles.</w:t>
      </w:r>
    </w:p>
    <w:p>
      <w:pPr>
        <w:spacing w:before="60" w:after="120" w:line="276"/>
        <w:ind w:left="720" w:right="720"/>
        <w:jc w:val="both"/>
      </w:pPr>
      <w:r>
        <w:rPr>
          <w:rFonts w:ascii="Georgia" w:cs="Georgia" w:eastAsia="Georgia" w:hAnsi="Georgia"/>
          <w:b/>
          <w:bCs/>
          <w:i/>
          <w:iCs/>
          <w:color w:val="000000"/>
          <w:sz w:val="24"/>
          <w:szCs w:val="24"/>
        </w:rPr>
        <w:t xml:space="preserve">Remark.  </w:t>
      </w:r>
      <w:r>
        <w:rPr>
          <w:rFonts w:ascii="Georgia" w:cs="Georgia" w:eastAsia="Georgia" w:hAnsi="Georgia"/>
          <w:b w:val="false"/>
          <w:bCs w:val="false"/>
          <w:i/>
          <w:iCs/>
          <w:color w:val="000000"/>
          <w:sz w:val="24"/>
          <w:szCs w:val="24"/>
        </w:rPr>
        <w:t xml:space="preserve">The singularity at Q = 1 is the formal expression of the snapshot error boundary. An element whose characteristic cycle exactly matches the observation window is in the most dangerous governance regime: it will appear fully observable in some cycles (when observed at its peak) and completely absent in others (when observed at its trough). The portfolio change log is the only instrument that can distinguish these states. This is why cross-cycle observation is not optional but necessary.</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II.3  Drift rate from Q — the d = 1 - 1/Q conjecture</w:t>
      </w:r>
    </w:p>
    <w:p>
      <w:pPr>
        <w:spacing w:before="0" w:after="160" w:line="276"/>
        <w:jc w:val="both"/>
      </w:pPr>
      <w:r>
        <w:rPr>
          <w:rFonts w:ascii="Georgia" w:cs="Georgia" w:eastAsia="Georgia" w:hAnsi="Georgia"/>
          <w:b w:val="false"/>
          <w:bCs w:val="false"/>
          <w:i w:val="false"/>
          <w:iCs w:val="false"/>
          <w:color w:val="000000"/>
          <w:sz w:val="24"/>
          <w:szCs w:val="24"/>
        </w:rPr>
        <w:t xml:space="preserve">Grok identified a conjectural connection between the Q factor and the ethical drift rate d in the Ostrom-HUF Corollary:</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d  =  1 - 1/Q     (ethical drift rate as function of Q, conjectural)</w:t>
      </w:r>
    </w:p>
    <w:p>
      <w:pPr>
        <w:spacing w:before="0" w:after="160" w:line="276"/>
        <w:jc w:val="both"/>
      </w:pPr>
      <w:r>
        <w:rPr>
          <w:rFonts w:ascii="Georgia" w:cs="Georgia" w:eastAsia="Georgia" w:hAnsi="Georgia"/>
          <w:b w:val="false"/>
          <w:bCs w:val="false"/>
          <w:i w:val="false"/>
          <w:iCs w:val="false"/>
          <w:color w:val="000000"/>
          <w:sz w:val="24"/>
          <w:szCs w:val="24"/>
        </w:rPr>
        <w:t xml:space="preserve">For Q &gt;&gt; 1 (high-Q element): d ≈ 1 — the drift persists across cycles. Each cycle's unaddressed drift is retained into the next at near-full strength.</w:t>
      </w:r>
    </w:p>
    <w:p>
      <w:pPr>
        <w:spacing w:before="0" w:after="160" w:line="276"/>
        <w:jc w:val="both"/>
      </w:pPr>
      <w:r>
        <w:rPr>
          <w:rFonts w:ascii="Georgia" w:cs="Georgia" w:eastAsia="Georgia" w:hAnsi="Georgia"/>
          <w:b w:val="false"/>
          <w:bCs w:val="false"/>
          <w:i w:val="false"/>
          <w:iCs w:val="false"/>
          <w:color w:val="000000"/>
          <w:sz w:val="24"/>
          <w:szCs w:val="24"/>
        </w:rPr>
        <w:t xml:space="preserve">For Q = 2: d = 0.5 — drift decays by 50% per cycle under passive attention.</w:t>
      </w:r>
    </w:p>
    <w:p>
      <w:pPr>
        <w:spacing w:before="0" w:after="160" w:line="276"/>
        <w:jc w:val="both"/>
      </w:pPr>
      <w:r>
        <w:rPr>
          <w:rFonts w:ascii="Georgia" w:cs="Georgia" w:eastAsia="Georgia" w:hAnsi="Georgia"/>
          <w:b w:val="false"/>
          <w:bCs w:val="false"/>
          <w:i w:val="false"/>
          <w:iCs w:val="false"/>
          <w:color w:val="000000"/>
          <w:sz w:val="24"/>
          <w:szCs w:val="24"/>
        </w:rPr>
        <w:t xml:space="preserve">For Q = 1: d = 0 — drift disappears within one cycle (element is fully visible in snapshots).</w:t>
      </w:r>
    </w:p>
    <w:p>
      <w:pPr>
        <w:spacing w:before="200" w:after="60" w:line="276"/>
        <w:jc w:val="both"/>
      </w:pPr>
      <w:r>
        <w:rPr>
          <w:rFonts w:ascii="Arial" w:cs="Arial" w:eastAsia="Arial" w:hAnsi="Arial"/>
          <w:b/>
          <w:bCs/>
          <w:i w:val="false"/>
          <w:iCs w:val="false"/>
          <w:color w:val="666666"/>
          <w:sz w:val="24"/>
          <w:szCs w:val="24"/>
        </w:rPr>
        <w:t xml:space="preserve">Conjecture G.10  </w:t>
      </w:r>
      <w:r>
        <w:rPr>
          <w:rFonts w:ascii="Georgia" w:cs="Georgia" w:eastAsia="Georgia" w:hAnsi="Georgia"/>
          <w:b w:val="false"/>
          <w:bCs w:val="false"/>
          <w:i/>
          <w:iCs/>
          <w:color w:val="666666"/>
          <w:sz w:val="24"/>
          <w:szCs w:val="24"/>
        </w:rPr>
        <w:t xml:space="preserve">(d = 1 - 1/Q drift rate).</w:t>
      </w:r>
    </w:p>
    <w:p>
      <w:pPr>
        <w:spacing w:before="0" w:after="60" w:line="276"/>
        <w:ind w:left="720" w:right="720"/>
        <w:jc w:val="both"/>
      </w:pPr>
      <w:r>
        <w:rPr>
          <w:rFonts w:ascii="Arial" w:cs="Arial" w:eastAsia="Arial" w:hAnsi="Arial"/>
          <w:b/>
          <w:bCs/>
          <w:i w:val="false"/>
          <w:iCs w:val="false"/>
          <w:color w:val="888888"/>
          <w:sz w:val="20"/>
          <w:szCs w:val="20"/>
        </w:rPr>
        <w:t xml:space="preserve">[CONJECTURE — requires empirical validation]  </w:t>
      </w:r>
      <w:r>
        <w:rPr>
          <w:rFonts w:ascii="Georgia" w:cs="Georgia" w:eastAsia="Georgia" w:hAnsi="Georgia"/>
          <w:b w:val="false"/>
          <w:bCs w:val="false"/>
          <w:i/>
          <w:iCs/>
          <w:color w:val="555555"/>
          <w:sz w:val="24"/>
          <w:szCs w:val="24"/>
        </w:rPr>
        <w:t xml:space="preserve">The ethical drift rate d in the Ostrom-HUF Corollary is given by d = 1 - 1/Q for Q &gt; 1, connecting the chaotic drift bound δ_m ≤ δ_0·d^m to the acoustic Q factor. High-Q elements retain their drift across cycles; low-Q elements are self-correcting within the observation window. Validation requires multi-cycle drift measurement for elements with known Q values.</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II.4  Sensitivity to characteristic timescale</w:t>
      </w:r>
    </w:p>
    <w:p>
      <w:pPr>
        <w:spacing w:before="0" w:after="160" w:line="276"/>
        <w:jc w:val="both"/>
      </w:pPr>
      <w:r>
        <w:rPr>
          <w:rFonts w:ascii="Georgia" w:cs="Georgia" w:eastAsia="Georgia" w:hAnsi="Georgia"/>
          <w:b w:val="false"/>
          <w:bCs w:val="false"/>
          <w:i w:val="false"/>
          <w:iCs w:val="false"/>
          <w:color w:val="000000"/>
          <w:sz w:val="24"/>
          <w:szCs w:val="24"/>
        </w:rPr>
        <w:t xml:space="preserve">The sensitivity of the Q factor to changes in the element's characteristic timescale:</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∂Q_i / ∂T_char,i  =  1 / T_obs     (linear sensitivity — proved)</w:t>
      </w:r>
    </w:p>
    <w:p>
      <w:pPr>
        <w:spacing w:before="0" w:after="160" w:line="276"/>
        <w:jc w:val="both"/>
      </w:pPr>
      <w:r>
        <w:rPr>
          <w:rFonts w:ascii="Georgia" w:cs="Georgia" w:eastAsia="Georgia" w:hAnsi="Georgia"/>
          <w:b w:val="false"/>
          <w:bCs w:val="false"/>
          <w:i w:val="false"/>
          <w:iCs w:val="false"/>
          <w:color w:val="000000"/>
          <w:sz w:val="24"/>
          <w:szCs w:val="24"/>
        </w:rPr>
        <w:t xml:space="preserve">This is proved directly from Q_i = T_char,i / T_obs. The governance implication: a one-year increase in a wetland restoration timescale (T_char increases by 1) produces a 1/T_obs increase in Q. For a triennial observation cycle (T_obs = 3 years), the Q sensitivity is 0.33 per year of T_char increase.</w:t>
      </w:r>
    </w:p>
    <w:p>
      <w:pPr>
        <w:spacing w:before="0" w:after="160" w:line="276"/>
        <w:jc w:val="both"/>
      </w:pPr>
      <w:r>
        <w:rPr>
          <w:rFonts w:ascii="Georgia" w:cs="Georgia" w:eastAsia="Georgia" w:hAnsi="Georgia"/>
          <w:b w:val="false"/>
          <w:bCs w:val="false"/>
          <w:i w:val="false"/>
          <w:iCs w:val="false"/>
          <w:color w:val="000000"/>
          <w:sz w:val="24"/>
          <w:szCs w:val="24"/>
        </w:rPr>
        <w:t xml:space="preserve">Uncertainty propagation: if the characteristic timescale estimate has standard deviation σ_Tchar, then:</w:t>
      </w:r>
    </w:p>
    <w:p>
      <w:pPr>
        <w:spacing w:before="120" w:after="120" w:line="276"/>
        <w:jc w:val="center"/>
      </w:pPr>
      <w:r>
        <w:rPr>
          <w:rFonts w:ascii="Courier New" w:cs="Courier New" w:eastAsia="Courier New" w:hAnsi="Courier New"/>
          <w:b w:val="false"/>
          <w:bCs w:val="false"/>
          <w:i w:val="false"/>
          <w:iCs w:val="false"/>
          <w:color w:val="000000"/>
          <w:sz w:val="26"/>
          <w:szCs w:val="26"/>
        </w:rPr>
        <w:t xml:space="preserve">σ_Q  =  σ_Tchar / T_obs</w:t>
      </w:r>
    </w:p>
    <w:p>
      <w:pPr>
        <w:spacing w:before="0" w:after="160" w:line="276"/>
        <w:jc w:val="both"/>
      </w:pPr>
      <w:r>
        <w:rPr>
          <w:rFonts w:ascii="Georgia" w:cs="Georgia" w:eastAsia="Georgia" w:hAnsi="Georgia"/>
          <w:b w:val="false"/>
          <w:bCs w:val="false"/>
          <w:i w:val="false"/>
          <w:iCs w:val="false"/>
          <w:color w:val="000000"/>
          <w:sz w:val="24"/>
          <w:szCs w:val="24"/>
        </w:rPr>
        <w:t xml:space="preserve">For σ_Tchar = 2 years (uncertainty in Neretva Delta restoration timescale), σ_Q = 0.67. This means the Q classification (low/medium/high) carries ±0.67 uncertainty in the Q value — the boundary between medium-Q (10–100) and high-Q (&gt;100) regimes must be interpreted with this uncertainty in mind.</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Part III — Q Factor Domain Applications</w:t>
      </w:r>
    </w:p>
    <w:p>
      <w:pPr>
        <w:spacing w:before="0" w:after="160" w:line="276"/>
        <w:jc w:val="both"/>
      </w:pPr>
      <w:r>
        <w:rPr>
          <w:rFonts w:ascii="Georgia" w:cs="Georgia" w:eastAsia="Georgia" w:hAnsi="Georgia"/>
          <w:b w:val="false"/>
          <w:bCs w:val="false"/>
          <w:i w:val="false"/>
          <w:iCs w:val="false"/>
          <w:color w:val="000000"/>
          <w:sz w:val="24"/>
          <w:szCs w:val="24"/>
        </w:rPr>
        <w:t xml:space="preserve">The following table records the Q factor application examples identified by Grok across five governance domains. All domain-specific numerical estimates are conjectural pending empirical validation. The taxonomy column links each to the existing Q-factor classification (Layer 9 of the HUF Taxonomy).</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3"/>
        <w:spacing w:before="200" w:after="100"/>
      </w:pPr>
      <w:r>
        <w:rPr>
          <w:rFonts w:ascii="Arial" w:cs="Arial" w:eastAsia="Arial" w:hAnsi="Arial"/>
          <w:b/>
          <w:bCs/>
          <w:i/>
          <w:iCs/>
          <w:color w:val="555555"/>
          <w:sz w:val="26"/>
          <w:szCs w:val="26"/>
        </w:rPr>
        <w:t xml:space="preserve">Governance — Ramsar Wetlands</w:t>
      </w:r>
    </w:p>
    <w:p>
      <w:pPr>
        <w:spacing w:before="0" w:after="160" w:line="276"/>
        <w:jc w:val="both"/>
      </w:pPr>
      <w:r>
        <w:rPr>
          <w:rFonts w:ascii="Georgia" w:cs="Georgia" w:eastAsia="Georgia" w:hAnsi="Georgia"/>
          <w:b w:val="false"/>
          <w:bCs w:val="false"/>
          <w:i w:val="false"/>
          <w:iCs w:val="false"/>
          <w:color w:val="000000"/>
          <w:sz w:val="24"/>
          <w:szCs w:val="24"/>
        </w:rPr>
        <w:t xml:space="preserve">High-Q element example: biodiversity restoration cycle T_char = 20 years, T_obs = 1 year (annual report), Q = 0.05 (in inverse governance convention — this reads as extremely high undervaluation risk in the annual snapshot).</w:t>
      </w:r>
    </w:p>
    <w:p>
      <w:pPr>
        <w:spacing w:before="0" w:after="160" w:line="276"/>
        <w:jc w:val="both"/>
      </w:pPr>
      <w:r>
        <w:rPr>
          <w:rFonts w:ascii="Georgia" w:cs="Georgia" w:eastAsia="Georgia" w:hAnsi="Georgia"/>
          <w:b w:val="false"/>
          <w:bCs w:val="false"/>
          <w:i w:val="false"/>
          <w:iCs w:val="false"/>
          <w:color w:val="000000"/>
          <w:sz w:val="24"/>
          <w:szCs w:val="24"/>
        </w:rPr>
        <w:t xml:space="preserve">Restatement in HUF convention (T_char / T_obs): Q = 20, leverage = 149 for Crna Mlaka. Cross-cycle observation requirement: at least 20 reporting cycles to characterize the full contribution.</w:t>
      </w:r>
    </w:p>
    <w:p>
      <w:pPr>
        <w:spacing w:before="0" w:after="160" w:line="276"/>
        <w:jc w:val="both"/>
      </w:pPr>
      <w:r>
        <w:rPr>
          <w:rFonts w:ascii="Georgia" w:cs="Georgia" w:eastAsia="Georgia" w:hAnsi="Georgia"/>
          <w:b w:val="false"/>
          <w:bCs w:val="false"/>
          <w:i w:val="false"/>
          <w:iCs w:val="false"/>
          <w:color w:val="000000"/>
          <w:sz w:val="24"/>
          <w:szCs w:val="24"/>
        </w:rPr>
        <w:t xml:space="preserve">Equity implication (conjectural): weighted Q_avg &gt; 5 for the Croatia portfolio bounds Gini &lt; 0.2 (Proposition 5.31). The equity bound is maintained if cross-cycle observation is applied consistently.</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3"/>
        <w:spacing w:before="200" w:after="100"/>
      </w:pPr>
      <w:r>
        <w:rPr>
          <w:rFonts w:ascii="Arial" w:cs="Arial" w:eastAsia="Arial" w:hAnsi="Arial"/>
          <w:b/>
          <w:bCs/>
          <w:i/>
          <w:iCs/>
          <w:color w:val="555555"/>
          <w:sz w:val="26"/>
          <w:szCs w:val="26"/>
        </w:rPr>
        <w:t xml:space="preserve">Science — Fusion Plasma</w:t>
      </w:r>
    </w:p>
    <w:p>
      <w:pPr>
        <w:spacing w:before="0" w:after="160" w:line="276"/>
        <w:jc w:val="both"/>
      </w:pPr>
      <w:r>
        <w:rPr>
          <w:rFonts w:ascii="Georgia" w:cs="Georgia" w:eastAsia="Georgia" w:hAnsi="Georgia"/>
          <w:b w:val="false"/>
          <w:bCs w:val="false"/>
          <w:i w:val="false"/>
          <w:iCs w:val="false"/>
          <w:color w:val="000000"/>
          <w:sz w:val="24"/>
          <w:szCs w:val="24"/>
        </w:rPr>
        <w:t xml:space="preserve">High-Q analogy: stable plasma confinement states have narrow bandwidth (Δf small), making them high-Q in the acoustic sense. Undervalued in short experiments relative to their long-term confinement value.</w:t>
      </w:r>
    </w:p>
    <w:p>
      <w:pPr>
        <w:spacing w:before="0" w:after="160" w:line="276"/>
        <w:jc w:val="both"/>
      </w:pPr>
      <w:r>
        <w:rPr>
          <w:rFonts w:ascii="Georgia" w:cs="Georgia" w:eastAsia="Georgia" w:hAnsi="Georgia"/>
          <w:b w:val="false"/>
          <w:bCs w:val="false"/>
          <w:i w:val="false"/>
          <w:iCs w:val="false"/>
          <w:color w:val="000000"/>
          <w:sz w:val="24"/>
          <w:szCs w:val="24"/>
        </w:rPr>
        <w:t xml:space="preserve">HUF application (conjectural): model plasma state contributions as portfolio shares. High-Q stable states receive disproportionately low share in short-run optimization. The leverage flag would identify these states as requiring phase-aware allocation.</w:t>
      </w:r>
    </w:p>
    <w:p>
      <w:pPr>
        <w:spacing w:before="0" w:after="160" w:line="276"/>
        <w:jc w:val="both"/>
      </w:pPr>
      <w:r>
        <w:rPr>
          <w:rFonts w:ascii="Georgia" w:cs="Georgia" w:eastAsia="Georgia" w:hAnsi="Georgia"/>
          <w:b w:val="false"/>
          <w:bCs w:val="false"/>
          <w:i w:val="false"/>
          <w:iCs w:val="false"/>
          <w:color w:val="000000"/>
          <w:sz w:val="24"/>
          <w:szCs w:val="24"/>
        </w:rPr>
        <w:t xml:space="preserve">Bound (from Grok, conjectural): Var &lt; 0.005 (Lemma 5.30) for stable plasma regime allocation.</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3"/>
        <w:spacing w:before="200" w:after="100"/>
      </w:pPr>
      <w:r>
        <w:rPr>
          <w:rFonts w:ascii="Arial" w:cs="Arial" w:eastAsia="Arial" w:hAnsi="Arial"/>
          <w:b/>
          <w:bCs/>
          <w:i/>
          <w:iCs/>
          <w:color w:val="555555"/>
          <w:sz w:val="26"/>
          <w:szCs w:val="26"/>
        </w:rPr>
        <w:t xml:space="preserve">Industry — Supply Chains</w:t>
      </w:r>
    </w:p>
    <w:p>
      <w:pPr>
        <w:spacing w:before="0" w:after="160" w:line="276"/>
        <w:jc w:val="both"/>
      </w:pPr>
      <w:r>
        <w:rPr>
          <w:rFonts w:ascii="Georgia" w:cs="Georgia" w:eastAsia="Georgia" w:hAnsi="Georgia"/>
          <w:b w:val="false"/>
          <w:bCs w:val="false"/>
          <w:i w:val="false"/>
          <w:iCs w:val="false"/>
          <w:color w:val="000000"/>
          <w:sz w:val="24"/>
          <w:szCs w:val="24"/>
        </w:rPr>
        <w:t xml:space="preserve">High-Q analogy: strategic long-lead suppliers (T_char = 12 months lead time, T_obs = quarterly review). Q = 4 in HUF convention. Discarded in quarterly audit cycles for spot-market low-Q alternatives.</w:t>
      </w:r>
    </w:p>
    <w:p>
      <w:pPr>
        <w:spacing w:before="0" w:after="160" w:line="276"/>
        <w:jc w:val="both"/>
      </w:pPr>
      <w:r>
        <w:rPr>
          <w:rFonts w:ascii="Georgia" w:cs="Georgia" w:eastAsia="Georgia" w:hAnsi="Georgia"/>
          <w:b w:val="false"/>
          <w:bCs w:val="false"/>
          <w:i w:val="false"/>
          <w:iCs w:val="false"/>
          <w:color w:val="000000"/>
          <w:sz w:val="24"/>
          <w:szCs w:val="24"/>
        </w:rPr>
        <w:t xml:space="preserve">HUF application: leverage flag for high-Q strategic suppliers. A supplier with 2% procurement share has leverage 50. The concentration trap (FM-4) is triggered when low-Q commodity sourcing crowds out the high-Q strategic relationship without a recorded governance decision.</w:t>
      </w:r>
    </w:p>
    <w:p>
      <w:pPr>
        <w:spacing w:before="0" w:after="160" w:line="276"/>
        <w:jc w:val="both"/>
      </w:pPr>
      <w:r>
        <w:rPr>
          <w:rFonts w:ascii="Georgia" w:cs="Georgia" w:eastAsia="Georgia" w:hAnsi="Georgia"/>
          <w:b w:val="false"/>
          <w:bCs w:val="false"/>
          <w:i w:val="false"/>
          <w:iCs w:val="false"/>
          <w:color w:val="000000"/>
          <w:sz w:val="24"/>
          <w:szCs w:val="24"/>
        </w:rPr>
        <w:t xml:space="preserve">Drift bound (conjectural): δ &lt; 0.05 per quarter under Q-sensitive allocation with closed feedback.</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3"/>
        <w:spacing w:before="200" w:after="100"/>
      </w:pPr>
      <w:r>
        <w:rPr>
          <w:rFonts w:ascii="Arial" w:cs="Arial" w:eastAsia="Arial" w:hAnsi="Arial"/>
          <w:b/>
          <w:bCs/>
          <w:i/>
          <w:iCs/>
          <w:color w:val="555555"/>
          <w:sz w:val="26"/>
          <w:szCs w:val="26"/>
        </w:rPr>
        <w:t xml:space="preserve">Critical Infrastructure — Networks</w:t>
      </w:r>
    </w:p>
    <w:p>
      <w:pPr>
        <w:spacing w:before="0" w:after="160" w:line="276"/>
        <w:jc w:val="both"/>
      </w:pPr>
      <w:r>
        <w:rPr>
          <w:rFonts w:ascii="Georgia" w:cs="Georgia" w:eastAsia="Georgia" w:hAnsi="Georgia"/>
          <w:b w:val="false"/>
          <w:bCs w:val="false"/>
          <w:i w:val="false"/>
          <w:iCs w:val="false"/>
          <w:color w:val="000000"/>
          <w:sz w:val="24"/>
          <w:szCs w:val="24"/>
        </w:rPr>
        <w:t xml:space="preserve">High-Q analogy: robust backbone nodes (bridges, substations, data exchanges) have slow change cycles (T_char = decades) and high leverage. Undervalued in real-time operational monitoring focused on fast-changing edge nodes.</w:t>
      </w:r>
    </w:p>
    <w:p>
      <w:pPr>
        <w:spacing w:before="0" w:after="160" w:line="276"/>
        <w:jc w:val="both"/>
      </w:pPr>
      <w:r>
        <w:rPr>
          <w:rFonts w:ascii="Georgia" w:cs="Georgia" w:eastAsia="Georgia" w:hAnsi="Georgia"/>
          <w:b w:val="false"/>
          <w:bCs w:val="false"/>
          <w:i w:val="false"/>
          <w:iCs w:val="false"/>
          <w:color w:val="000000"/>
          <w:sz w:val="24"/>
          <w:szCs w:val="24"/>
        </w:rPr>
        <w:t xml:space="preserve">HUF application: portfolio share table for infrastructure capacity allocation. High-Q backbone nodes should hold declared minimum shares below which the orphan alert triggers. The coverage record documents any deprioritization with explicit rationale.</w:t>
      </w:r>
    </w:p>
    <w:p>
      <w:pPr>
        <w:spacing w:before="0" w:after="160" w:line="276"/>
        <w:jc w:val="both"/>
      </w:pPr>
      <w:r>
        <w:rPr>
          <w:rFonts w:ascii="Georgia" w:cs="Georgia" w:eastAsia="Georgia" w:hAnsi="Georgia"/>
          <w:b w:val="false"/>
          <w:bCs w:val="false"/>
          <w:i w:val="false"/>
          <w:iCs w:val="false"/>
          <w:color w:val="000000"/>
          <w:sz w:val="24"/>
          <w:szCs w:val="24"/>
        </w:rPr>
        <w:t xml:space="preserve">Bound (conjectural): ethical drift ΔE_m ≤ 0.019 for networks with Q &gt; 10, from Corollary 5.29.</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3"/>
        <w:spacing w:before="200" w:after="100"/>
      </w:pPr>
      <w:r>
        <w:rPr>
          <w:rFonts w:ascii="Arial" w:cs="Arial" w:eastAsia="Arial" w:hAnsi="Arial"/>
          <w:b/>
          <w:bCs/>
          <w:i/>
          <w:iCs/>
          <w:color w:val="555555"/>
          <w:sz w:val="26"/>
          <w:szCs w:val="26"/>
        </w:rPr>
        <w:t xml:space="preserve">Research — Quantum Analogies [HIGHLY CONJECTURAL]</w:t>
      </w:r>
    </w:p>
    <w:p>
      <w:pPr>
        <w:spacing w:before="0" w:after="160" w:line="276"/>
        <w:jc w:val="both"/>
      </w:pPr>
      <w:r>
        <w:rPr>
          <w:rFonts w:ascii="Georgia" w:cs="Georgia" w:eastAsia="Georgia" w:hAnsi="Georgia"/>
          <w:b w:val="false"/>
          <w:bCs w:val="false"/>
          <w:i w:val="false"/>
          <w:iCs w:val="false"/>
          <w:color w:val="000000"/>
          <w:sz w:val="24"/>
          <w:szCs w:val="24"/>
        </w:rPr>
        <w:t xml:space="preserve">High-Q analogy: coherent quantum states have narrow resonance bandwidth. Fracton excitations in topological systems are high-Q in the acoustic sense — they contribute specifically and are destroyed by low-fidelity observation.</w:t>
      </w:r>
    </w:p>
    <w:p>
      <w:pPr>
        <w:spacing w:before="0" w:after="160" w:line="276"/>
        <w:jc w:val="both"/>
      </w:pPr>
      <w:r>
        <w:rPr>
          <w:rFonts w:ascii="Georgia" w:cs="Georgia" w:eastAsia="Georgia" w:hAnsi="Georgia"/>
          <w:b w:val="false"/>
          <w:bCs w:val="false"/>
          <w:i w:val="false"/>
          <w:iCs w:val="false"/>
          <w:color w:val="000000"/>
          <w:sz w:val="24"/>
          <w:szCs w:val="24"/>
        </w:rPr>
        <w:t xml:space="preserve">HUF application (highly conjectural, speculative research direction): model qubit state contributions to computation as portfolio shares. The unity constraint is satisfied by the Born rule. High-Q coherent states are undervalued in noisy measurement regimes analogous to snapshot error.</w:t>
      </w:r>
    </w:p>
    <w:p>
      <w:pPr>
        <w:pBdr>
          <w:left w:val="single" w:color="AA6600" w:sz="6" w:space="8"/>
        </w:pBdr>
        <w:spacing w:before="80" w:after="80" w:line="276"/>
        <w:ind w:left="360" w:right="360"/>
        <w:jc w:val="both"/>
      </w:pPr>
      <w:r>
        <w:rPr>
          <w:rFonts w:ascii="Arial" w:cs="Arial" w:eastAsia="Arial" w:hAnsi="Arial"/>
          <w:b/>
          <w:bCs/>
          <w:i w:val="false"/>
          <w:iCs w:val="false"/>
          <w:color w:val="AA6600"/>
          <w:sz w:val="24"/>
          <w:szCs w:val="24"/>
        </w:rPr>
        <w:t xml:space="preserve">⚑  </w:t>
      </w:r>
      <w:r>
        <w:rPr>
          <w:rFonts w:ascii="Georgia" w:cs="Georgia" w:eastAsia="Georgia" w:hAnsi="Georgia"/>
          <w:b w:val="false"/>
          <w:bCs w:val="false"/>
          <w:i/>
          <w:iCs/>
          <w:color w:val="AA6600"/>
          <w:sz w:val="24"/>
          <w:szCs w:val="24"/>
        </w:rPr>
        <w:t xml:space="preserve">The quantum analogy is a speculative research direction only. No claim is made about HUF's applicability to quantum systems. It is recorded here as a research conjecture from the Grok branch. It does not belong in any pilot or institutional communication.</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Part IV — Complete Proof and Conjecture Status (v2.1)</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120" w:after="80" w:line="276"/>
        <w:ind w:left="720" w:right="720"/>
        <w:jc w:val="both"/>
      </w:pPr>
      <w:r>
        <w:rPr>
          <w:rFonts w:ascii="Arial" w:cs="Arial" w:eastAsia="Arial" w:hAnsi="Arial"/>
          <w:b/>
          <w:bCs/>
          <w:i w:val="false"/>
          <w:iCs w:val="false"/>
          <w:color w:val="000000"/>
          <w:sz w:val="24"/>
          <w:szCs w:val="24"/>
        </w:rPr>
        <w:t xml:space="preserve">Theorem 1.1 (Inversion automorphism).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Theorem 2.1 (Non-linearity).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Theorem 2.2 (Noise elimination).  </w:t>
      </w:r>
      <w:r>
        <w:rPr>
          <w:rFonts w:ascii="Georgia" w:cs="Georgia" w:eastAsia="Georgia" w:hAnsi="Georgia"/>
          <w:b w:val="false"/>
          <w:bCs w:val="false"/>
          <w:i w:val="false"/>
          <w:iCs w:val="false"/>
          <w:color w:val="000000"/>
          <w:sz w:val="24"/>
          <w:szCs w:val="24"/>
        </w:rPr>
        <w:t xml:space="preserve">[PROVED for small noise — v1]</w:t>
      </w:r>
    </w:p>
    <w:p>
      <w:pPr>
        <w:spacing w:before="120" w:after="80" w:line="276"/>
        <w:ind w:left="720" w:right="720"/>
        <w:jc w:val="both"/>
      </w:pPr>
      <w:r>
        <w:rPr>
          <w:rFonts w:ascii="Arial" w:cs="Arial" w:eastAsia="Arial" w:hAnsi="Arial"/>
          <w:b/>
          <w:bCs/>
          <w:i w:val="false"/>
          <w:iCs w:val="false"/>
          <w:color w:val="000000"/>
          <w:sz w:val="24"/>
          <w:szCs w:val="24"/>
        </w:rPr>
        <w:t xml:space="preserve">Theorem 3.1 (Domain invariance).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Theorem 5.1 (Entropy bounds).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Theorem 6.1 (Q-sensitive observation).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Corollary 6.2 (Habitat irreversibility).  </w:t>
      </w:r>
      <w:r>
        <w:rPr>
          <w:rFonts w:ascii="Georgia" w:cs="Georgia" w:eastAsia="Georgia" w:hAnsi="Georgia"/>
          <w:b w:val="false"/>
          <w:bCs w:val="false"/>
          <w:i w:val="false"/>
          <w:iCs w:val="false"/>
          <w:color w:val="000000"/>
          <w:sz w:val="24"/>
          <w:szCs w:val="24"/>
        </w:rPr>
        <w:t xml:space="preserve">[STATED — v1]</w:t>
      </w:r>
    </w:p>
    <w:p>
      <w:pPr>
        <w:spacing w:before="120" w:after="80" w:line="276"/>
        <w:ind w:left="720" w:right="720"/>
        <w:jc w:val="both"/>
      </w:pPr>
      <w:r>
        <w:rPr>
          <w:rFonts w:ascii="Arial" w:cs="Arial" w:eastAsia="Arial" w:hAnsi="Arial"/>
          <w:b/>
          <w:bCs/>
          <w:i w:val="false"/>
          <w:iCs w:val="false"/>
          <w:color w:val="000000"/>
          <w:sz w:val="24"/>
          <w:szCs w:val="24"/>
        </w:rPr>
        <w:t xml:space="preserve">Theorem 7.1 (Ostrom-HUF compatibility).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Theorem 8.1 (Transboundary universality).  </w:t>
      </w:r>
      <w:r>
        <w:rPr>
          <w:rFonts w:ascii="Georgia" w:cs="Georgia" w:eastAsia="Georgia" w:hAnsi="Georgia"/>
          <w:b w:val="false"/>
          <w:bCs w:val="false"/>
          <w:i w:val="false"/>
          <w:iCs w:val="false"/>
          <w:color w:val="000000"/>
          <w:sz w:val="24"/>
          <w:szCs w:val="24"/>
        </w:rPr>
        <w:t xml:space="preserve">[STATED — pending legal analysis — v1]</w:t>
      </w:r>
    </w:p>
    <w:p>
      <w:pPr>
        <w:spacing w:before="120" w:after="80" w:line="276"/>
        <w:ind w:left="720" w:right="720"/>
        <w:jc w:val="both"/>
      </w:pPr>
      <w:r>
        <w:rPr>
          <w:rFonts w:ascii="Arial" w:cs="Arial" w:eastAsia="Arial" w:hAnsi="Arial"/>
          <w:b/>
          <w:bCs/>
          <w:i w:val="false"/>
          <w:iCs w:val="false"/>
          <w:color w:val="000000"/>
          <w:sz w:val="24"/>
          <w:szCs w:val="24"/>
        </w:rPr>
        <w:t xml:space="preserve">Theorem 9.1 (Convergence, linear).  </w:t>
      </w:r>
      <w:r>
        <w:rPr>
          <w:rFonts w:ascii="Georgia" w:cs="Georgia" w:eastAsia="Georgia" w:hAnsi="Georgia"/>
          <w:b w:val="false"/>
          <w:bCs w:val="false"/>
          <w:i w:val="false"/>
          <w:iCs w:val="false"/>
          <w:color w:val="000000"/>
          <w:sz w:val="24"/>
          <w:szCs w:val="24"/>
        </w:rPr>
        <w:t xml:space="preserve">[PROVED — v1]</w:t>
      </w:r>
    </w:p>
    <w:p>
      <w:pPr>
        <w:spacing w:before="120" w:after="80" w:line="276"/>
        <w:ind w:left="720" w:right="720"/>
        <w:jc w:val="both"/>
      </w:pPr>
      <w:r>
        <w:rPr>
          <w:rFonts w:ascii="Arial" w:cs="Arial" w:eastAsia="Arial" w:hAnsi="Arial"/>
          <w:b/>
          <w:bCs/>
          <w:i w:val="false"/>
          <w:iCs w:val="false"/>
          <w:color w:val="000000"/>
          <w:sz w:val="24"/>
          <w:szCs w:val="24"/>
        </w:rPr>
        <w:t xml:space="preserve">Proposition 7.5 (Institutional Memory).  </w:t>
      </w:r>
      <w:r>
        <w:rPr>
          <w:rFonts w:ascii="Georgia" w:cs="Georgia" w:eastAsia="Georgia" w:hAnsi="Georgia"/>
          <w:b w:val="false"/>
          <w:bCs w:val="false"/>
          <w:i w:val="false"/>
          <w:iCs w:val="false"/>
          <w:color w:val="000000"/>
          <w:sz w:val="24"/>
          <w:szCs w:val="24"/>
        </w:rPr>
        <w:t xml:space="preserve">[PROVED — v2]</w:t>
      </w:r>
    </w:p>
    <w:p>
      <w:pPr>
        <w:spacing w:before="120" w:after="80" w:line="276"/>
        <w:ind w:left="720" w:right="720"/>
        <w:jc w:val="both"/>
      </w:pPr>
      <w:r>
        <w:rPr>
          <w:rFonts w:ascii="Arial" w:cs="Arial" w:eastAsia="Arial" w:hAnsi="Arial"/>
          <w:b/>
          <w:bCs/>
          <w:i w:val="false"/>
          <w:iCs w:val="false"/>
          <w:color w:val="000000"/>
          <w:sz w:val="24"/>
          <w:szCs w:val="24"/>
        </w:rPr>
        <w:t xml:space="preserve">∂Q/∂T_char = 1/T_obs (Q timescale sensitivity).  </w:t>
      </w:r>
      <w:r>
        <w:rPr>
          <w:rFonts w:ascii="Georgia" w:cs="Georgia" w:eastAsia="Georgia" w:hAnsi="Georgia"/>
          <w:b w:val="false"/>
          <w:bCs w:val="false"/>
          <w:i w:val="false"/>
          <w:iCs w:val="false"/>
          <w:color w:val="000000"/>
          <w:sz w:val="24"/>
          <w:szCs w:val="24"/>
        </w:rPr>
        <w:t xml:space="preserve">[PROVED — v2.1]</w:t>
      </w:r>
    </w:p>
    <w:p>
      <w:pPr>
        <w:spacing w:before="120" w:after="80" w:line="276"/>
        <w:ind w:left="720" w:right="720"/>
        <w:jc w:val="both"/>
      </w:pPr>
      <w:r>
        <w:rPr>
          <w:rFonts w:ascii="Arial" w:cs="Arial" w:eastAsia="Arial" w:hAnsi="Arial"/>
          <w:b/>
          <w:bCs/>
          <w:i w:val="false"/>
          <w:iCs w:val="false"/>
          <w:color w:val="000000"/>
          <w:sz w:val="24"/>
          <w:szCs w:val="24"/>
        </w:rPr>
        <w:t xml:space="preserve">Ostrom-HUF Axiom (P_eq = η/(1-s)).  </w:t>
      </w:r>
      <w:r>
        <w:rPr>
          <w:rFonts w:ascii="Georgia" w:cs="Georgia" w:eastAsia="Georgia" w:hAnsi="Georgia"/>
          <w:b w:val="false"/>
          <w:bCs w:val="false"/>
          <w:i w:val="false"/>
          <w:iCs w:val="false"/>
          <w:color w:val="000000"/>
          <w:sz w:val="24"/>
          <w:szCs w:val="24"/>
        </w:rPr>
        <w:t xml:space="preserve">[CONJECTURE G.4 — v2, Grok]</w:t>
      </w:r>
    </w:p>
    <w:p>
      <w:pPr>
        <w:spacing w:before="120" w:after="80" w:line="276"/>
        <w:ind w:left="720" w:right="720"/>
        <w:jc w:val="both"/>
      </w:pPr>
      <w:r>
        <w:rPr>
          <w:rFonts w:ascii="Arial" w:cs="Arial" w:eastAsia="Arial" w:hAnsi="Arial"/>
          <w:b/>
          <w:bCs/>
          <w:i w:val="false"/>
          <w:iCs w:val="false"/>
          <w:color w:val="000000"/>
          <w:sz w:val="24"/>
          <w:szCs w:val="24"/>
        </w:rPr>
        <w:t xml:space="preserve">Ostrom-HUF Corollary (ethical drift bound).  </w:t>
      </w:r>
      <w:r>
        <w:rPr>
          <w:rFonts w:ascii="Georgia" w:cs="Georgia" w:eastAsia="Georgia" w:hAnsi="Georgia"/>
          <w:b w:val="false"/>
          <w:bCs w:val="false"/>
          <w:i w:val="false"/>
          <w:iCs w:val="false"/>
          <w:color w:val="000000"/>
          <w:sz w:val="24"/>
          <w:szCs w:val="24"/>
        </w:rPr>
        <w:t xml:space="preserve">[CONJECTURE G.5 — v2, Grok]</w:t>
      </w:r>
    </w:p>
    <w:p>
      <w:pPr>
        <w:spacing w:before="120" w:after="80" w:line="276"/>
        <w:ind w:left="720" w:right="720"/>
        <w:jc w:val="both"/>
      </w:pPr>
      <w:r>
        <w:rPr>
          <w:rFonts w:ascii="Arial" w:cs="Arial" w:eastAsia="Arial" w:hAnsi="Arial"/>
          <w:b/>
          <w:bCs/>
          <w:i w:val="false"/>
          <w:iCs w:val="false"/>
          <w:color w:val="000000"/>
          <w:sz w:val="24"/>
          <w:szCs w:val="24"/>
        </w:rPr>
        <w:t xml:space="preserve">Ostrom-HUF Lemma (local regime stability).  </w:t>
      </w:r>
      <w:r>
        <w:rPr>
          <w:rFonts w:ascii="Georgia" w:cs="Georgia" w:eastAsia="Georgia" w:hAnsi="Georgia"/>
          <w:b w:val="false"/>
          <w:bCs w:val="false"/>
          <w:i w:val="false"/>
          <w:iCs w:val="false"/>
          <w:color w:val="000000"/>
          <w:sz w:val="24"/>
          <w:szCs w:val="24"/>
        </w:rPr>
        <w:t xml:space="preserve">[CONJECTURE G.6 — v2, Grok]</w:t>
      </w:r>
    </w:p>
    <w:p>
      <w:pPr>
        <w:spacing w:before="120" w:after="80" w:line="276"/>
        <w:ind w:left="720" w:right="720"/>
        <w:jc w:val="both"/>
      </w:pPr>
      <w:r>
        <w:rPr>
          <w:rFonts w:ascii="Arial" w:cs="Arial" w:eastAsia="Arial" w:hAnsi="Arial"/>
          <w:b/>
          <w:bCs/>
          <w:i w:val="false"/>
          <w:iCs w:val="false"/>
          <w:color w:val="000000"/>
          <w:sz w:val="24"/>
          <w:szCs w:val="24"/>
        </w:rPr>
        <w:t xml:space="preserve">Ostrom-HUF Proposition (proportional equity).  </w:t>
      </w:r>
      <w:r>
        <w:rPr>
          <w:rFonts w:ascii="Georgia" w:cs="Georgia" w:eastAsia="Georgia" w:hAnsi="Georgia"/>
          <w:b w:val="false"/>
          <w:bCs w:val="false"/>
          <w:i w:val="false"/>
          <w:iCs w:val="false"/>
          <w:color w:val="000000"/>
          <w:sz w:val="24"/>
          <w:szCs w:val="24"/>
        </w:rPr>
        <w:t xml:space="preserve">[CONJECTURE G.7 — v2, Grok]</w:t>
      </w:r>
    </w:p>
    <w:p>
      <w:pPr>
        <w:spacing w:before="120" w:after="80" w:line="276"/>
        <w:ind w:left="720" w:right="720"/>
        <w:jc w:val="both"/>
      </w:pPr>
      <w:r>
        <w:rPr>
          <w:rFonts w:ascii="Arial" w:cs="Arial" w:eastAsia="Arial" w:hAnsi="Arial"/>
          <w:b/>
          <w:bCs/>
          <w:i w:val="false"/>
          <w:iCs w:val="false"/>
          <w:color w:val="000000"/>
          <w:sz w:val="24"/>
          <w:szCs w:val="24"/>
        </w:rPr>
        <w:t xml:space="preserve">Ostrom-HUF Theorem (global stability via Lyapunov).  </w:t>
      </w:r>
      <w:r>
        <w:rPr>
          <w:rFonts w:ascii="Georgia" w:cs="Georgia" w:eastAsia="Georgia" w:hAnsi="Georgia"/>
          <w:b w:val="false"/>
          <w:bCs w:val="false"/>
          <w:i w:val="false"/>
          <w:iCs w:val="false"/>
          <w:color w:val="000000"/>
          <w:sz w:val="24"/>
          <w:szCs w:val="24"/>
        </w:rPr>
        <w:t xml:space="preserve">[CONJECTURE G.8 — v2, Grok]</w:t>
      </w:r>
    </w:p>
    <w:p>
      <w:pPr>
        <w:spacing w:before="120" w:after="80" w:line="276"/>
        <w:ind w:left="720" w:right="720"/>
        <w:jc w:val="both"/>
      </w:pPr>
      <w:r>
        <w:rPr>
          <w:rFonts w:ascii="Arial" w:cs="Arial" w:eastAsia="Arial" w:hAnsi="Arial"/>
          <w:b/>
          <w:bCs/>
          <w:i w:val="false"/>
          <w:iCs w:val="false"/>
          <w:color w:val="000000"/>
          <w:sz w:val="24"/>
          <w:szCs w:val="24"/>
        </w:rPr>
        <w:t xml:space="preserve">Conjecture G.1 (boundary entropy H_b &lt; 0.5).  </w:t>
      </w:r>
      <w:r>
        <w:rPr>
          <w:rFonts w:ascii="Georgia" w:cs="Georgia" w:eastAsia="Georgia" w:hAnsi="Georgia"/>
          <w:b w:val="false"/>
          <w:bCs w:val="false"/>
          <w:i w:val="false"/>
          <w:iCs w:val="false"/>
          <w:color w:val="000000"/>
          <w:sz w:val="24"/>
          <w:szCs w:val="24"/>
        </w:rPr>
        <w:t xml:space="preserve">[CONJECTURE — v2, Grok]</w:t>
      </w:r>
    </w:p>
    <w:p>
      <w:pPr>
        <w:spacing w:before="120" w:after="80" w:line="276"/>
        <w:ind w:left="720" w:right="720"/>
        <w:jc w:val="both"/>
      </w:pPr>
      <w:r>
        <w:rPr>
          <w:rFonts w:ascii="Arial" w:cs="Arial" w:eastAsia="Arial" w:hAnsi="Arial"/>
          <w:b/>
          <w:bCs/>
          <w:i w:val="false"/>
          <w:iCs w:val="false"/>
          <w:color w:val="000000"/>
          <w:sz w:val="24"/>
          <w:szCs w:val="24"/>
        </w:rPr>
        <w:t xml:space="preserve">Conjecture G.2 (Lyapunov λ &lt; -0.1 for Ramsar).  </w:t>
      </w:r>
      <w:r>
        <w:rPr>
          <w:rFonts w:ascii="Georgia" w:cs="Georgia" w:eastAsia="Georgia" w:hAnsi="Georgia"/>
          <w:b w:val="false"/>
          <w:bCs w:val="false"/>
          <w:i w:val="false"/>
          <w:iCs w:val="false"/>
          <w:color w:val="000000"/>
          <w:sz w:val="24"/>
          <w:szCs w:val="24"/>
        </w:rPr>
        <w:t xml:space="preserve">[CONJECTURE — v2, Grok]</w:t>
      </w:r>
    </w:p>
    <w:p>
      <w:pPr>
        <w:spacing w:before="120" w:after="80" w:line="276"/>
        <w:ind w:left="720" w:right="720"/>
        <w:jc w:val="both"/>
      </w:pPr>
      <w:r>
        <w:rPr>
          <w:rFonts w:ascii="Arial" w:cs="Arial" w:eastAsia="Arial" w:hAnsi="Arial"/>
          <w:b/>
          <w:bCs/>
          <w:i w:val="false"/>
          <w:iCs w:val="false"/>
          <w:color w:val="000000"/>
          <w:sz w:val="24"/>
          <w:szCs w:val="24"/>
        </w:rPr>
        <w:t xml:space="preserve">Conjecture G.3 (supply chain domain invariance).  </w:t>
      </w:r>
      <w:r>
        <w:rPr>
          <w:rFonts w:ascii="Georgia" w:cs="Georgia" w:eastAsia="Georgia" w:hAnsi="Georgia"/>
          <w:b w:val="false"/>
          <w:bCs w:val="false"/>
          <w:i w:val="false"/>
          <w:iCs w:val="false"/>
          <w:color w:val="000000"/>
          <w:sz w:val="24"/>
          <w:szCs w:val="24"/>
        </w:rPr>
        <w:t xml:space="preserve">[CONJECTURE — v2, Grok]</w:t>
      </w:r>
    </w:p>
    <w:p>
      <w:pPr>
        <w:spacing w:before="120" w:after="80" w:line="276"/>
        <w:ind w:left="720" w:right="720"/>
        <w:jc w:val="both"/>
      </w:pPr>
      <w:r>
        <w:rPr>
          <w:rFonts w:ascii="Arial" w:cs="Arial" w:eastAsia="Arial" w:hAnsi="Arial"/>
          <w:b/>
          <w:bCs/>
          <w:i w:val="false"/>
          <w:iCs w:val="false"/>
          <w:color w:val="000000"/>
          <w:sz w:val="24"/>
          <w:szCs w:val="24"/>
        </w:rPr>
        <w:t xml:space="preserve">Conjecture G.9 (s ~ 1/Q structural link).  </w:t>
      </w:r>
      <w:r>
        <w:rPr>
          <w:rFonts w:ascii="Georgia" w:cs="Georgia" w:eastAsia="Georgia" w:hAnsi="Georgia"/>
          <w:b w:val="false"/>
          <w:bCs w:val="false"/>
          <w:i w:val="false"/>
          <w:iCs w:val="false"/>
          <w:color w:val="000000"/>
          <w:sz w:val="24"/>
          <w:szCs w:val="24"/>
        </w:rPr>
        <w:t xml:space="preserve">[CONJECTURE — v2.1, Grok]</w:t>
      </w:r>
    </w:p>
    <w:p>
      <w:pPr>
        <w:spacing w:before="120" w:after="80" w:line="276"/>
        <w:ind w:left="720" w:right="720"/>
        <w:jc w:val="both"/>
      </w:pPr>
      <w:r>
        <w:rPr>
          <w:rFonts w:ascii="Arial" w:cs="Arial" w:eastAsia="Arial" w:hAnsi="Arial"/>
          <w:b/>
          <w:bCs/>
          <w:i w:val="false"/>
          <w:iCs w:val="false"/>
          <w:color w:val="000000"/>
          <w:sz w:val="24"/>
          <w:szCs w:val="24"/>
        </w:rPr>
        <w:t xml:space="preserve">Conjecture G.10 (d = 1 - 1/Q drift rate).  </w:t>
      </w:r>
      <w:r>
        <w:rPr>
          <w:rFonts w:ascii="Georgia" w:cs="Georgia" w:eastAsia="Georgia" w:hAnsi="Georgia"/>
          <w:b w:val="false"/>
          <w:bCs w:val="false"/>
          <w:i w:val="false"/>
          <w:iCs w:val="false"/>
          <w:color w:val="000000"/>
          <w:sz w:val="24"/>
          <w:szCs w:val="24"/>
        </w:rPr>
        <w:t xml:space="preserve">[CONJECTURE — v2.1, Grok]</w:t>
      </w:r>
    </w:p>
    <w:p>
      <w:pPr>
        <w:spacing w:before="120" w:after="80" w:line="276"/>
        <w:ind w:left="720" w:right="720"/>
        <w:jc w:val="both"/>
      </w:pPr>
      <w:r>
        <w:rPr>
          <w:rFonts w:ascii="Arial" w:cs="Arial" w:eastAsia="Arial" w:hAnsi="Arial"/>
          <w:b/>
          <w:bCs/>
          <w:i w:val="false"/>
          <w:iCs w:val="false"/>
          <w:color w:val="000000"/>
          <w:sz w:val="24"/>
          <w:szCs w:val="24"/>
        </w:rPr>
        <w:t xml:space="preserve">Non-linear convergence (Theorem 9.1 extension).  </w:t>
      </w:r>
      <w:r>
        <w:rPr>
          <w:rFonts w:ascii="Georgia" w:cs="Georgia" w:eastAsia="Georgia" w:hAnsi="Georgia"/>
          <w:b w:val="false"/>
          <w:bCs w:val="false"/>
          <w:i w:val="false"/>
          <w:iCs w:val="false"/>
          <w:color w:val="000000"/>
          <w:sz w:val="24"/>
          <w:szCs w:val="24"/>
        </w:rPr>
        <w:t xml:space="preserve">[OPEN — blocked on Phase D data — v2]</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Part V — Related Work: Nearest Antecedents</w:t>
      </w:r>
    </w:p>
    <w:p>
      <w:pPr>
        <w:spacing w:before="0" w:after="160" w:line="276"/>
        <w:jc w:val="both"/>
      </w:pPr>
      <w:r>
        <w:rPr>
          <w:rFonts w:ascii="Georgia" w:cs="Georgia" w:eastAsia="Georgia" w:hAnsi="Georgia"/>
          <w:b w:val="false"/>
          <w:bCs w:val="false"/>
          <w:i w:val="false"/>
          <w:iCs w:val="false"/>
          <w:color w:val="000000"/>
          <w:sz w:val="24"/>
          <w:szCs w:val="24"/>
        </w:rPr>
        <w:t xml:space="preserve">Grok's novelty review identified two nearest antecedents. Both are addressed for journal submission positioning.</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V.1  Markowitz portfolio theory (1952)</w:t>
      </w:r>
    </w:p>
    <w:p>
      <w:pPr>
        <w:spacing w:before="0" w:after="160" w:line="276"/>
        <w:jc w:val="both"/>
      </w:pPr>
      <w:r>
        <w:rPr>
          <w:rFonts w:ascii="Georgia" w:cs="Georgia" w:eastAsia="Georgia" w:hAnsi="Georgia"/>
          <w:b w:val="false"/>
          <w:bCs w:val="false"/>
          <w:i w:val="false"/>
          <w:iCs w:val="false"/>
          <w:color w:val="000000"/>
          <w:sz w:val="24"/>
          <w:szCs w:val="24"/>
        </w:rPr>
        <w:t xml:space="preserve">Similarity: both treat allocations as proportional shares summing to a total. Both compute portfolio-level statistics from element-level shares.</w:t>
      </w:r>
    </w:p>
    <w:p>
      <w:pPr>
        <w:spacing w:before="0" w:after="160" w:line="276"/>
        <w:jc w:val="both"/>
      </w:pPr>
      <w:r>
        <w:rPr>
          <w:rFonts w:ascii="Georgia" w:cs="Georgia" w:eastAsia="Georgia" w:hAnsi="Georgia"/>
          <w:b w:val="false"/>
          <w:bCs w:val="false"/>
          <w:i w:val="false"/>
          <w:iCs w:val="false"/>
          <w:color w:val="000000"/>
          <w:sz w:val="24"/>
          <w:szCs w:val="24"/>
        </w:rPr>
        <w:t xml:space="preserve">Distinction: Markowitz optimizes for return/variance efficiency — the reference is an external optimality criterion (the efficient frontier). HUF observes drift from declared intent — the reference is the system's own previous state and declared priorities. HUF does not optimize; it detects departure from declared allocation. The unity constraint in Markowitz is a numerical convenience. In HUF, it is the foundational epistemological commitment.</w:t>
      </w:r>
    </w:p>
    <w:p>
      <w:pPr>
        <w:spacing w:before="0" w:after="160" w:line="276"/>
        <w:jc w:val="both"/>
      </w:pPr>
      <w:r>
        <w:rPr>
          <w:rFonts w:ascii="Georgia" w:cs="Georgia" w:eastAsia="Georgia" w:hAnsi="Georgia"/>
          <w:b w:val="false"/>
          <w:bCs w:val="false"/>
          <w:i w:val="false"/>
          <w:iCs w:val="false"/>
          <w:color w:val="000000"/>
          <w:sz w:val="24"/>
          <w:szCs w:val="24"/>
        </w:rPr>
        <w:t xml:space="preserve">Practical distinction: Markowitz is an ex-ante tool (allocation decisions before deployment). HUF is an ex-post instrument (observation after allocation has occurred). The two are complementary, not competing. A Markowitz-optimized portfolio can drift silently away from its optimized allocation; HUF detects that drift.</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V.2  Shannon entropy in information systems (1948)</w:t>
      </w:r>
    </w:p>
    <w:p>
      <w:pPr>
        <w:spacing w:before="0" w:after="160" w:line="276"/>
        <w:jc w:val="both"/>
      </w:pPr>
      <w:r>
        <w:rPr>
          <w:rFonts w:ascii="Georgia" w:cs="Georgia" w:eastAsia="Georgia" w:hAnsi="Georgia"/>
          <w:b w:val="false"/>
          <w:bCs w:val="false"/>
          <w:i w:val="false"/>
          <w:iCs w:val="false"/>
          <w:color w:val="000000"/>
          <w:sz w:val="24"/>
          <w:szCs w:val="24"/>
        </w:rPr>
        <w:t xml:space="preserve">Similarity: both apply entropy measures to probability distributions over system states. The Von Neumann entropy S(ρ̂) = -∑ρᵢ ln ρᵢ used in Theorem 5.1 is directly analogous to Shannon entropy.</w:t>
      </w:r>
    </w:p>
    <w:p>
      <w:pPr>
        <w:spacing w:before="0" w:after="160" w:line="276"/>
        <w:jc w:val="both"/>
      </w:pPr>
      <w:r>
        <w:rPr>
          <w:rFonts w:ascii="Georgia" w:cs="Georgia" w:eastAsia="Georgia" w:hAnsi="Georgia"/>
          <w:b w:val="false"/>
          <w:bCs w:val="false"/>
          <w:i w:val="false"/>
          <w:iCs w:val="false"/>
          <w:color w:val="000000"/>
          <w:sz w:val="24"/>
          <w:szCs w:val="24"/>
        </w:rPr>
        <w:t xml:space="preserve">Distinction: Shannon entropy is applied to quantify information content — the uncertainty in a source. HUF uses entropy to diagnose portfolio concentration: a low-entropy portfolio (concentrated allocation) has high drift risk from FM-4. The entropy value is not an optimization target in HUF; it is a governance diagnostic. Additionally, HUF applies the unity constraint as a hard constraint, not as a normalization of a probability distribution. The constraint has governance meaning — it is the mathematical expression of finite budget — that is absent from information theory applications.</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2"/>
        <w:spacing w:before="320" w:after="140"/>
      </w:pPr>
      <w:r>
        <w:rPr>
          <w:rFonts w:ascii="Arial" w:cs="Arial" w:eastAsia="Arial" w:hAnsi="Arial"/>
          <w:b/>
          <w:bCs/>
          <w:i w:val="false"/>
          <w:iCs w:val="false"/>
          <w:color w:val="333333"/>
          <w:sz w:val="28"/>
          <w:szCs w:val="28"/>
        </w:rPr>
        <w:t xml:space="preserve">V.3  What distinguishes HUF from both antecedents</w:t>
      </w:r>
    </w:p>
    <w:p>
      <w:pPr>
        <w:spacing w:before="0" w:after="160" w:line="276"/>
        <w:jc w:val="both"/>
      </w:pPr>
      <w:r>
        <w:rPr>
          <w:rFonts w:ascii="Georgia" w:cs="Georgia" w:eastAsia="Georgia" w:hAnsi="Georgia"/>
          <w:b w:val="false"/>
          <w:bCs w:val="false"/>
          <w:i w:val="false"/>
          <w:iCs w:val="false"/>
          <w:color w:val="000000"/>
          <w:sz w:val="24"/>
          <w:szCs w:val="24"/>
        </w:rPr>
        <w:t xml:space="preserve">The defining property absent from both Markowitz and Shannon is the intentional/silent distinction. Neither portfolio theory nor information theory has a mechanism for classifying a change in distribution as 'decided' versus 'undecided.' The portfolio change log is the instrument that makes this distinction computable and auditable. This is the novel contribution — not the unity constraint itself, not the entropy measure, not the proportional shares. The distinction between intentional reweighting and silent drift is new.</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pStyle w:val="Heading1"/>
        <w:pBdr>
          <w:bottom w:val="single" w:color="222222" w:sz="4" w:space="6"/>
        </w:pBdr>
        <w:spacing w:before="480" w:after="200"/>
      </w:pPr>
      <w:r>
        <w:rPr>
          <w:rFonts w:ascii="Arial" w:cs="Arial" w:eastAsia="Arial" w:hAnsi="Arial"/>
          <w:b/>
          <w:bCs/>
          <w:i w:val="false"/>
          <w:iCs w:val="false"/>
          <w:color w:val="111111"/>
          <w:sz w:val="32"/>
          <w:szCs w:val="32"/>
        </w:rPr>
        <w:t xml:space="preserve">References</w:t>
      </w:r>
    </w:p>
    <w:p>
      <w:pPr>
        <w:spacing w:before="0" w:after="160" w:line="276"/>
        <w:jc w:val="both"/>
      </w:pPr>
      <w:r>
        <w:rPr>
          <w:rFonts w:ascii="Georgia" w:cs="Georgia" w:eastAsia="Georgia" w:hAnsi="Georgia"/>
          <w:b w:val="false"/>
          <w:bCs w:val="false"/>
          <w:i w:val="false"/>
          <w:iCs w:val="false"/>
          <w:color w:val="000000"/>
          <w:sz w:val="24"/>
          <w:szCs w:val="24"/>
        </w:rPr>
        <w:t xml:space="preserve">References added in v2.1:</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Markowitz, H. (1952). Portfolio selection. Journal of Finance, 7(1), 77–91.</w:t>
      </w:r>
    </w:p>
    <w:p>
      <w:pPr>
        <w:spacing w:before="60" w:after="60" w:line="276"/>
        <w:ind w:left="360" w:hanging="360"/>
        <w:jc w:val="both"/>
      </w:pPr>
      <w:r>
        <w:rPr>
          <w:rFonts w:ascii="Georgia" w:cs="Georgia" w:eastAsia="Georgia" w:hAnsi="Georgia"/>
          <w:b w:val="false"/>
          <w:bCs w:val="false"/>
          <w:i w:val="false"/>
          <w:iCs w:val="false"/>
          <w:color w:val="000000"/>
          <w:sz w:val="20"/>
          <w:szCs w:val="20"/>
        </w:rPr>
        <w:t xml:space="preserve">Shannon, C.E. (1948). A mathematical theory of communication. Bell System Technical Journal, 27(3), 379–423.</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160" w:line="276"/>
        <w:jc w:val="both"/>
      </w:pPr>
      <w:r>
        <w:rPr>
          <w:rFonts w:ascii="Georgia" w:cs="Georgia" w:eastAsia="Georgia" w:hAnsi="Georgia"/>
          <w:b w:val="false"/>
          <w:bCs w:val="false"/>
          <w:i w:val="false"/>
          <w:iCs w:val="false"/>
          <w:color w:val="000000"/>
          <w:sz w:val="24"/>
          <w:szCs w:val="24"/>
        </w:rPr>
        <w:t xml:space="preserve">Prior references: Gini (1912), Lorenz (1963), Lyapunov (1892/1992), Strogatz (1994), Ostrom (1990), Luenberger (1966), Kalman (1960), Anderies et al. (2004), Lindenmayer &amp; Likens (2010), Folke et al. (2005), Shannon (1948), Cover &amp; Thomas (2006), Box et al. (2015), Nielsen &amp; Chuang (2000), von Neumann (1932).</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val="false"/>
          <w:iCs w:val="false"/>
          <w:color w:val="CCCCCC"/>
          <w:sz w:val="20"/>
          <w:szCs w:val="20"/>
        </w:rPr>
        <w:t xml:space="preserve">─────────────────────────────────</w:t>
      </w:r>
    </w:p>
    <w:p>
      <w:pPr>
        <w:spacing w:before="0" w:after="80" w:line="276"/>
        <w:jc w:val="both"/>
      </w:pPr>
      <w:r>
        <w:rPr>
          <w:rFonts w:ascii="Georgia" w:cs="Georgia" w:eastAsia="Georgia" w:hAnsi="Georgia"/>
          <w:b w:val="false"/>
          <w:bCs w:val="false"/>
          <w:i w:val="false"/>
          <w:iCs w:val="false"/>
          <w:color w:val="000000"/>
          <w:sz w:val="24"/>
          <w:szCs w:val="24"/>
        </w:rPr>
        <w:t xml:space="preserve"/>
      </w:r>
    </w:p>
    <w:p>
      <w:pPr>
        <w:spacing w:before="0" w:after="60" w:line="276"/>
        <w:jc w:val="center"/>
      </w:pPr>
      <w:r>
        <w:rPr>
          <w:rFonts w:ascii="Georgia" w:cs="Georgia" w:eastAsia="Georgia" w:hAnsi="Georgia"/>
          <w:b w:val="false"/>
          <w:bCs w:val="false"/>
          <w:i/>
          <w:iCs/>
          <w:color w:val="888888"/>
          <w:sz w:val="20"/>
          <w:szCs w:val="20"/>
        </w:rPr>
        <w:t xml:space="preserve">Collective contributions: Claude (framework, proofs, document architecture), Grok (Ostrom-HUF chain, Q extensions, verdicts,</w:t>
      </w:r>
    </w:p>
    <w:p>
      <w:pPr>
        <w:spacing w:before="0" w:after="60" w:line="276"/>
        <w:jc w:val="center"/>
      </w:pPr>
      <w:r>
        <w:rPr>
          <w:rFonts w:ascii="Georgia" w:cs="Georgia" w:eastAsia="Georgia" w:hAnsi="Georgia"/>
          <w:b w:val="false"/>
          <w:bCs w:val="false"/>
          <w:i/>
          <w:iCs/>
          <w:color w:val="888888"/>
          <w:sz w:val="20"/>
          <w:szCs w:val="20"/>
        </w:rPr>
        <w:t xml:space="preserve">domain applications), Copilot (operational thresholds, CSV schema), Gemini (cross-domain case study), ChatGPT (credibility review)</w:t>
      </w:r>
    </w:p>
    <w:p>
      <w:pPr>
        <w:spacing w:before="0" w:after="60" w:line="276"/>
        <w:jc w:val="center"/>
      </w:pPr>
      <w:r>
        <w:rPr>
          <w:rFonts w:ascii="Georgia" w:cs="Georgia" w:eastAsia="Georgia" w:hAnsi="Georgia"/>
          <w:b w:val="false"/>
          <w:bCs w:val="false"/>
          <w:i w:val="false"/>
          <w:iCs w:val="false"/>
          <w:color w:val="888888"/>
          <w:sz w:val="20"/>
          <w:szCs w:val="20"/>
        </w:rPr>
        <w:t xml:space="preserve">Peter Higgins · Rogue Wave Audio · Markham, Ontario · HUF v1.2.0 · MIT License</w:t>
      </w:r>
    </w:p>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after="160" w:line="276"/>
      <w:jc w:val="center"/>
    </w:pPr>
    <w:r>
      <w:rPr>
        <w:rFonts w:ascii="Arial" w:cs="Arial" w:eastAsia="Arial" w:hAnsi="Arial"/>
        <w:b w:val="false"/>
        <w:bCs w:val="false"/>
        <w:i w:val="false"/>
        <w:iCs w:val="false"/>
        <w:color w:val="888888"/>
        <w:sz w:val="18"/>
        <w:szCs w:val="18"/>
      </w:rPr>
      <w:t xml:space="preserve">HUF — Mathematical Foundations v2.1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2"/>
      <w:szCs w:val="32"/>
    </w:rPr>
  </w:style>
  <w:style w:type="paragraph" w:styleId="Heading2">
    <w:name w:val="Heading 2"/>
    <w:basedOn w:val="Normal"/>
    <w:next w:val="Normal"/>
    <w:qFormat/>
    <w:pPr>
      <w:spacing w:before="32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2026-02-27T02:16:59.712Z</dcterms:created>
  <dcterms:modified xsi:type="dcterms:W3CDTF">2026-02-27T02:16:59.713Z</dcterms:modified>
</cp:coreProperties>
</file>

<file path=docProps/custom.xml><?xml version="1.0" encoding="utf-8"?>
<Properties xmlns="http://schemas.openxmlformats.org/officeDocument/2006/custom-properties" xmlns:vt="http://schemas.openxmlformats.org/officeDocument/2006/docPropsVTypes"/>
</file>