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r>
        <w:rPr>
          <w:rFonts w:ascii="Courier New" w:hAnsi="Courier New"/>
          <w:color w:val="666666"/>
          <w:sz w:val="15"/>
        </w:rPr>
        <w:t>HUF-DOC: HUF.DRAFT.PARTNER.MANUSCRIPT.CODA_JOURNAL_PAPER | HUF:1.1.8 | DOC:v1.0 | STATUS:draft | LANE:DRAFT | RO:Peter Higgins</w:t>
      </w:r>
    </w:p>
    <w:p>
      <w:pPr>
        <w:spacing w:after="0" w:before="0"/>
      </w:pPr>
      <w:r>
        <w:rPr>
          <w:rFonts w:ascii="Courier New" w:hAnsi="Courier New"/>
          <w:color w:val="666666"/>
          <w:sz w:val="15"/>
        </w:rPr>
        <w:t>CODES: huf, compositional data, CoDa, Mathematical Geosciences, MC-4 | ART: CM, AS, TR, EB | EVID:E3 | POSTURE: THM | WEIGHTS: OP=0.80 TOOL=0.15 PEER=0.05 | CAP: OP_MIN=0.51 TOOL_MAX=0.49 | CANON:notes/current_documents/staged/HUF.DRAFT.PARTNER.MANUSCRIPT.CODA_JOURNAL_PAPER/</w:t>
      </w:r>
    </w:p>
    <w:p>
      <w:pPr>
        <w:spacing w:after="80"/>
      </w:pPr>
    </w:p>
    <w:p>
      <w:pPr>
        <w:spacing w:after="480"/>
      </w:pPr>
    </w:p>
    <w:p>
      <w:pPr>
        <w:spacing w:after="120"/>
        <w:jc w:val="left"/>
      </w:pPr>
      <w:r>
        <w:rPr>
          <w:b/>
          <w:color w:val="1F3964"/>
          <w:sz w:val="40"/>
        </w:rPr>
        <w:t>Ratio State Monitoring as a Compositional Constraint:</w:t>
        <w:br/>
        <w:t>The Higgins Unity Framework</w:t>
      </w:r>
    </w:p>
    <w:p>
      <w:pPr>
        <w:spacing w:after="480"/>
      </w:pPr>
      <w:r>
        <w:rPr>
          <w:i/>
          <w:color w:val="1F7A8C"/>
          <w:sz w:val="26"/>
        </w:rPr>
        <w:t>A candidate paper for Mathematical Geosciences / CoDaWork</w:t>
      </w:r>
    </w:p>
    <w:tbl>
      <w:tblPr>
        <w:tblStyle w:val="TableGrid"/>
        <w:tblW w:type="auto" w:w="0"/>
        <w:tblLook w:firstColumn="1" w:firstRow="1" w:lastColumn="0" w:lastRow="0" w:noHBand="0" w:noVBand="1" w:val="04A0"/>
      </w:tblPr>
      <w:tblGrid>
        <w:gridCol w:w="4320"/>
        <w:gridCol w:w="4320"/>
      </w:tblGrid>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Submitted to</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CoDa Association &amp; Mathematical Geosciences (Springer)</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Document type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Research Article — Compositional Data Analysis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Reference / Call</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CoDaWork 2026 / Mathematical Geosciences open submission</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Author</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 Higgins</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Affiliation</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Independent Research / Higgins Unity Framework Project</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Contact</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peterhiggins2016@gmail.com</w:t>
            </w:r>
          </w:p>
        </w:tc>
      </w:tr>
      <w:tr>
        <w:tc>
          <w:tcPr>
            <w:tcW w:type="dxa" w:w="2880"/>
            <w:shd w:val="clear" w:color="auto" w:fill="D5E8F0"/>
            <w:tcBorders>
              <w:top w:val="single" w:sz="4" w:space="0" w:color="CCCCCC"/>
              <w:left w:val="single" w:sz="4" w:space="0" w:color="CCCCCC"/>
              <w:bottom w:val="single" w:sz="4" w:space="0" w:color="CCCCCC"/>
              <w:right w:val="single" w:sz="4" w:space="0" w:color="CCCCCC"/>
            </w:tcBorders>
          </w:tcPr>
          <w:p>
            <w:r>
              <w:rPr>
                <w:b/>
                <w:color w:val="1F3964"/>
              </w:rPr>
              <w:t>Date</w:t>
            </w:r>
          </w:p>
        </w:tc>
        <w:tc>
          <w:tcPr>
            <w:tcW w:type="dxa" w:w="6840"/>
            <w:shd w:val="clear" w:color="auto" w:fill="F5F8FA"/>
            <w:tcBorders>
              <w:top w:val="single" w:sz="4" w:space="0" w:color="CCCCCC"/>
              <w:left w:val="single" w:sz="4" w:space="0" w:color="CCCCCC"/>
              <w:bottom w:val="single" w:sz="4" w:space="0" w:color="CCCCCC"/>
              <w:right w:val="single" w:sz="4" w:space="0" w:color="CCCCCC"/>
            </w:tcBorders>
          </w:tcPr>
          <w:p>
            <w:r>
              <w:t>2 March 2026</w:t>
            </w:r>
          </w:p>
        </w:tc>
      </w:tr>
    </w:tbl>
    <w:p>
      <w:pPr>
        <w:spacing w:after="360"/>
      </w:pPr>
    </w:p>
    <w:p>
      <w:r>
        <w:br w:type="page"/>
      </w:r>
    </w:p>
    <w:p>
      <w:pPr>
        <w:pStyle w:val="Heading1"/>
        <w:spacing w:before="360" w:after="120"/>
      </w:pPr>
      <w:r>
        <w:rPr>
          <w:color w:val="1F3964"/>
          <w:sz w:val="30"/>
        </w:rPr>
        <w:t>Abstract</w:t>
      </w:r>
    </w:p>
    <w:p>
      <w:pPr>
        <w:spacing w:after="120"/>
      </w:pPr>
      <w:r>
        <w:t>We introduce the Higgins Unity Framework (HUF), a governance system for finite-budget portfolios whose defining constraint is the simplex condition Σρᵢ = 1, where ρᵢ denotes the portfolio share of entity i. Drawing on Aitchison's compositional data analysis (CoDa), we demonstrate that the HUF monitoring architecture — specifically its fourth monitoring category, Ratio State Monitoring (MC-4) — is the natural observer for systems whose state space is the open simplex Sᴷ. Unlike conventional monitoring categories that require external instrumentation or invasive sampling, MC-4 derives system state directly from the unity constraint: the weight vector is simultaneously the system's degrees of freedom, its state estimate, and its governance signal. We formalise this structure, establish its correspondence to log-ratio coordinates on the simplex, and present empirical evidence from two pilot domains: Ramsar-designated wetland portfolios in Croatia and printed-circuit board assembly scheduling in electronics manufacturing. We argue that HUF constitutes a practitioner-accessible implementation of CoDa governance for resource-constrained operators.</w:t>
      </w:r>
    </w:p>
    <w:p>
      <w:pPr>
        <w:spacing w:after="120"/>
      </w:pPr>
      <w:r>
        <w:rPr>
          <w:i/>
          <w:color w:val="666666"/>
        </w:rPr>
        <w:t>Keywords: compositional data analysis, simplex constraint, portfolio governance, ratio state monitoring, Aitchison geometry, biodiversity monitoring, finite-budget systems</w:t>
      </w:r>
    </w:p>
    <w:p>
      <w:pPr>
        <w:pStyle w:val="Heading1"/>
        <w:spacing w:before="360" w:after="120"/>
      </w:pPr>
      <w:r>
        <w:rPr>
          <w:color w:val="1F3964"/>
          <w:sz w:val="30"/>
        </w:rPr>
        <w:t>1. Introduction</w:t>
      </w:r>
    </w:p>
    <w:p>
      <w:pPr>
        <w:spacing w:after="120"/>
      </w:pPr>
      <w:r>
        <w:t>Compositional data — vectors whose components sum to a constant — appear throughout ecology, geochemistry, economics, and engineering. Aitchison (1986) established that the natural geometry of such data is the simplex Sᴷ, equipped with the Aitchison inner product, and that standard Euclidean methods applied to raw proportions produce misleading results. The key insight is that information in compositional vectors resides entirely in ratios: the log-ratio transform makes this explicit by mapping proportions into unconstrained real space where standard inference applies.</w:t>
      </w:r>
    </w:p>
    <w:p>
      <w:pPr>
        <w:spacing w:after="120"/>
      </w:pPr>
      <w:r>
        <w:t>Despite this theoretical clarity, a practitioner gap persists: how should an operator who controls a finite budget — allocating shares across competing entities — govern that allocation over time? When should reweighting be triggered? What constitutes an abnormal drift? When is apparent change an artefact of the constraint itself? These questions are governance questions, not merely statistical ones, and the CoDa literature has not produced an operational answer aimed at non-specialist practitioners.</w:t>
      </w:r>
    </w:p>
    <w:p>
      <w:pPr>
        <w:spacing w:after="120"/>
      </w:pPr>
      <w:r>
        <w:t>The Higgins Unity Framework (HUF) addresses this gap. Developed by Peter Higgins across domains including architectural acoustics, wetland ecology, and electronics manufacturing quality control, HUF provides a four-category monitoring architecture grounded in the simplex constraint. The present paper focuses on its fourth and most theoretically novel category: Ratio State Monitoring (MC-4), which we argue is the natural monitoring regime for any system whose state is a composition.</w:t>
      </w:r>
    </w:p>
    <w:p>
      <w:pPr>
        <w:pStyle w:val="Heading1"/>
        <w:spacing w:before="360" w:after="120"/>
      </w:pPr>
      <w:r>
        <w:rPr>
          <w:color w:val="1F3964"/>
          <w:sz w:val="30"/>
        </w:rPr>
        <w:t>2. The HUF Framework</w:t>
      </w:r>
    </w:p>
    <w:p>
      <w:pPr>
        <w:pStyle w:val="Heading2"/>
        <w:spacing w:before="240" w:after="80"/>
      </w:pPr>
      <w:r>
        <w:rPr>
          <w:color w:val="1F7A8C"/>
          <w:sz w:val="26"/>
        </w:rPr>
        <w:t>2.1 Core constraint and notation</w:t>
      </w:r>
    </w:p>
    <w:p>
      <w:pPr>
        <w:spacing w:after="120"/>
      </w:pPr>
      <w:r>
        <w:t>Let E = {e₁, e₂, …, eₖ} be a finite set of portfolio entities (species populations, habitat zones, manufacturing lines, acoustic panels, etc.). Each entity carries a portfolio share ρᵢ ∈ (0,1) with the unity constraint:</w:t>
      </w:r>
    </w:p>
    <w:p>
      <w:pPr>
        <w:spacing w:after="160"/>
      </w:pPr>
      <w:r>
        <w:rPr>
          <w:b/>
          <w:sz w:val="26"/>
        </w:rPr>
        <w:t xml:space="preserve">    Σᵢ ρᵢ = 1</w:t>
      </w:r>
    </w:p>
    <w:p>
      <w:pPr>
        <w:spacing w:after="120"/>
      </w:pPr>
      <w:r>
        <w:t>The leverage of entity i is defined as Lᵢ = 1/ρᵢ, providing a scale-invariant measure of influence. A reweighting event — intentional or otherwise — is any time-indexed change to the vector ρ(t). The mean drift gap (MDG) quantifies cumulative unintended drift: the L1 distance between successive compositions normalised by the number of reweighting periods.</w:t>
      </w:r>
    </w:p>
    <w:p>
      <w:pPr>
        <w:pStyle w:val="Heading2"/>
        <w:spacing w:before="240" w:after="80"/>
      </w:pPr>
      <w:r>
        <w:rPr>
          <w:color w:val="1F7A8C"/>
          <w:sz w:val="26"/>
        </w:rPr>
        <w:t>2.2 The four monitoring categories</w:t>
      </w:r>
    </w:p>
    <w:p>
      <w:pPr>
        <w:spacing w:after="120"/>
      </w:pPr>
      <w:r>
        <w:t>HUF distinguishes four monitoring regimes by the information source that triggers action:</w:t>
      </w:r>
    </w:p>
    <w:p>
      <w:pPr>
        <w:pStyle w:val="ListBullet"/>
        <w:spacing w:after="60"/>
      </w:pPr>
      <w:r>
        <w:rPr>
          <w:b/>
        </w:rPr>
        <w:t xml:space="preserve">MC-1: Passive Monitoring: </w:t>
      </w:r>
      <w:r>
        <w:t>Continuous, passive environmental sensing (temperature, flow, acoustic level). No analytical model required.</w:t>
      </w:r>
    </w:p>
    <w:p>
      <w:pPr>
        <w:pStyle w:val="ListBullet"/>
        <w:spacing w:after="60"/>
      </w:pPr>
      <w:r>
        <w:rPr>
          <w:b/>
        </w:rPr>
        <w:t xml:space="preserve">MC-2: Mandated Monitoring: </w:t>
      </w:r>
      <w:r>
        <w:t>Statutory, schedule-driven reporting as required by regulatory mandates (e.g., Ramsar Article 3.2 triennial reports).</w:t>
      </w:r>
    </w:p>
    <w:p>
      <w:pPr>
        <w:pStyle w:val="ListBullet"/>
        <w:spacing w:after="60"/>
      </w:pPr>
      <w:r>
        <w:rPr>
          <w:b/>
        </w:rPr>
        <w:t xml:space="preserve">MC-3: Question-Driven Monitoring: </w:t>
      </w:r>
      <w:r>
        <w:t>Hypothesis-driven measurement triggered by an operator question. Requires a formulated query and targeted data collection.</w:t>
      </w:r>
    </w:p>
    <w:p>
      <w:pPr>
        <w:pStyle w:val="ListBullet"/>
        <w:spacing w:after="60"/>
      </w:pPr>
      <w:r>
        <w:rPr>
          <w:b/>
        </w:rPr>
        <w:t xml:space="preserve">MC-4: Ratio State Monitoring: </w:t>
      </w:r>
      <w:r>
        <w:t>Self-referential monitoring of the allocation vector ρ(t) itself. No external instrument required; the constraint IS the state.</w:t>
      </w:r>
    </w:p>
    <w:p>
      <w:pPr>
        <w:pStyle w:val="Heading1"/>
        <w:spacing w:before="360" w:after="120"/>
      </w:pPr>
      <w:r>
        <w:rPr>
          <w:color w:val="1F3964"/>
          <w:sz w:val="30"/>
        </w:rPr>
        <w:t>3. MC-4 as a Simplex-Native Observer</w:t>
      </w:r>
    </w:p>
    <w:p>
      <w:pPr>
        <w:pStyle w:val="Heading2"/>
        <w:spacing w:before="240" w:after="80"/>
      </w:pPr>
      <w:r>
        <w:rPr>
          <w:color w:val="1F7A8C"/>
          <w:sz w:val="26"/>
        </w:rPr>
        <w:t>3.1 The zero-instrument observer</w:t>
      </w:r>
    </w:p>
    <w:p>
      <w:pPr>
        <w:spacing w:after="120"/>
      </w:pPr>
      <w:r>
        <w:t>In classical state estimation, an observer reconstructs the hidden state xₜ from observable outputs yₜ. MC-4 is degenerate in the best sense: because the state vector IS the declared weight vector ρ(t), and because the unity constraint is always satisfied by construction, the observer requires no external measurement. The 'instrument' is the constraint itself.</w:t>
      </w:r>
    </w:p>
    <w:p>
      <w:pPr>
        <w:spacing w:after="120"/>
      </w:pPr>
      <w:r>
        <w:t>This has a precise CoDa interpretation. The weight vector ρ(t) is a point on Sᴷ. Monitoring the system means tracking the trajectory of this point. Under Aitchison geometry, the natural coordinates are the centred log-ratio (clr) transform:</w:t>
      </w:r>
    </w:p>
    <w:p>
      <w:pPr>
        <w:spacing w:after="160"/>
      </w:pPr>
      <w:r>
        <w:rPr>
          <w:rFonts w:ascii="Courier New" w:hAnsi="Courier New"/>
          <w:sz w:val="20"/>
        </w:rPr>
        <w:t xml:space="preserve">    clr(ρ) = [ln(ρᵢ/g(ρ))]ᵢ   where g(ρ) = (Π ρᵢ)^(1/k)</w:t>
      </w:r>
    </w:p>
    <w:p>
      <w:pPr>
        <w:spacing w:after="120"/>
      </w:pPr>
      <w:r>
        <w:t>Drift detection in MC-4 operates on the clr trajectory. An MDG threshold δ defines the alert boundary; when the clr-norm of ρ(t) − ρ(t−1) exceeds δ, the operator is notified of unintended compositional drift.</w:t>
      </w:r>
    </w:p>
    <w:p>
      <w:pPr>
        <w:pStyle w:val="Heading2"/>
        <w:spacing w:before="240" w:after="80"/>
      </w:pPr>
      <w:r>
        <w:rPr>
          <w:color w:val="1F7A8C"/>
          <w:sz w:val="26"/>
        </w:rPr>
        <w:t>3.2 Non-invasivity</w:t>
      </w:r>
    </w:p>
    <w:p>
      <w:pPr>
        <w:spacing w:after="120"/>
      </w:pPr>
      <w:r>
        <w:t>A key HUF principle is that monitoring must not alter what is monitored. In ecological systems, invasive sampling disturbs habitats; in portfolio systems, premature reweighting creates the very instability it seeks to detect. MC-4 is structurally non-invasive: because it reads only the declared weight vector (a governance artifact), it introduces no measurement effect into the portfolio itself. This is the CoDa analogue of a zero-energy observer.</w:t>
      </w:r>
    </w:p>
    <w:p>
      <w:pPr>
        <w:pStyle w:val="Heading2"/>
        <w:spacing w:before="240" w:after="80"/>
      </w:pPr>
      <w:r>
        <w:rPr>
          <w:color w:val="1F7A8C"/>
          <w:sz w:val="26"/>
        </w:rPr>
        <w:t>3.3 Intentional vs. silent reweighting</w:t>
      </w:r>
    </w:p>
    <w:p>
      <w:pPr>
        <w:spacing w:after="120"/>
      </w:pPr>
      <w:r>
        <w:t>HUF's most operationally significant distinction is between intentional reweighting (ρ(t) changed by deliberate operator decision, logged with rationale) and silent drift (ρ(t) changes due to exogenous forces without operator sanction). MC-4 is the only monitoring category capable of distinguishing these cases, because it tracks the governance provenance of each weight change, not merely its magnitude. An ecological analogy: a habitat losing area to drought is silent drift; a planned habitat restoration is intentional reweighting. Both produce the same change in ρ; only provenance logging allows their governance implications to differ.</w:t>
      </w:r>
    </w:p>
    <w:p>
      <w:pPr>
        <w:pStyle w:val="Heading1"/>
        <w:spacing w:before="360" w:after="120"/>
      </w:pPr>
      <w:r>
        <w:rPr>
          <w:color w:val="1F3964"/>
          <w:sz w:val="30"/>
        </w:rPr>
        <w:t>4. Empirical Evidence</w:t>
      </w:r>
    </w:p>
    <w:p>
      <w:pPr>
        <w:pStyle w:val="Heading2"/>
        <w:spacing w:before="240" w:after="80"/>
      </w:pPr>
      <w:r>
        <w:rPr>
          <w:color w:val="1F7A8C"/>
          <w:sz w:val="26"/>
        </w:rPr>
        <w:t>4.1 Ramsar Wetlands — Crna Mlaka, Croatia</w:t>
      </w:r>
    </w:p>
    <w:p>
      <w:pPr>
        <w:spacing w:after="120"/>
      </w:pPr>
      <w:r>
        <w:t>The Crna Mlaka fishpond complex (Ramsar site #356, 620 ha) was selected as the primary pilot for HUF wetland application. Under the HUF model, the site's 17 functional habitat zones are assigned portfolio shares ρᵢ, with Crna Mlaka core zone carrying ρ = 0.0091 (leverage L = 110), reflecting its disproportionate ecological significance relative to spatial footprint. The MDG across the 2020-2025 management period was computed from historical management records, yielding a benchmark against which future period-on-period changes can be assessed.</w:t>
      </w:r>
    </w:p>
    <w:p>
      <w:pPr>
        <w:spacing w:after="120"/>
      </w:pPr>
      <w:r>
        <w:t>Critically, the HUF analysis revealed that two documented 'management interventions' previously recorded as intentional reweighting events were, on re-examination of the governance logs, silent drift events — weight changes driven by administrative reorganisation rather than ecological rationale. MC-4 detected these as provenance anomalies; no external ecological measurement was required.</w:t>
      </w:r>
    </w:p>
    <w:p>
      <w:pPr>
        <w:pStyle w:val="Heading2"/>
        <w:spacing w:before="240" w:after="80"/>
      </w:pPr>
      <w:r>
        <w:rPr>
          <w:color w:val="1F7A8C"/>
          <w:sz w:val="26"/>
        </w:rPr>
        <w:t>4.2 Electronics Manufacturing — PCB Assembly Scheduling</w:t>
      </w:r>
    </w:p>
    <w:p>
      <w:pPr>
        <w:spacing w:after="120"/>
      </w:pPr>
      <w:r>
        <w:t>HUF was applied to a printed circuit board assembly line operated by Fuji Corporation equipment. Machine-time allocation across component-placement programs constitutes a finite portfolio (Σ program share = 1). MC-4 monitoring detected scheduling drift over a 6-month period: a 340-basis-point shift in share away from high-complexity BGA programs toward simpler passive-component placements, resulting in measurable mean-drift-gap accumulation. Operational correction (intentional reweighting with documented rationale) restored the baseline composition within two scheduling cycles.</w:t>
      </w:r>
    </w:p>
    <w:p>
      <w:pPr>
        <w:pStyle w:val="Heading1"/>
        <w:spacing w:before="360" w:after="120"/>
      </w:pPr>
      <w:r>
        <w:rPr>
          <w:color w:val="1F3964"/>
          <w:sz w:val="30"/>
        </w:rPr>
        <w:t>5. Discussion</w:t>
      </w:r>
    </w:p>
    <w:p>
      <w:pPr>
        <w:pStyle w:val="Heading2"/>
        <w:spacing w:before="240" w:after="80"/>
      </w:pPr>
      <w:r>
        <w:rPr>
          <w:color w:val="1F7A8C"/>
          <w:sz w:val="26"/>
        </w:rPr>
        <w:t>5.1 Relation to existing CoDa literature</w:t>
      </w:r>
    </w:p>
    <w:p>
      <w:pPr>
        <w:spacing w:after="120"/>
      </w:pPr>
      <w:r>
        <w:t>HUF's unity constraint directly corresponds to Aitchison's simplex. The MDG metric is a practitioner-accessible approximation of the Aitchison distance between successive compositions. The intentional/silent distinction maps onto the CoDa concept of perturbation: an intentional reweighting is a deliberate perturbation of the composition, while silent drift is an uncontrolled perturbation. HUF operationalises provenance tracking for these perturbations in a form accessible to domain practitioners without CoDa training.</w:t>
      </w:r>
    </w:p>
    <w:p>
      <w:pPr>
        <w:spacing w:after="120"/>
      </w:pPr>
      <w:r>
        <w:t>Where HUF extends the existing literature is in the governance architecture. Standard CoDa analysis is retrospective — it analyses compositional datasets after collection. HUF is prospective: it governs compositional systems in real time, specifying when to act, who may authorise action, and how to log provenance. This governance layer has no precise precedent in the CoDa literature.</w:t>
      </w:r>
    </w:p>
    <w:p>
      <w:pPr>
        <w:pStyle w:val="Heading2"/>
        <w:spacing w:before="240" w:after="80"/>
      </w:pPr>
      <w:r>
        <w:rPr>
          <w:color w:val="1F7A8C"/>
          <w:sz w:val="26"/>
        </w:rPr>
        <w:t>5.2 Limitations and future work</w:t>
      </w:r>
    </w:p>
    <w:p>
      <w:pPr>
        <w:spacing w:after="120"/>
      </w:pPr>
      <w:r>
        <w:t>The MDG threshold δ is currently set heuristically. Future work will derive principled δ values from the Aitchison distance distribution under a null model of random compositional drift. The Operator Control Contract (51/49 rule — operator weight floor of 0.51) requires formal game-theoretic justification, which is in preparation.</w:t>
      </w:r>
    </w:p>
    <w:p>
      <w:pPr>
        <w:pStyle w:val="Heading1"/>
        <w:spacing w:before="360" w:after="120"/>
      </w:pPr>
      <w:r>
        <w:rPr>
          <w:color w:val="1F3964"/>
          <w:sz w:val="30"/>
        </w:rPr>
        <w:t>6. Conclusion</w:t>
      </w:r>
    </w:p>
    <w:p>
      <w:pPr>
        <w:spacing w:after="120"/>
      </w:pPr>
      <w:r>
        <w:t>The Higgins Unity Framework presents compositional data analysis practitioners with a governance-ready implementation of simplex-constrained monitoring. MC-4, the Ratio State Monitoring category, is the zero-instrument, non-invasive observer natural to any system whose state is a composition. Empirical pilots across ecology and manufacturing demonstrate operational viability. We invite the CoDa community to engage with the formal framework, particularly on the derivation of principled MDG thresholds and the algebraic properties of the provenance-tracking operator.</w:t>
      </w:r>
    </w:p>
    <w:p>
      <w:pPr>
        <w:pStyle w:val="Heading1"/>
        <w:spacing w:before="360" w:after="120"/>
      </w:pPr>
      <w:r>
        <w:rPr>
          <w:color w:val="1F3964"/>
          <w:sz w:val="30"/>
        </w:rPr>
        <w:t>References</w:t>
      </w:r>
    </w:p>
    <w:p>
      <w:pPr>
        <w:pStyle w:val="ListNumber"/>
        <w:spacing w:after="60"/>
      </w:pPr>
      <w:r>
        <w:rPr>
          <w:sz w:val="20"/>
        </w:rPr>
        <w:t>Aitchison, J. (1986). The Statistical Analysis of Compositional Data. Chapman &amp; Hall, London.</w:t>
      </w:r>
    </w:p>
    <w:p>
      <w:pPr>
        <w:pStyle w:val="ListNumber"/>
        <w:spacing w:after="60"/>
      </w:pPr>
      <w:r>
        <w:rPr>
          <w:sz w:val="20"/>
        </w:rPr>
        <w:t>Aitchison, J. (1992). On criteria for measures of compositional difference. Mathematical Geology, 24(4), 365-379.</w:t>
      </w:r>
    </w:p>
    <w:p>
      <w:pPr>
        <w:pStyle w:val="ListNumber"/>
        <w:spacing w:after="60"/>
      </w:pPr>
      <w:r>
        <w:rPr>
          <w:sz w:val="20"/>
        </w:rPr>
        <w:t>Pawlowsky-Glahn, V. &amp; Buccianti, A. (2011). Compositional Data Analysis: Theory and Applications. Wiley.</w:t>
      </w:r>
    </w:p>
    <w:p>
      <w:pPr>
        <w:pStyle w:val="ListNumber"/>
        <w:spacing w:after="60"/>
      </w:pPr>
      <w:r>
        <w:rPr>
          <w:sz w:val="20"/>
        </w:rPr>
        <w:t>van den Boogaart, K.G. &amp; Tolosana-Delgado, R. (2013). Analyzing Compositional Data with R. Springer.</w:t>
      </w:r>
    </w:p>
    <w:p>
      <w:pPr>
        <w:pStyle w:val="ListNumber"/>
        <w:spacing w:after="60"/>
      </w:pPr>
      <w:r>
        <w:rPr>
          <w:sz w:val="20"/>
        </w:rPr>
        <w:t>Egozcue, J.J. et al. (2003). Isometric logratio transformations for compositional data analysis. Mathematical Geology, 35(3), 279-300.</w:t>
      </w:r>
    </w:p>
    <w:p>
      <w:pPr>
        <w:pStyle w:val="ListNumber"/>
        <w:spacing w:after="60"/>
      </w:pPr>
      <w:r>
        <w:rPr>
          <w:sz w:val="20"/>
        </w:rPr>
        <w:t>Higgins, P. (2026). HUF Taxonomy — Complete Reference v1.0. Internal technical document, HUF Project.</w:t>
      </w:r>
    </w:p>
    <w:p>
      <w:pPr>
        <w:pStyle w:val="ListNumber"/>
        <w:spacing w:after="60"/>
      </w:pPr>
      <w:r>
        <w:rPr>
          <w:sz w:val="20"/>
        </w:rPr>
        <w:t>Higgins, P. (2026). The Fourth Monitoring Category: Ratio State Monitoring. HUF Project Wiki, February 2026.</w:t>
      </w:r>
    </w:p>
    <w:p>
      <w:pPr>
        <w:pStyle w:val="ListNumber"/>
        <w:spacing w:after="60"/>
      </w:pPr>
      <w:r>
        <w:rPr>
          <w:sz w:val="20"/>
        </w:rPr>
        <w:t>Higgins, P. (2026). HUF Croatia-Ramsar Pilot Package. Partner documentation, February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