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HUF.DRAFT.PARTNER.PAGE.GEOBON_EBV_APPLICATION | HUF:1.1.8 | DOC:v1.0 | STATUS:draft | LANE:DRAFT | RO:Peter Higgins</w:t>
      </w:r>
    </w:p>
    <w:p>
      <w:pPr>
        <w:spacing w:after="0" w:before="0"/>
      </w:pPr>
      <w:r>
        <w:rPr>
          <w:rFonts w:ascii="Courier New" w:hAnsi="Courier New"/>
          <w:color w:val="666666"/>
          <w:sz w:val="15"/>
        </w:rPr>
        <w:t>CODES: huf, GEO BON, EBV, biodiversity, MC-4, portfolio share | ART: CM, AS, TR, EB | EVID:E2 | POSTURE: OP | WEIGHTS: OP=0.80 TOOL=0.15 PEER=0.05 | CAP: OP_MIN=0.51 TOOL_MAX=0.49 | CANON:notes/current_documents/staged/HUF.DRAFT.PARTNER.PAGE.GEOBON_EBV_APPLICATION/</w:t>
      </w:r>
    </w:p>
    <w:p>
      <w:pPr>
        <w:spacing w:after="80"/>
      </w:pPr>
    </w:p>
    <w:p>
      <w:pPr>
        <w:spacing w:after="480"/>
      </w:pPr>
    </w:p>
    <w:p>
      <w:pPr>
        <w:spacing w:after="120"/>
        <w:jc w:val="left"/>
      </w:pPr>
      <w:r>
        <w:rPr>
          <w:b/>
          <w:color w:val="1F3964"/>
          <w:sz w:val="40"/>
        </w:rPr>
        <w:t>Essential Biodiversity Variable Candidate:</w:t>
        <w:br/>
        <w:t>HUF Portfolio Share (ρ) for Wetland Governance</w:t>
      </w:r>
    </w:p>
    <w:p>
      <w:pPr>
        <w:spacing w:after="480"/>
      </w:pPr>
      <w:r>
        <w:rPr>
          <w:i/>
          <w:color w:val="1F7A8C"/>
          <w:sz w:val="26"/>
        </w:rPr>
        <w:t>Formal application to GEO BON for EBV candidate evaluation</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Group on Earth Observations — Biodiversity Observation Network (GEO BON)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EBV Candidate Application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GEO BON Open EBV Framework — Habitat class / Ecosystem function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Executive Summary</w:t>
      </w:r>
    </w:p>
    <w:p>
      <w:pPr>
        <w:spacing w:after="120"/>
      </w:pPr>
      <w:r>
        <w:t>This document proposes the HUF Portfolio Share (ρ) as a candidate Essential Biodiversity Variable (EBV) within the GEO BON framework. Portfolio Share is a dimensionless, constraint-normalised measure of a habitat entity's relative allocation within a managed biodiversity portfolio, satisfying Σρᵢ = 1. Unlike area-based metrics, ρ captures governance intent — it distinguishes between deliberate management decisions and silent ecological drift. The associated monitoring protocol, MC-4 (Ratio State Monitoring), requires no additional instrumentation beyond existing management records. A working pilot at Crna Mlaka Ramsar site (Croatia) demonstrates operational feasibility.</w:t>
      </w:r>
    </w:p>
    <w:p>
      <w:pPr>
        <w:pStyle w:val="Heading1"/>
        <w:spacing w:before="360" w:after="120"/>
      </w:pPr>
      <w:r>
        <w:rPr>
          <w:color w:val="1F3964"/>
          <w:sz w:val="30"/>
        </w:rPr>
        <w:t>Section 1: Variable Identification</w:t>
      </w:r>
    </w:p>
    <w:p>
      <w:pPr>
        <w:pStyle w:val="Heading2"/>
        <w:spacing w:before="240" w:after="80"/>
      </w:pPr>
      <w:r>
        <w:rPr>
          <w:color w:val="1F7A8C"/>
          <w:sz w:val="26"/>
        </w:rPr>
        <w:t>1.1 Proposed EBV Name</w:t>
      </w:r>
    </w:p>
    <w:p>
      <w:pPr>
        <w:spacing w:after="120"/>
      </w:pPr>
      <w:r>
        <w:t>Managed Habitat Portfolio Share (HUF-ρ)</w:t>
      </w:r>
    </w:p>
    <w:p>
      <w:pPr>
        <w:pStyle w:val="Heading2"/>
        <w:spacing w:before="240" w:after="80"/>
      </w:pPr>
      <w:r>
        <w:rPr>
          <w:color w:val="1F7A8C"/>
          <w:sz w:val="26"/>
        </w:rPr>
        <w:t>1.2 EBV Class</w:t>
      </w:r>
    </w:p>
    <w:p>
      <w:pPr>
        <w:spacing w:after="120"/>
      </w:pPr>
      <w:r>
        <w:t>Ecosystem Function / Habitat — specifically the sub-class of governance-mediated habitat allocation in actively managed biodiversity portfolios.</w:t>
      </w:r>
    </w:p>
    <w:p>
      <w:pPr>
        <w:pStyle w:val="Heading2"/>
        <w:spacing w:before="240" w:after="80"/>
      </w:pPr>
      <w:r>
        <w:rPr>
          <w:color w:val="1F7A8C"/>
          <w:sz w:val="26"/>
        </w:rPr>
        <w:t>1.3 Definition</w:t>
      </w:r>
    </w:p>
    <w:p>
      <w:pPr>
        <w:spacing w:after="120"/>
      </w:pPr>
      <w:r>
        <w:t>For a managed biodiversity portfolio of k habitat entities {e₁ … eₖ}, the portfolio share of entity eᵢ at time t is:</w:t>
      </w:r>
    </w:p>
    <w:p>
      <w:pPr>
        <w:spacing w:after="120"/>
      </w:pPr>
      <w:r>
        <w:rPr>
          <w:rFonts w:ascii="Courier New" w:hAnsi="Courier New"/>
        </w:rPr>
        <w:t xml:space="preserve">    ρᵢ(t) = aᵢ(t) / Σⱼ aⱼ(t)</w:t>
      </w:r>
    </w:p>
    <w:p>
      <w:pPr>
        <w:spacing w:after="120"/>
      </w:pPr>
      <w:r>
        <w:t>where aᵢ(t) is the governance-declared allocation (budget, area, machine-time, or other finite resource) of entity i at time t. The portfolio share satisfies the unity constraint Σᵢ ρᵢ(t) = 1 by construction and lies on the open simplex Sᴷ.</w:t>
      </w:r>
    </w:p>
    <w:p>
      <w:pPr>
        <w:pStyle w:val="Heading2"/>
        <w:spacing w:before="240" w:after="80"/>
      </w:pPr>
      <w:r>
        <w:rPr>
          <w:color w:val="1F7A8C"/>
          <w:sz w:val="26"/>
        </w:rPr>
        <w:t>1.4 Units</w:t>
      </w:r>
    </w:p>
    <w:p>
      <w:pPr>
        <w:spacing w:after="120"/>
      </w:pPr>
      <w:r>
        <w:t>Dimensionless (proportion, 0–1 exclusive). Leverage Lᵢ = 1/ρᵢ provides an inverse-proportion scale useful for highlighting minority-portfolio entities.</w:t>
      </w:r>
    </w:p>
    <w:p>
      <w:pPr>
        <w:pStyle w:val="Heading2"/>
        <w:spacing w:before="240" w:after="80"/>
      </w:pPr>
      <w:r>
        <w:rPr>
          <w:color w:val="1F7A8C"/>
          <w:sz w:val="26"/>
        </w:rPr>
        <w:t>1.5 Temporal resolution</w:t>
      </w:r>
    </w:p>
    <w:p>
      <w:pPr>
        <w:spacing w:after="120"/>
      </w:pPr>
      <w:r>
        <w:t>Governance-period resolution (typically annual or triennial, matching Ramsar management planning cycles). Sub-annual resolution possible where management records support it.</w:t>
      </w:r>
    </w:p>
    <w:p>
      <w:pPr>
        <w:pStyle w:val="Heading1"/>
        <w:spacing w:before="360" w:after="120"/>
      </w:pPr>
      <w:r>
        <w:rPr>
          <w:color w:val="1F3964"/>
          <w:sz w:val="30"/>
        </w:rPr>
        <w:t>Section 2: Rationale and Relevance to GEO BON</w:t>
      </w:r>
    </w:p>
    <w:p>
      <w:pPr>
        <w:pStyle w:val="Heading2"/>
        <w:spacing w:before="240" w:after="80"/>
      </w:pPr>
      <w:r>
        <w:rPr>
          <w:color w:val="1F7A8C"/>
          <w:sz w:val="26"/>
        </w:rPr>
        <w:t>2.1 The monitoring gap addressed</w:t>
      </w:r>
    </w:p>
    <w:p>
      <w:pPr>
        <w:spacing w:after="120"/>
      </w:pPr>
      <w:r>
        <w:t>Existing EBVs characterise what is observed in ecosystems — species distributions, population abundances, phenological patterns, ecosystem function metrics. They do not characterise how management intent is allocated, or whether observed change reflects deliberate governance decisions or undetected drift. For managed protected areas — including all 2,465 Ramsar-designated wetland sites — this gap is operationally significant: managers need to know whether their ecosystem is changing because they decided it should, or in spite of their intentions.</w:t>
      </w:r>
    </w:p>
    <w:p>
      <w:pPr>
        <w:spacing w:after="120"/>
      </w:pPr>
      <w:r>
        <w:t>HUF-ρ fills this gap by making governance allocation an explicit, trackable, EBV-class observable. When combined with provenance logging (intentional vs. silent reweighting events), it enables a new category of biodiversity accountability: did management do what it declared?</w:t>
      </w:r>
    </w:p>
    <w:p>
      <w:pPr>
        <w:pStyle w:val="Heading2"/>
        <w:spacing w:before="240" w:after="80"/>
      </w:pPr>
      <w:r>
        <w:rPr>
          <w:color w:val="1F7A8C"/>
          <w:sz w:val="26"/>
        </w:rPr>
        <w:t>2.2 Alignment with GEO BON EBV criteria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GEO BON Criterion</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Meets?</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Evidence</w:t>
            </w:r>
          </w:p>
        </w:tc>
      </w:tr>
      <w:tr>
        <w:tc>
          <w:tcPr>
            <w:tcW w:type="dxa" w:w="2880"/>
            <w:tcBorders>
              <w:top w:val="single" w:sz="4" w:space="0" w:color="CCCCCC"/>
              <w:left w:val="single" w:sz="4" w:space="0" w:color="CCCCCC"/>
              <w:bottom w:val="single" w:sz="4" w:space="0" w:color="CCCCCC"/>
              <w:right w:val="single" w:sz="4" w:space="0" w:color="CCCCCC"/>
            </w:tcBorders>
          </w:tcPr>
          <w:p>
            <w:r>
              <w:t>Relevance to biodiversity monitoring</w:t>
            </w:r>
          </w:p>
        </w:tc>
        <w:tc>
          <w:tcPr>
            <w:tcW w:type="dxa" w:w="2880"/>
            <w:tcBorders>
              <w:top w:val="single" w:sz="4" w:space="0" w:color="CCCCCC"/>
              <w:left w:val="single" w:sz="4" w:space="0" w:color="CCCCCC"/>
              <w:bottom w:val="single" w:sz="4" w:space="0" w:color="CCCCCC"/>
              <w:right w:val="single" w:sz="4" w:space="0" w:color="CCCCCC"/>
            </w:tcBorders>
            <w:shd w:val="clear" w:color="auto" w:fill="E8F4E8"/>
          </w:tcPr>
          <w:p>
            <w:r>
              <w:t>YES</w:t>
            </w:r>
          </w:p>
        </w:tc>
        <w:tc>
          <w:tcPr>
            <w:tcW w:type="dxa" w:w="2880"/>
            <w:tcBorders>
              <w:top w:val="single" w:sz="4" w:space="0" w:color="CCCCCC"/>
              <w:left w:val="single" w:sz="4" w:space="0" w:color="CCCCCC"/>
              <w:bottom w:val="single" w:sz="4" w:space="0" w:color="CCCCCC"/>
              <w:right w:val="single" w:sz="4" w:space="0" w:color="CCCCCC"/>
            </w:tcBorders>
          </w:tcPr>
          <w:p>
            <w:r>
              <w:t>Directly tracks governance allocation in managed habitats including Ramsar sites</w:t>
            </w:r>
          </w:p>
        </w:tc>
      </w:tr>
      <w:tr>
        <w:tc>
          <w:tcPr>
            <w:tcW w:type="dxa" w:w="2880"/>
            <w:tcBorders>
              <w:top w:val="single" w:sz="4" w:space="0" w:color="CCCCCC"/>
              <w:left w:val="single" w:sz="4" w:space="0" w:color="CCCCCC"/>
              <w:bottom w:val="single" w:sz="4" w:space="0" w:color="CCCCCC"/>
              <w:right w:val="single" w:sz="4" w:space="0" w:color="CCCCCC"/>
            </w:tcBorders>
          </w:tcPr>
          <w:p>
            <w:r>
              <w:t>Measurability from existing data</w:t>
            </w:r>
          </w:p>
        </w:tc>
        <w:tc>
          <w:tcPr>
            <w:tcW w:type="dxa" w:w="2880"/>
            <w:tcBorders>
              <w:top w:val="single" w:sz="4" w:space="0" w:color="CCCCCC"/>
              <w:left w:val="single" w:sz="4" w:space="0" w:color="CCCCCC"/>
              <w:bottom w:val="single" w:sz="4" w:space="0" w:color="CCCCCC"/>
              <w:right w:val="single" w:sz="4" w:space="0" w:color="CCCCCC"/>
            </w:tcBorders>
            <w:shd w:val="clear" w:color="auto" w:fill="E8F4E8"/>
          </w:tcPr>
          <w:p>
            <w:r>
              <w:t>YES</w:t>
            </w:r>
          </w:p>
        </w:tc>
        <w:tc>
          <w:tcPr>
            <w:tcW w:type="dxa" w:w="2880"/>
            <w:tcBorders>
              <w:top w:val="single" w:sz="4" w:space="0" w:color="CCCCCC"/>
              <w:left w:val="single" w:sz="4" w:space="0" w:color="CCCCCC"/>
              <w:bottom w:val="single" w:sz="4" w:space="0" w:color="CCCCCC"/>
              <w:right w:val="single" w:sz="4" w:space="0" w:color="CCCCCC"/>
            </w:tcBorders>
          </w:tcPr>
          <w:p>
            <w:r>
              <w:t>Derived from management planning records; no new instruments required</w:t>
            </w:r>
          </w:p>
        </w:tc>
      </w:tr>
      <w:tr>
        <w:tc>
          <w:tcPr>
            <w:tcW w:type="dxa" w:w="2880"/>
            <w:tcBorders>
              <w:top w:val="single" w:sz="4" w:space="0" w:color="CCCCCC"/>
              <w:left w:val="single" w:sz="4" w:space="0" w:color="CCCCCC"/>
              <w:bottom w:val="single" w:sz="4" w:space="0" w:color="CCCCCC"/>
              <w:right w:val="single" w:sz="4" w:space="0" w:color="CCCCCC"/>
            </w:tcBorders>
          </w:tcPr>
          <w:p>
            <w:r>
              <w:t>Scalability across biomes and regions</w:t>
            </w:r>
          </w:p>
        </w:tc>
        <w:tc>
          <w:tcPr>
            <w:tcW w:type="dxa" w:w="2880"/>
            <w:tcBorders>
              <w:top w:val="single" w:sz="4" w:space="0" w:color="CCCCCC"/>
              <w:left w:val="single" w:sz="4" w:space="0" w:color="CCCCCC"/>
              <w:bottom w:val="single" w:sz="4" w:space="0" w:color="CCCCCC"/>
              <w:right w:val="single" w:sz="4" w:space="0" w:color="CCCCCC"/>
            </w:tcBorders>
            <w:shd w:val="clear" w:color="auto" w:fill="E8F4E8"/>
          </w:tcPr>
          <w:p>
            <w:r>
              <w:t>YES</w:t>
            </w:r>
          </w:p>
        </w:tc>
        <w:tc>
          <w:tcPr>
            <w:tcW w:type="dxa" w:w="2880"/>
            <w:tcBorders>
              <w:top w:val="single" w:sz="4" w:space="0" w:color="CCCCCC"/>
              <w:left w:val="single" w:sz="4" w:space="0" w:color="CCCCCC"/>
              <w:bottom w:val="single" w:sz="4" w:space="0" w:color="CCCCCC"/>
              <w:right w:val="single" w:sz="4" w:space="0" w:color="CCCCCC"/>
            </w:tcBorders>
          </w:tcPr>
          <w:p>
            <w:r>
              <w:t>Tested in wetlands and electronics; applicable to any finite-budget portfolio</w:t>
            </w:r>
          </w:p>
        </w:tc>
      </w:tr>
      <w:tr>
        <w:tc>
          <w:tcPr>
            <w:tcW w:type="dxa" w:w="2880"/>
            <w:tcBorders>
              <w:top w:val="single" w:sz="4" w:space="0" w:color="CCCCCC"/>
              <w:left w:val="single" w:sz="4" w:space="0" w:color="CCCCCC"/>
              <w:bottom w:val="single" w:sz="4" w:space="0" w:color="CCCCCC"/>
              <w:right w:val="single" w:sz="4" w:space="0" w:color="CCCCCC"/>
            </w:tcBorders>
          </w:tcPr>
          <w:p>
            <w:r>
              <w:t>Policy relevance</w:t>
            </w:r>
          </w:p>
        </w:tc>
        <w:tc>
          <w:tcPr>
            <w:tcW w:type="dxa" w:w="2880"/>
            <w:tcBorders>
              <w:top w:val="single" w:sz="4" w:space="0" w:color="CCCCCC"/>
              <w:left w:val="single" w:sz="4" w:space="0" w:color="CCCCCC"/>
              <w:bottom w:val="single" w:sz="4" w:space="0" w:color="CCCCCC"/>
              <w:right w:val="single" w:sz="4" w:space="0" w:color="CCCCCC"/>
            </w:tcBorders>
            <w:shd w:val="clear" w:color="auto" w:fill="E8F4E8"/>
          </w:tcPr>
          <w:p>
            <w:r>
              <w:t>YES</w:t>
            </w:r>
          </w:p>
        </w:tc>
        <w:tc>
          <w:tcPr>
            <w:tcW w:type="dxa" w:w="2880"/>
            <w:tcBorders>
              <w:top w:val="single" w:sz="4" w:space="0" w:color="CCCCCC"/>
              <w:left w:val="single" w:sz="4" w:space="0" w:color="CCCCCC"/>
              <w:bottom w:val="single" w:sz="4" w:space="0" w:color="CCCCCC"/>
              <w:right w:val="single" w:sz="4" w:space="0" w:color="CCCCCC"/>
            </w:tcBorders>
          </w:tcPr>
          <w:p>
            <w:r>
              <w:t>Aligns with Ramsar monitoring obligations and Kunming-Montreal GBF Target 3</w:t>
            </w:r>
          </w:p>
        </w:tc>
      </w:tr>
      <w:tr>
        <w:tc>
          <w:tcPr>
            <w:tcW w:type="dxa" w:w="2880"/>
            <w:tcBorders>
              <w:top w:val="single" w:sz="4" w:space="0" w:color="CCCCCC"/>
              <w:left w:val="single" w:sz="4" w:space="0" w:color="CCCCCC"/>
              <w:bottom w:val="single" w:sz="4" w:space="0" w:color="CCCCCC"/>
              <w:right w:val="single" w:sz="4" w:space="0" w:color="CCCCCC"/>
            </w:tcBorders>
          </w:tcPr>
          <w:p>
            <w:r>
              <w:t>Operational feasibility</w:t>
            </w:r>
          </w:p>
        </w:tc>
        <w:tc>
          <w:tcPr>
            <w:tcW w:type="dxa" w:w="2880"/>
            <w:tcBorders>
              <w:top w:val="single" w:sz="4" w:space="0" w:color="CCCCCC"/>
              <w:left w:val="single" w:sz="4" w:space="0" w:color="CCCCCC"/>
              <w:bottom w:val="single" w:sz="4" w:space="0" w:color="CCCCCC"/>
              <w:right w:val="single" w:sz="4" w:space="0" w:color="CCCCCC"/>
            </w:tcBorders>
            <w:shd w:val="clear" w:color="auto" w:fill="E8F4E8"/>
          </w:tcPr>
          <w:p>
            <w:r>
              <w:t>YES</w:t>
            </w:r>
          </w:p>
        </w:tc>
        <w:tc>
          <w:tcPr>
            <w:tcW w:type="dxa" w:w="2880"/>
            <w:tcBorders>
              <w:top w:val="single" w:sz="4" w:space="0" w:color="CCCCCC"/>
              <w:left w:val="single" w:sz="4" w:space="0" w:color="CCCCCC"/>
              <w:bottom w:val="single" w:sz="4" w:space="0" w:color="CCCCCC"/>
              <w:right w:val="single" w:sz="4" w:space="0" w:color="CCCCCC"/>
            </w:tcBorders>
          </w:tcPr>
          <w:p>
            <w:r>
              <w:t>Croatia Ramsar pilot demonstrates end-to-end operationalisation</w:t>
            </w:r>
          </w:p>
        </w:tc>
      </w:tr>
    </w:tbl>
    <w:p>
      <w:pPr>
        <w:spacing w:after="160"/>
      </w:pPr>
    </w:p>
    <w:p>
      <w:pPr>
        <w:pStyle w:val="Heading1"/>
        <w:spacing w:before="360" w:after="120"/>
      </w:pPr>
      <w:r>
        <w:rPr>
          <w:color w:val="1F3964"/>
          <w:sz w:val="30"/>
        </w:rPr>
        <w:t>Section 3: Measurement Protocol</w:t>
      </w:r>
    </w:p>
    <w:p>
      <w:pPr>
        <w:pStyle w:val="Heading2"/>
        <w:spacing w:before="240" w:after="80"/>
      </w:pPr>
      <w:r>
        <w:rPr>
          <w:color w:val="1F7A8C"/>
          <w:sz w:val="26"/>
        </w:rPr>
        <w:t>3.1 MC-4 — Ratio State Monitoring</w:t>
      </w:r>
    </w:p>
    <w:p>
      <w:pPr>
        <w:spacing w:after="120"/>
      </w:pPr>
      <w:r>
        <w:t>The monitoring protocol for HUF-ρ is the MC-4 category from the Higgins Unity Framework. It consists of three operational steps:</w:t>
      </w:r>
    </w:p>
    <w:p>
      <w:pPr>
        <w:pStyle w:val="ListBullet"/>
        <w:spacing w:after="60"/>
      </w:pPr>
      <w:r>
        <w:rPr>
          <w:b/>
        </w:rPr>
        <w:t xml:space="preserve">Step 1: Baseline declaration: </w:t>
      </w:r>
      <w:r>
        <w:t>Establish baseline portfolio composition ρ₀ from management planning records. Document the rationale for each initial allocation (ground state declaration).</w:t>
      </w:r>
    </w:p>
    <w:p>
      <w:pPr>
        <w:pStyle w:val="ListBullet"/>
        <w:spacing w:after="60"/>
      </w:pPr>
      <w:r>
        <w:rPr>
          <w:b/>
        </w:rPr>
        <w:t xml:space="preserve">Step 2: Period-on-period monitoring: </w:t>
      </w:r>
      <w:r>
        <w:t>At each governance period boundary, record the current portfolio shares ρ(t). Compute the Mean Drift Gap: MDG = Σᵢ |ρᵢ(t) − ρᵢ(t−1)| / k. Flag events where MDG exceeds a pre-specified threshold δ.</w:t>
      </w:r>
    </w:p>
    <w:p>
      <w:pPr>
        <w:pStyle w:val="ListBullet"/>
        <w:spacing w:after="60"/>
      </w:pPr>
      <w:r>
        <w:rPr>
          <w:b/>
        </w:rPr>
        <w:t xml:space="preserve">Step 3: Provenance classification: </w:t>
      </w:r>
      <w:r>
        <w:t>For each flagged event, determine provenance: intentional (logged management decision) or silent (undocumented drift). Silent events trigger review; intentional events update the baseline with logged rationale.</w:t>
      </w:r>
    </w:p>
    <w:p>
      <w:pPr>
        <w:pStyle w:val="Heading2"/>
        <w:spacing w:before="240" w:after="80"/>
      </w:pPr>
      <w:r>
        <w:rPr>
          <w:color w:val="1F7A8C"/>
          <w:sz w:val="26"/>
        </w:rPr>
        <w:t>3.2 Data requirements</w:t>
      </w:r>
    </w:p>
    <w:p>
      <w:pPr>
        <w:spacing w:after="120"/>
      </w:pPr>
      <w:r>
        <w:t>Minimum data requirement: governance-period management plans with allocation schedules for each designated habitat entity. No remote sensing, acoustic measurement, or physical field survey is required for MC-4 monitoring. Optional integration with MC-1/MC-2/MC-3 data enhances interpretation but is not required.</w:t>
      </w:r>
    </w:p>
    <w:p>
      <w:pPr>
        <w:pStyle w:val="Heading2"/>
        <w:spacing w:before="240" w:after="80"/>
      </w:pPr>
      <w:r>
        <w:rPr>
          <w:color w:val="1F7A8C"/>
          <w:sz w:val="26"/>
        </w:rPr>
        <w:t>3.3 Operator Control Contract</w:t>
      </w:r>
    </w:p>
    <w:p>
      <w:pPr>
        <w:spacing w:after="120"/>
      </w:pPr>
      <w:r>
        <w:t>HUF applies an operator control floor: the responsible operator's portfolio weight must remain ≥ 0.51 (51%) in any governance allocation decision. This ensures human authority over automated monitoring recommendations and prevents algorithmic overreach in sensitive ecological management contexts.</w:t>
      </w:r>
    </w:p>
    <w:p>
      <w:pPr>
        <w:pStyle w:val="Heading1"/>
        <w:spacing w:before="360" w:after="120"/>
      </w:pPr>
      <w:r>
        <w:rPr>
          <w:color w:val="1F3964"/>
          <w:sz w:val="30"/>
        </w:rPr>
        <w:t>Section 4: Pilot Evidence</w:t>
      </w:r>
    </w:p>
    <w:p>
      <w:pPr>
        <w:pStyle w:val="Heading2"/>
        <w:spacing w:before="240" w:after="80"/>
      </w:pPr>
      <w:r>
        <w:rPr>
          <w:color w:val="1F7A8C"/>
          <w:sz w:val="26"/>
        </w:rPr>
        <w:t>4.1 Croatia — Crna Mlaka Ramsar Site</w:t>
      </w:r>
    </w:p>
    <w:p>
      <w:pPr>
        <w:spacing w:after="120"/>
      </w:pPr>
      <w:r>
        <w:t>The Crna Mlaka fishpond complex (Ramsar #356, 620 ha, designated 1993) was the primary pilot site. A 17-zone portfolio was constructed from the site management plan. Key findings:</w:t>
      </w:r>
    </w:p>
    <w:p>
      <w:pPr>
        <w:pStyle w:val="ListBullet"/>
        <w:spacing w:after="60"/>
      </w:pPr>
      <w:r>
        <w:t>Core zone ρ = 0.0091 (leverage L = 110): high leverage zone despite minimal area, consistent with its status as the primary breeding habitat for target species.</w:t>
      </w:r>
    </w:p>
    <w:p>
      <w:pPr>
        <w:pStyle w:val="ListBullet"/>
        <w:spacing w:after="60"/>
      </w:pPr>
      <w:r>
        <w:t>MDG over the 2020-2025 management period: 0.0034 per governance year — below the proposed alert threshold of δ = 0.01.</w:t>
      </w:r>
    </w:p>
    <w:p>
      <w:pPr>
        <w:pStyle w:val="ListBullet"/>
        <w:spacing w:after="60"/>
      </w:pPr>
      <w:r>
        <w:t>Two legacy events reclassified from 'intentional' to 'silent' on MC-4 review, improving governance accountability without requiring any additional field data.</w:t>
      </w:r>
    </w:p>
    <w:p>
      <w:pPr>
        <w:pStyle w:val="ListBullet"/>
        <w:spacing w:after="60"/>
      </w:pPr>
      <w:r>
        <w:t>A Ramsar Article 3.2 notification draft was generated directly from the HUF portfolio trace, reducing reporting time by an estimated 60% versus manual preparation.</w:t>
      </w:r>
    </w:p>
    <w:p>
      <w:pPr>
        <w:pStyle w:val="Heading1"/>
        <w:spacing w:before="360" w:after="120"/>
      </w:pPr>
      <w:r>
        <w:rPr>
          <w:color w:val="1F3964"/>
          <w:sz w:val="30"/>
        </w:rPr>
        <w:t>Section 5: Proposed Pathway to GEO BON Endorsement</w:t>
      </w:r>
    </w:p>
    <w:p>
      <w:pPr>
        <w:spacing w:after="120"/>
      </w:pPr>
      <w:r>
        <w:t>We propose the following three-stage pathway:</w:t>
      </w:r>
    </w:p>
    <w:p>
      <w:pPr>
        <w:pStyle w:val="ListBullet"/>
        <w:spacing w:after="60"/>
      </w:pPr>
      <w:r>
        <w:rPr>
          <w:b/>
        </w:rPr>
        <w:t xml:space="preserve">Stage 1 (Q2 2026): Initial review: </w:t>
      </w:r>
      <w:r>
        <w:t>Submit this application to GEO BON Secretariat. Request assignment to the Ecosystem EBV Working Group for initial technical review. Provide HUF technical documentation package on request.</w:t>
      </w:r>
    </w:p>
    <w:p>
      <w:pPr>
        <w:pStyle w:val="ListBullet"/>
        <w:spacing w:after="60"/>
      </w:pPr>
      <w:r>
        <w:rPr>
          <w:b/>
        </w:rPr>
        <w:t xml:space="preserve">Stage 2 (Q3-Q4 2026): Multi-site validation: </w:t>
      </w:r>
      <w:r>
        <w:t>Expand pilot to three additional Ramsar sites (minimum), covering at least two biogeographic regions. Produce comparative MDG analysis. Engage Ramsar Technical Committee for co-endorsement.</w:t>
      </w:r>
    </w:p>
    <w:p>
      <w:pPr>
        <w:pStyle w:val="ListBullet"/>
        <w:spacing w:after="60"/>
      </w:pPr>
      <w:r>
        <w:rPr>
          <w:b/>
        </w:rPr>
        <w:t xml:space="preserve">Stage 3 (2027): Peer review and formal submission: </w:t>
      </w:r>
      <w:r>
        <w:t>Publish validation results in peer-reviewed journal (target: Ecological Indicators or Biological Conservation). Submit for formal EBV status evaluation.</w:t>
      </w:r>
    </w:p>
    <w:p>
      <w:pPr>
        <w:pStyle w:val="Heading1"/>
        <w:spacing w:before="360" w:after="120"/>
      </w:pPr>
      <w:r>
        <w:rPr>
          <w:color w:val="1F3964"/>
          <w:sz w:val="30"/>
        </w:rPr>
        <w:t>Section 6: Contact and Supporting Materials</w:t>
      </w:r>
    </w:p>
    <w:p>
      <w:pPr>
        <w:spacing w:after="120"/>
      </w:pPr>
      <w:r>
        <w:t>Author: Peter Higgins | peterhiggins2016@gmail.com</w:t>
      </w:r>
    </w:p>
    <w:p>
      <w:pPr>
        <w:spacing w:after="120"/>
      </w:pPr>
      <w:r>
        <w:t>Supporting documentation available on request:</w:t>
      </w:r>
    </w:p>
    <w:p>
      <w:pPr>
        <w:pStyle w:val="ListBullet"/>
        <w:spacing w:after="60"/>
      </w:pPr>
      <w:r>
        <w:t>HUF Taxonomy — Complete Reference (wiki_huf_taxonomy_complete.md)</w:t>
      </w:r>
    </w:p>
    <w:p>
      <w:pPr>
        <w:pStyle w:val="ListBullet"/>
        <w:spacing w:after="60"/>
      </w:pPr>
      <w:r>
        <w:t>Croatia Ramsar Pilot Package (HUF_Ramsar_Croatia_Package_Feb2026.docx)</w:t>
      </w:r>
    </w:p>
    <w:p>
      <w:pPr>
        <w:pStyle w:val="ListBullet"/>
        <w:spacing w:after="60"/>
      </w:pPr>
      <w:r>
        <w:t>HUF MC-4 Epistemological Foundation (wiki_fourth_monitoring_category_expanded.md)</w:t>
      </w:r>
    </w:p>
    <w:p>
      <w:pPr>
        <w:pStyle w:val="ListBullet"/>
        <w:spacing w:after="60"/>
      </w:pPr>
      <w:r>
        <w:t>Ramsar HUF Demo (ramsar_huf_demo_v2.py) — reproducible computation of MC-4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