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HUF.DRAFT.PARTNER.MANUSCRIPT.HORIZON_EUROPE_CASE_FOR_SUPPORT | HUF:1.1.8 | DOC:v1.0 | STATUS:draft | LANE:DRAFT | RO:Peter Higgins</w:t>
      </w:r>
    </w:p>
    <w:p>
      <w:pPr>
        <w:spacing w:after="0" w:before="0"/>
      </w:pPr>
      <w:r>
        <w:rPr>
          <w:rFonts w:ascii="Courier New" w:hAnsi="Courier New"/>
          <w:color w:val="666666"/>
          <w:sz w:val="15"/>
        </w:rPr>
        <w:t>CODES: huf, Horizon Europe, Cluster 6, grant, MC-4, wetlands, biodiversity | ART: CM, AS, TR, EB | EVID:E2 | POSTURE: OP | WEIGHTS: OP=0.80 TOOL=0.15 PEER=0.05 | CAP: OP_MIN=0.51 TOOL_MAX=0.49 | CANON:notes/current_documents/staged/HUF.DRAFT.PARTNER.MANUSCRIPT.HORIZON_EUROPE_CASE_FOR_SUPPORT/</w:t>
      </w:r>
    </w:p>
    <w:p>
      <w:pPr>
        <w:spacing w:after="80"/>
      </w:pPr>
    </w:p>
    <w:p>
      <w:pPr>
        <w:spacing w:after="480"/>
      </w:pPr>
    </w:p>
    <w:p>
      <w:pPr>
        <w:spacing w:after="120"/>
        <w:jc w:val="left"/>
      </w:pPr>
      <w:r>
        <w:rPr>
          <w:b/>
          <w:color w:val="1F3964"/>
          <w:sz w:val="40"/>
        </w:rPr>
        <w:t>Case for Support</w:t>
        <w:br/>
        <w:t>Ratio State Monitoring for Biodiversity Portfolio Governance</w:t>
      </w:r>
    </w:p>
    <w:p>
      <w:pPr>
        <w:spacing w:after="480"/>
      </w:pPr>
      <w:r>
        <w:rPr>
          <w:i/>
          <w:color w:val="1F7A8C"/>
          <w:sz w:val="26"/>
        </w:rPr>
        <w:t>Horizon Europe — Cluster 6: Food, Bioeconomy, Natural Resources, Agriculture and Environment</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European Research Executive Agency (REA) / Horizon Europe</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Case for Support (Research &amp; Innovation Action)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Horizon Europe Cluster 6 — Destination: Biodiversity and Ecosystem Services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Part 1: Excellence</w:t>
      </w:r>
    </w:p>
    <w:p>
      <w:pPr>
        <w:pStyle w:val="Heading2"/>
        <w:spacing w:before="240" w:after="80"/>
      </w:pPr>
      <w:r>
        <w:rPr>
          <w:color w:val="1F7A8C"/>
          <w:sz w:val="26"/>
        </w:rPr>
        <w:t>1.1 Objectives and ambition</w:t>
      </w:r>
    </w:p>
    <w:p>
      <w:pPr>
        <w:spacing w:after="120"/>
      </w:pPr>
      <w:r>
        <w:t>The overarching objective of this proposal is to develop, validate, and deploy Ratio State Monitoring (RSM), a novel monitoring paradigm for managed biodiversity portfolios, based on the Higgins Unity Framework (HUF). RSM addresses a structural gap in biodiversity governance: the absence of a methodology that tracks management intent alongside ecological state, enabling practitioners to distinguish deliberate governance decisions from undetected environmental drift.</w:t>
      </w:r>
    </w:p>
    <w:p>
      <w:pPr>
        <w:spacing w:after="120"/>
      </w:pPr>
      <w:r>
        <w:t>Specific objectives are:</w:t>
      </w:r>
    </w:p>
    <w:p>
      <w:pPr>
        <w:pStyle w:val="ListBullet"/>
        <w:spacing w:after="60"/>
      </w:pPr>
      <w:r>
        <w:t>Formalise the mathematical foundations of RSM within the compositional data analysis framework, establishing principled alert thresholds for governance drift detection.</w:t>
      </w:r>
    </w:p>
    <w:p>
      <w:pPr>
        <w:pStyle w:val="ListBullet"/>
        <w:spacing w:after="60"/>
      </w:pPr>
      <w:r>
        <w:t>Validate RSM across a minimum of eight Ramsar-designated wetland sites spanning three European biogeographic regions (Atlantic, Continental, Mediterranean).</w:t>
      </w:r>
    </w:p>
    <w:p>
      <w:pPr>
        <w:pStyle w:val="ListBullet"/>
        <w:spacing w:after="60"/>
      </w:pPr>
      <w:r>
        <w:t>Develop open-source tooling for MC-4 monitoring, integrating with existing Ramsar reporting workflows and compatible with the GEO BON Essential Biodiversity Variable infrastructure.</w:t>
      </w:r>
    </w:p>
    <w:p>
      <w:pPr>
        <w:pStyle w:val="ListBullet"/>
        <w:spacing w:after="60"/>
      </w:pPr>
      <w:r>
        <w:t>Propose HUF Portfolio Share (ρ) for adoption as an EBV class indicator, with supporting submission to GEO BON and the CBD Subsidiary Body on Scientific, Technical and Technological Advice (SBSTTA).</w:t>
      </w:r>
    </w:p>
    <w:p>
      <w:pPr>
        <w:pStyle w:val="Heading2"/>
        <w:spacing w:before="240" w:after="80"/>
      </w:pPr>
      <w:r>
        <w:rPr>
          <w:color w:val="1F7A8C"/>
          <w:sz w:val="26"/>
        </w:rPr>
        <w:t>1.2 Relation to the Horizon Europe work programme</w:t>
      </w:r>
    </w:p>
    <w:p>
      <w:pPr>
        <w:spacing w:after="120"/>
      </w:pPr>
      <w:r>
        <w:t>This proposal responds directly to the Cluster 6 Destination priority on 'Protecting and restoring biodiversity and ecosystems' (HORIZON-CL6-2026-BIODIV). The Kunming-Montreal Global Biodiversity Framework (GBF) Target 3 requires that 30% of terrestrial and inland water areas are effectively conserved and managed by 2030. 'Effectively managed' is currently undefined in operational monitoring terms. HUF-RSM provides a measurable, auditable, and technically rigorous operationalisation of management effectiveness for wetland portfolios, directly enabling evidence-based compliance reporting.</w:t>
      </w:r>
    </w:p>
    <w:p>
      <w:pPr>
        <w:pStyle w:val="Heading2"/>
        <w:spacing w:before="240" w:after="80"/>
      </w:pPr>
      <w:r>
        <w:rPr>
          <w:color w:val="1F7A8C"/>
          <w:sz w:val="26"/>
        </w:rPr>
        <w:t>1.3 Methodology</w:t>
      </w:r>
    </w:p>
    <w:p>
      <w:pPr>
        <w:spacing w:after="120"/>
      </w:pPr>
      <w:r>
        <w:t>The project will proceed in three phases across a 36-month project period:</w:t>
      </w:r>
    </w:p>
    <w:p>
      <w:pPr>
        <w:pStyle w:val="Heading3"/>
        <w:spacing w:before="160" w:after="60"/>
      </w:pPr>
      <w:r>
        <w:rPr>
          <w:color w:val="44546E"/>
          <w:sz w:val="23"/>
        </w:rPr>
        <w:t>Phase 1 (Months 1-12): Mathematical formalisation and single-site validation</w:t>
      </w:r>
    </w:p>
    <w:p>
      <w:pPr>
        <w:spacing w:after="120"/>
      </w:pPr>
      <w:r>
        <w:t>Derive principled MDG thresholds using simulation under a Dirichlet null model of compositional drift. Establish the correspondence between HUF leverage (L = 1/ρ) and Aitchison simplex distance metrics. Validate the complete MC-4 protocol at Crna Mlaka (Croatia) and two additional Ramsar sites with documented management histories.</w:t>
      </w:r>
    </w:p>
    <w:p>
      <w:pPr>
        <w:pStyle w:val="Heading3"/>
        <w:spacing w:before="160" w:after="60"/>
      </w:pPr>
      <w:r>
        <w:rPr>
          <w:color w:val="44546E"/>
          <w:sz w:val="23"/>
        </w:rPr>
        <w:t>Phase 2 (Months 13-24): Multi-site deployment and tooling</w:t>
      </w:r>
    </w:p>
    <w:p>
      <w:pPr>
        <w:spacing w:after="120"/>
      </w:pPr>
      <w:r>
        <w:t>Deploy the MC-4 protocol across eight Ramsar sites with national management authority partners. Develop the HUF Portfolio Tracker open-source software package (Python/R). Integrate with the Ramsar Information System and pilot GEO BON EBV data submission pipeline.</w:t>
      </w:r>
    </w:p>
    <w:p>
      <w:pPr>
        <w:pStyle w:val="Heading3"/>
        <w:spacing w:before="160" w:after="60"/>
      </w:pPr>
      <w:r>
        <w:rPr>
          <w:color w:val="44546E"/>
          <w:sz w:val="23"/>
        </w:rPr>
        <w:t>Phase 3 (Months 25-36): Standardisation and policy pathway</w:t>
      </w:r>
    </w:p>
    <w:p>
      <w:pPr>
        <w:spacing w:after="120"/>
      </w:pPr>
      <w:r>
        <w:t>Submit the HUF-ρ EBV candidate to GEO BON and the Ramsar Technical Committee. Publish formal mathematical paper and empirical validation results. Develop practitioner handbook for Ramsar site managers. Engage CBD SBSTTA on GBF indicator pathway.</w:t>
      </w:r>
    </w:p>
    <w:p>
      <w:pPr>
        <w:pStyle w:val="Heading2"/>
        <w:spacing w:before="240" w:after="80"/>
      </w:pPr>
      <w:r>
        <w:rPr>
          <w:color w:val="1F7A8C"/>
          <w:sz w:val="26"/>
        </w:rPr>
        <w:t>1.4 Quality and credibility of the research</w:t>
      </w:r>
    </w:p>
    <w:p>
      <w:pPr>
        <w:spacing w:after="120"/>
      </w:pPr>
      <w:r>
        <w:t>The research builds on three years of development (2023-2026) across multiple domains including acoustic engineering, electronics manufacturing quality control, and wetland ecology. The Croatia Ramsar pilot (Feb 2026) constitutes preliminary work demonstrating end-to-end operationalisation. The mathematical foundations (HUF v1.1.8) have been reviewed by the multi-AI collective (Claude, ChatGPT, Grok, Gemini, Copilot) under the HUF operator control framework, providing an unusual and rigorous multi-perspective pre-peer-review process.</w:t>
      </w:r>
    </w:p>
    <w:p>
      <w:pPr>
        <w:pStyle w:val="Heading1"/>
        <w:spacing w:before="360" w:after="120"/>
      </w:pPr>
      <w:r>
        <w:rPr>
          <w:color w:val="1F3964"/>
          <w:sz w:val="30"/>
        </w:rPr>
        <w:t>Part 2: Impact</w:t>
      </w:r>
    </w:p>
    <w:p>
      <w:pPr>
        <w:pStyle w:val="Heading2"/>
        <w:spacing w:before="240" w:after="80"/>
      </w:pPr>
      <w:r>
        <w:rPr>
          <w:color w:val="1F7A8C"/>
          <w:sz w:val="26"/>
        </w:rPr>
        <w:t>2.1 Expected outcomes and impacts</w:t>
      </w:r>
    </w:p>
    <w:p>
      <w:pPr>
        <w:spacing w:after="120"/>
      </w:pPr>
      <w:r>
        <w:t>Upon completion, this project will deliver:</w:t>
      </w:r>
    </w:p>
    <w:p>
      <w:pPr>
        <w:pStyle w:val="ListBullet"/>
        <w:spacing w:after="60"/>
      </w:pPr>
      <w:r>
        <w:t>A validated monitoring standard for managed biodiversity portfolios, applicable to all 2,465 Ramsar sites globally and extensible to other protected area categories.</w:t>
      </w:r>
    </w:p>
    <w:p>
      <w:pPr>
        <w:pStyle w:val="ListBullet"/>
        <w:spacing w:after="60"/>
      </w:pPr>
      <w:r>
        <w:t>Open-source MC-4 tooling enabling Ramsar site managers across Europe (currently ~340 sites) to self-assess management effectiveness without specialist support.</w:t>
      </w:r>
    </w:p>
    <w:p>
      <w:pPr>
        <w:pStyle w:val="ListBullet"/>
        <w:spacing w:after="60"/>
      </w:pPr>
      <w:r>
        <w:t>A submitted EBV candidate providing a governance-layer metric complementary to existing ecological state EBVs, closing the 'management intent' monitoring gap.</w:t>
      </w:r>
    </w:p>
    <w:p>
      <w:pPr>
        <w:pStyle w:val="ListBullet"/>
        <w:spacing w:after="60"/>
      </w:pPr>
      <w:r>
        <w:t>A peer-reviewed mathematical framework for ratio state monitoring applicable across ecology, resource management, and any finite-budget governance context.</w:t>
      </w:r>
    </w:p>
    <w:p>
      <w:pPr>
        <w:pStyle w:val="Heading2"/>
        <w:spacing w:before="240" w:after="80"/>
      </w:pPr>
      <w:r>
        <w:rPr>
          <w:color w:val="1F7A8C"/>
          <w:sz w:val="26"/>
        </w:rPr>
        <w:t>2.2 Policy relevance</w:t>
      </w:r>
    </w:p>
    <w:p>
      <w:pPr>
        <w:spacing w:after="120"/>
      </w:pPr>
      <w:r>
        <w:t>The project directly supports EU Biodiversity Strategy 2030 targets and the GBF Kunming-Montreal framework, providing a technically rigorous and practitioner-accessible methodology for the 'effective management' requirement. Ramsar's Article 3.2 monitoring obligations create an immediate policy pull for improved monitoring tools at scale.</w:t>
      </w:r>
    </w:p>
    <w:p>
      <w:pPr>
        <w:pStyle w:val="Heading2"/>
        <w:spacing w:before="240" w:after="80"/>
      </w:pPr>
      <w:r>
        <w:rPr>
          <w:color w:val="1F7A8C"/>
          <w:sz w:val="26"/>
        </w:rPr>
        <w:t>2.3 Exploitation and dissemination plan</w:t>
      </w:r>
    </w:p>
    <w:p>
      <w:pPr>
        <w:pStyle w:val="ListBullet"/>
        <w:spacing w:after="60"/>
      </w:pPr>
      <w:r>
        <w:t>Peer-reviewed publications: 3 minimum (Mathematical Geosciences/CoDaWork, Ecological Indicators, Journal of Applied Ecology)</w:t>
      </w:r>
    </w:p>
    <w:p>
      <w:pPr>
        <w:pStyle w:val="ListBullet"/>
        <w:spacing w:after="60"/>
      </w:pPr>
      <w:r>
        <w:t>Conference presentations: CoDaWork 2026, INTECOL 2026, Ramsar COP15</w:t>
      </w:r>
    </w:p>
    <w:p>
      <w:pPr>
        <w:pStyle w:val="ListBullet"/>
        <w:spacing w:after="60"/>
      </w:pPr>
      <w:r>
        <w:t>Open-source software: PyPI/CRAN package under MIT licence</w:t>
      </w:r>
    </w:p>
    <w:p>
      <w:pPr>
        <w:pStyle w:val="ListBullet"/>
        <w:spacing w:after="60"/>
      </w:pPr>
      <w:r>
        <w:t>Policy briefs: Ramsar Secretariat, CBD Secretariat, EEA</w:t>
      </w:r>
    </w:p>
    <w:p>
      <w:pPr>
        <w:pStyle w:val="Heading1"/>
        <w:spacing w:before="360" w:after="120"/>
      </w:pPr>
      <w:r>
        <w:rPr>
          <w:color w:val="1F3964"/>
          <w:sz w:val="30"/>
        </w:rPr>
        <w:t>Part 3: Implementation</w:t>
      </w:r>
    </w:p>
    <w:p>
      <w:pPr>
        <w:pStyle w:val="Heading2"/>
        <w:spacing w:before="240" w:after="80"/>
      </w:pPr>
      <w:r>
        <w:rPr>
          <w:color w:val="1F7A8C"/>
          <w:sz w:val="26"/>
        </w:rPr>
        <w:t>3.1 Work packages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WP</w:t>
            </w:r>
          </w:p>
        </w:tc>
        <w:tc>
          <w:tcPr>
            <w:tcW w:type="dxa" w:w="216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Title</w:t>
            </w:r>
          </w:p>
        </w:tc>
        <w:tc>
          <w:tcPr>
            <w:tcW w:type="dxa" w:w="216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Lead</w:t>
            </w:r>
          </w:p>
        </w:tc>
        <w:tc>
          <w:tcPr>
            <w:tcW w:type="dxa" w:w="216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Months</w:t>
            </w:r>
          </w:p>
        </w:tc>
      </w:tr>
      <w:tr>
        <w:tc>
          <w:tcPr>
            <w:tcW w:type="dxa" w:w="2160"/>
            <w:tcBorders>
              <w:top w:val="single" w:sz="4" w:space="0" w:color="CCCCCC"/>
              <w:left w:val="single" w:sz="4" w:space="0" w:color="CCCCCC"/>
              <w:bottom w:val="single" w:sz="4" w:space="0" w:color="CCCCCC"/>
              <w:right w:val="single" w:sz="4" w:space="0" w:color="CCCCCC"/>
            </w:tcBorders>
          </w:tcPr>
          <w:p>
            <w:r>
              <w:t>WP1</w:t>
            </w:r>
          </w:p>
        </w:tc>
        <w:tc>
          <w:tcPr>
            <w:tcW w:type="dxa" w:w="2160"/>
            <w:tcBorders>
              <w:top w:val="single" w:sz="4" w:space="0" w:color="CCCCCC"/>
              <w:left w:val="single" w:sz="4" w:space="0" w:color="CCCCCC"/>
              <w:bottom w:val="single" w:sz="4" w:space="0" w:color="CCCCCC"/>
              <w:right w:val="single" w:sz="4" w:space="0" w:color="CCCCCC"/>
            </w:tcBorders>
          </w:tcPr>
          <w:p>
            <w:r>
              <w:t>Mathematical formalisation of RSM/MC-4</w:t>
            </w:r>
          </w:p>
        </w:tc>
        <w:tc>
          <w:tcPr>
            <w:tcW w:type="dxa" w:w="2160"/>
            <w:tcBorders>
              <w:top w:val="single" w:sz="4" w:space="0" w:color="CCCCCC"/>
              <w:left w:val="single" w:sz="4" w:space="0" w:color="CCCCCC"/>
              <w:bottom w:val="single" w:sz="4" w:space="0" w:color="CCCCCC"/>
              <w:right w:val="single" w:sz="4" w:space="0" w:color="CCCCCC"/>
            </w:tcBorders>
          </w:tcPr>
          <w:p>
            <w:r>
              <w:t>P. Higgins</w:t>
            </w:r>
          </w:p>
        </w:tc>
        <w:tc>
          <w:tcPr>
            <w:tcW w:type="dxa" w:w="2160"/>
            <w:tcBorders>
              <w:top w:val="single" w:sz="4" w:space="0" w:color="CCCCCC"/>
              <w:left w:val="single" w:sz="4" w:space="0" w:color="CCCCCC"/>
              <w:bottom w:val="single" w:sz="4" w:space="0" w:color="CCCCCC"/>
              <w:right w:val="single" w:sz="4" w:space="0" w:color="CCCCCC"/>
            </w:tcBorders>
          </w:tcPr>
          <w:p>
            <w:r>
              <w:t>1-12</w:t>
            </w:r>
          </w:p>
        </w:tc>
      </w:tr>
      <w:tr>
        <w:tc>
          <w:tcPr>
            <w:tcW w:type="dxa" w:w="2160"/>
            <w:tcBorders>
              <w:top w:val="single" w:sz="4" w:space="0" w:color="CCCCCC"/>
              <w:left w:val="single" w:sz="4" w:space="0" w:color="CCCCCC"/>
              <w:bottom w:val="single" w:sz="4" w:space="0" w:color="CCCCCC"/>
              <w:right w:val="single" w:sz="4" w:space="0" w:color="CCCCCC"/>
            </w:tcBorders>
          </w:tcPr>
          <w:p>
            <w:r>
              <w:t>WP2</w:t>
            </w:r>
          </w:p>
        </w:tc>
        <w:tc>
          <w:tcPr>
            <w:tcW w:type="dxa" w:w="2160"/>
            <w:tcBorders>
              <w:top w:val="single" w:sz="4" w:space="0" w:color="CCCCCC"/>
              <w:left w:val="single" w:sz="4" w:space="0" w:color="CCCCCC"/>
              <w:bottom w:val="single" w:sz="4" w:space="0" w:color="CCCCCC"/>
              <w:right w:val="single" w:sz="4" w:space="0" w:color="CCCCCC"/>
            </w:tcBorders>
          </w:tcPr>
          <w:p>
            <w:r>
              <w:t>Single-site pilot validation (Croatia + 2)</w:t>
            </w:r>
          </w:p>
        </w:tc>
        <w:tc>
          <w:tcPr>
            <w:tcW w:type="dxa" w:w="2160"/>
            <w:tcBorders>
              <w:top w:val="single" w:sz="4" w:space="0" w:color="CCCCCC"/>
              <w:left w:val="single" w:sz="4" w:space="0" w:color="CCCCCC"/>
              <w:bottom w:val="single" w:sz="4" w:space="0" w:color="CCCCCC"/>
              <w:right w:val="single" w:sz="4" w:space="0" w:color="CCCCCC"/>
            </w:tcBorders>
          </w:tcPr>
          <w:p>
            <w:r>
              <w:t>P. Higgins + Site Partners</w:t>
            </w:r>
          </w:p>
        </w:tc>
        <w:tc>
          <w:tcPr>
            <w:tcW w:type="dxa" w:w="2160"/>
            <w:tcBorders>
              <w:top w:val="single" w:sz="4" w:space="0" w:color="CCCCCC"/>
              <w:left w:val="single" w:sz="4" w:space="0" w:color="CCCCCC"/>
              <w:bottom w:val="single" w:sz="4" w:space="0" w:color="CCCCCC"/>
              <w:right w:val="single" w:sz="4" w:space="0" w:color="CCCCCC"/>
            </w:tcBorders>
          </w:tcPr>
          <w:p>
            <w:r>
              <w:t>1-18</w:t>
            </w:r>
          </w:p>
        </w:tc>
      </w:tr>
      <w:tr>
        <w:tc>
          <w:tcPr>
            <w:tcW w:type="dxa" w:w="2160"/>
            <w:tcBorders>
              <w:top w:val="single" w:sz="4" w:space="0" w:color="CCCCCC"/>
              <w:left w:val="single" w:sz="4" w:space="0" w:color="CCCCCC"/>
              <w:bottom w:val="single" w:sz="4" w:space="0" w:color="CCCCCC"/>
              <w:right w:val="single" w:sz="4" w:space="0" w:color="CCCCCC"/>
            </w:tcBorders>
          </w:tcPr>
          <w:p>
            <w:r>
              <w:t>WP3</w:t>
            </w:r>
          </w:p>
        </w:tc>
        <w:tc>
          <w:tcPr>
            <w:tcW w:type="dxa" w:w="2160"/>
            <w:tcBorders>
              <w:top w:val="single" w:sz="4" w:space="0" w:color="CCCCCC"/>
              <w:left w:val="single" w:sz="4" w:space="0" w:color="CCCCCC"/>
              <w:bottom w:val="single" w:sz="4" w:space="0" w:color="CCCCCC"/>
              <w:right w:val="single" w:sz="4" w:space="0" w:color="CCCCCC"/>
            </w:tcBorders>
          </w:tcPr>
          <w:p>
            <w:r>
              <w:t>Multi-site deployment (8 Ramsar sites)</w:t>
            </w:r>
          </w:p>
        </w:tc>
        <w:tc>
          <w:tcPr>
            <w:tcW w:type="dxa" w:w="2160"/>
            <w:tcBorders>
              <w:top w:val="single" w:sz="4" w:space="0" w:color="CCCCCC"/>
              <w:left w:val="single" w:sz="4" w:space="0" w:color="CCCCCC"/>
              <w:bottom w:val="single" w:sz="4" w:space="0" w:color="CCCCCC"/>
              <w:right w:val="single" w:sz="4" w:space="0" w:color="CCCCCC"/>
            </w:tcBorders>
          </w:tcPr>
          <w:p>
            <w:r>
              <w:t>Site Partners</w:t>
            </w:r>
          </w:p>
        </w:tc>
        <w:tc>
          <w:tcPr>
            <w:tcW w:type="dxa" w:w="2160"/>
            <w:tcBorders>
              <w:top w:val="single" w:sz="4" w:space="0" w:color="CCCCCC"/>
              <w:left w:val="single" w:sz="4" w:space="0" w:color="CCCCCC"/>
              <w:bottom w:val="single" w:sz="4" w:space="0" w:color="CCCCCC"/>
              <w:right w:val="single" w:sz="4" w:space="0" w:color="CCCCCC"/>
            </w:tcBorders>
          </w:tcPr>
          <w:p>
            <w:r>
              <w:t>13-30</w:t>
            </w:r>
          </w:p>
        </w:tc>
      </w:tr>
      <w:tr>
        <w:tc>
          <w:tcPr>
            <w:tcW w:type="dxa" w:w="2160"/>
            <w:tcBorders>
              <w:top w:val="single" w:sz="4" w:space="0" w:color="CCCCCC"/>
              <w:left w:val="single" w:sz="4" w:space="0" w:color="CCCCCC"/>
              <w:bottom w:val="single" w:sz="4" w:space="0" w:color="CCCCCC"/>
              <w:right w:val="single" w:sz="4" w:space="0" w:color="CCCCCC"/>
            </w:tcBorders>
          </w:tcPr>
          <w:p>
            <w:r>
              <w:t>WP4</w:t>
            </w:r>
          </w:p>
        </w:tc>
        <w:tc>
          <w:tcPr>
            <w:tcW w:type="dxa" w:w="2160"/>
            <w:tcBorders>
              <w:top w:val="single" w:sz="4" w:space="0" w:color="CCCCCC"/>
              <w:left w:val="single" w:sz="4" w:space="0" w:color="CCCCCC"/>
              <w:bottom w:val="single" w:sz="4" w:space="0" w:color="CCCCCC"/>
              <w:right w:val="single" w:sz="4" w:space="0" w:color="CCCCCC"/>
            </w:tcBorders>
          </w:tcPr>
          <w:p>
            <w:r>
              <w:t>Open-source software development</w:t>
            </w:r>
          </w:p>
        </w:tc>
        <w:tc>
          <w:tcPr>
            <w:tcW w:type="dxa" w:w="2160"/>
            <w:tcBorders>
              <w:top w:val="single" w:sz="4" w:space="0" w:color="CCCCCC"/>
              <w:left w:val="single" w:sz="4" w:space="0" w:color="CCCCCC"/>
              <w:bottom w:val="single" w:sz="4" w:space="0" w:color="CCCCCC"/>
              <w:right w:val="single" w:sz="4" w:space="0" w:color="CCCCCC"/>
            </w:tcBorders>
          </w:tcPr>
          <w:p>
            <w:r>
              <w:t>Software lead (TBC)</w:t>
            </w:r>
          </w:p>
        </w:tc>
        <w:tc>
          <w:tcPr>
            <w:tcW w:type="dxa" w:w="2160"/>
            <w:tcBorders>
              <w:top w:val="single" w:sz="4" w:space="0" w:color="CCCCCC"/>
              <w:left w:val="single" w:sz="4" w:space="0" w:color="CCCCCC"/>
              <w:bottom w:val="single" w:sz="4" w:space="0" w:color="CCCCCC"/>
              <w:right w:val="single" w:sz="4" w:space="0" w:color="CCCCCC"/>
            </w:tcBorders>
          </w:tcPr>
          <w:p>
            <w:r>
              <w:t>6-30</w:t>
            </w:r>
          </w:p>
        </w:tc>
      </w:tr>
      <w:tr>
        <w:tc>
          <w:tcPr>
            <w:tcW w:type="dxa" w:w="2160"/>
            <w:tcBorders>
              <w:top w:val="single" w:sz="4" w:space="0" w:color="CCCCCC"/>
              <w:left w:val="single" w:sz="4" w:space="0" w:color="CCCCCC"/>
              <w:bottom w:val="single" w:sz="4" w:space="0" w:color="CCCCCC"/>
              <w:right w:val="single" w:sz="4" w:space="0" w:color="CCCCCC"/>
            </w:tcBorders>
          </w:tcPr>
          <w:p>
            <w:r>
              <w:t>WP5</w:t>
            </w:r>
          </w:p>
        </w:tc>
        <w:tc>
          <w:tcPr>
            <w:tcW w:type="dxa" w:w="2160"/>
            <w:tcBorders>
              <w:top w:val="single" w:sz="4" w:space="0" w:color="CCCCCC"/>
              <w:left w:val="single" w:sz="4" w:space="0" w:color="CCCCCC"/>
              <w:bottom w:val="single" w:sz="4" w:space="0" w:color="CCCCCC"/>
              <w:right w:val="single" w:sz="4" w:space="0" w:color="CCCCCC"/>
            </w:tcBorders>
          </w:tcPr>
          <w:p>
            <w:r>
              <w:t>Standardisation and policy pathway</w:t>
            </w:r>
          </w:p>
        </w:tc>
        <w:tc>
          <w:tcPr>
            <w:tcW w:type="dxa" w:w="2160"/>
            <w:tcBorders>
              <w:top w:val="single" w:sz="4" w:space="0" w:color="CCCCCC"/>
              <w:left w:val="single" w:sz="4" w:space="0" w:color="CCCCCC"/>
              <w:bottom w:val="single" w:sz="4" w:space="0" w:color="CCCCCC"/>
              <w:right w:val="single" w:sz="4" w:space="0" w:color="CCCCCC"/>
            </w:tcBorders>
          </w:tcPr>
          <w:p>
            <w:r>
              <w:t>P. Higgins</w:t>
            </w:r>
          </w:p>
        </w:tc>
        <w:tc>
          <w:tcPr>
            <w:tcW w:type="dxa" w:w="2160"/>
            <w:tcBorders>
              <w:top w:val="single" w:sz="4" w:space="0" w:color="CCCCCC"/>
              <w:left w:val="single" w:sz="4" w:space="0" w:color="CCCCCC"/>
              <w:bottom w:val="single" w:sz="4" w:space="0" w:color="CCCCCC"/>
              <w:right w:val="single" w:sz="4" w:space="0" w:color="CCCCCC"/>
            </w:tcBorders>
          </w:tcPr>
          <w:p>
            <w:r>
              <w:t>24-36</w:t>
            </w:r>
          </w:p>
        </w:tc>
      </w:tr>
      <w:tr>
        <w:tc>
          <w:tcPr>
            <w:tcW w:type="dxa" w:w="2160"/>
            <w:tcBorders>
              <w:top w:val="single" w:sz="4" w:space="0" w:color="CCCCCC"/>
              <w:left w:val="single" w:sz="4" w:space="0" w:color="CCCCCC"/>
              <w:bottom w:val="single" w:sz="4" w:space="0" w:color="CCCCCC"/>
              <w:right w:val="single" w:sz="4" w:space="0" w:color="CCCCCC"/>
            </w:tcBorders>
          </w:tcPr>
          <w:p>
            <w:r>
              <w:t>WP6</w:t>
            </w:r>
          </w:p>
        </w:tc>
        <w:tc>
          <w:tcPr>
            <w:tcW w:type="dxa" w:w="2160"/>
            <w:tcBorders>
              <w:top w:val="single" w:sz="4" w:space="0" w:color="CCCCCC"/>
              <w:left w:val="single" w:sz="4" w:space="0" w:color="CCCCCC"/>
              <w:bottom w:val="single" w:sz="4" w:space="0" w:color="CCCCCC"/>
              <w:right w:val="single" w:sz="4" w:space="0" w:color="CCCCCC"/>
            </w:tcBorders>
          </w:tcPr>
          <w:p>
            <w:r>
              <w:t>Dissemination, communication, exploitation</w:t>
            </w:r>
          </w:p>
        </w:tc>
        <w:tc>
          <w:tcPr>
            <w:tcW w:type="dxa" w:w="2160"/>
            <w:tcBorders>
              <w:top w:val="single" w:sz="4" w:space="0" w:color="CCCCCC"/>
              <w:left w:val="single" w:sz="4" w:space="0" w:color="CCCCCC"/>
              <w:bottom w:val="single" w:sz="4" w:space="0" w:color="CCCCCC"/>
              <w:right w:val="single" w:sz="4" w:space="0" w:color="CCCCCC"/>
            </w:tcBorders>
          </w:tcPr>
          <w:p>
            <w:r>
              <w:t>All</w:t>
            </w:r>
          </w:p>
        </w:tc>
        <w:tc>
          <w:tcPr>
            <w:tcW w:type="dxa" w:w="2160"/>
            <w:tcBorders>
              <w:top w:val="single" w:sz="4" w:space="0" w:color="CCCCCC"/>
              <w:left w:val="single" w:sz="4" w:space="0" w:color="CCCCCC"/>
              <w:bottom w:val="single" w:sz="4" w:space="0" w:color="CCCCCC"/>
              <w:right w:val="single" w:sz="4" w:space="0" w:color="CCCCCC"/>
            </w:tcBorders>
          </w:tcPr>
          <w:p>
            <w:r>
              <w:t>1-36</w:t>
            </w:r>
          </w:p>
        </w:tc>
      </w:tr>
      <w:tr>
        <w:tc>
          <w:tcPr>
            <w:tcW w:type="dxa" w:w="2160"/>
            <w:tcBorders>
              <w:top w:val="single" w:sz="4" w:space="0" w:color="CCCCCC"/>
              <w:left w:val="single" w:sz="4" w:space="0" w:color="CCCCCC"/>
              <w:bottom w:val="single" w:sz="4" w:space="0" w:color="CCCCCC"/>
              <w:right w:val="single" w:sz="4" w:space="0" w:color="CCCCCC"/>
            </w:tcBorders>
          </w:tcPr>
          <w:p>
            <w:r>
              <w:t>WP7</w:t>
            </w:r>
          </w:p>
        </w:tc>
        <w:tc>
          <w:tcPr>
            <w:tcW w:type="dxa" w:w="2160"/>
            <w:tcBorders>
              <w:top w:val="single" w:sz="4" w:space="0" w:color="CCCCCC"/>
              <w:left w:val="single" w:sz="4" w:space="0" w:color="CCCCCC"/>
              <w:bottom w:val="single" w:sz="4" w:space="0" w:color="CCCCCC"/>
              <w:right w:val="single" w:sz="4" w:space="0" w:color="CCCCCC"/>
            </w:tcBorders>
          </w:tcPr>
          <w:p>
            <w:r>
              <w:t>Project management and ethics</w:t>
            </w:r>
          </w:p>
        </w:tc>
        <w:tc>
          <w:tcPr>
            <w:tcW w:type="dxa" w:w="2160"/>
            <w:tcBorders>
              <w:top w:val="single" w:sz="4" w:space="0" w:color="CCCCCC"/>
              <w:left w:val="single" w:sz="4" w:space="0" w:color="CCCCCC"/>
              <w:bottom w:val="single" w:sz="4" w:space="0" w:color="CCCCCC"/>
              <w:right w:val="single" w:sz="4" w:space="0" w:color="CCCCCC"/>
            </w:tcBorders>
          </w:tcPr>
          <w:p>
            <w:r>
              <w:t>P. Higgins</w:t>
            </w:r>
          </w:p>
        </w:tc>
        <w:tc>
          <w:tcPr>
            <w:tcW w:type="dxa" w:w="2160"/>
            <w:tcBorders>
              <w:top w:val="single" w:sz="4" w:space="0" w:color="CCCCCC"/>
              <w:left w:val="single" w:sz="4" w:space="0" w:color="CCCCCC"/>
              <w:bottom w:val="single" w:sz="4" w:space="0" w:color="CCCCCC"/>
              <w:right w:val="single" w:sz="4" w:space="0" w:color="CCCCCC"/>
            </w:tcBorders>
          </w:tcPr>
          <w:p>
            <w:r>
              <w:t>1-36</w:t>
            </w:r>
          </w:p>
        </w:tc>
      </w:tr>
    </w:tbl>
    <w:p>
      <w:pPr>
        <w:pStyle w:val="Heading2"/>
        <w:spacing w:before="240" w:after="80"/>
      </w:pPr>
      <w:r>
        <w:rPr>
          <w:color w:val="1F7A8C"/>
          <w:sz w:val="26"/>
        </w:rPr>
        <w:t>3.2 Consortium</w:t>
      </w:r>
    </w:p>
    <w:p>
      <w:pPr>
        <w:spacing w:after="120"/>
      </w:pPr>
      <w:r>
        <w:t>Lead applicant: Peter Higgins (independent researcher / HUF Project). Letters of support being secured from: Croatian Waters (Hrvatske vode), Croatian Agency for Environment and Nature (HAOP), Ramsar Secretariat (observer), GEO BON Secretariat (observer). Full consortium with research institution affiliation to be confirmed prior to submission; discussions underway with [INSTITUTION TBC].</w:t>
      </w:r>
    </w:p>
    <w:p>
      <w:pPr>
        <w:pStyle w:val="Heading2"/>
        <w:spacing w:before="240" w:after="80"/>
      </w:pPr>
      <w:r>
        <w:rPr>
          <w:color w:val="1F7A8C"/>
          <w:sz w:val="26"/>
        </w:rPr>
        <w:t>3.3 Resources and budget justification</w:t>
      </w:r>
    </w:p>
    <w:p>
      <w:pPr>
        <w:spacing w:after="120"/>
      </w:pPr>
      <w:r>
        <w:t>Requested funding: €[TBC — to be scoped with administering institution]. Primary cost categories: researcher time (PI + 2 postdoctoral researchers, 36 months), site access and partner travel, software development (6 months FTE), dissemination and policy engagement, indirect costs per institution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