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HUF.DRAFT.PARTNER.MANUSCRIPT.NERC_RESPONSIVE_MODE_APPLICATION | HUF:1.1.8 | DOC:v1.0 | STATUS:draft | LANE:DRAFT | RO:Peter Higgins</w:t>
      </w:r>
    </w:p>
    <w:p>
      <w:pPr>
        <w:spacing w:after="0" w:before="0"/>
      </w:pPr>
      <w:r>
        <w:rPr>
          <w:rFonts w:ascii="Courier New" w:hAnsi="Courier New"/>
          <w:color w:val="666666"/>
          <w:sz w:val="15"/>
        </w:rPr>
        <w:t>CODES: huf, NERC, UKRI, grant, wetland monitoring, ratio state | ART: CM, AS, TR, EB | EVID:E2 | POSTURE: OP | WEIGHTS: OP=0.80 TOOL=0.15 PEER=0.05 | CAP: OP_MIN=0.51 TOOL_MAX=0.49 | CANON:notes/current_documents/staged/HUF.DRAFT.PARTNER.MANUSCRIPT.NERC_RESPONSIVE_MODE_APPLICATION/</w:t>
      </w:r>
    </w:p>
    <w:p>
      <w:pPr>
        <w:spacing w:after="80"/>
      </w:pPr>
    </w:p>
    <w:p>
      <w:pPr>
        <w:spacing w:after="480"/>
      </w:pPr>
    </w:p>
    <w:p>
      <w:pPr>
        <w:spacing w:after="120"/>
        <w:jc w:val="left"/>
      </w:pPr>
      <w:r>
        <w:rPr>
          <w:b/>
          <w:color w:val="1F3964"/>
          <w:sz w:val="40"/>
        </w:rPr>
        <w:t>NERC Responsive Mode Grant Application</w:t>
        <w:br/>
        <w:t>Non-Invasive Ratio State Monitoring in Managed Wetland Systems</w:t>
      </w:r>
    </w:p>
    <w:p>
      <w:pPr>
        <w:spacing w:after="480"/>
      </w:pPr>
      <w:r>
        <w:rPr>
          <w:i/>
          <w:color w:val="1F7A8C"/>
          <w:sz w:val="26"/>
        </w:rPr>
        <w:t>An application to the Natural Environment Research Council (NERC) — Responsive Mode</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UK Research and Innovation / Natural Environment Research Council (NERC)</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Standard Research Grant — Environmental Monitoring &amp; Modelling</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NERC Responsive Mode — Environmental Sciences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1. Research Summary</w:t>
      </w:r>
    </w:p>
    <w:p>
      <w:pPr>
        <w:spacing w:after="120"/>
      </w:pPr>
      <w:r>
        <w:t>We propose to develop and validate Ratio State Monitoring (RSM), a non-invasive monitoring methodology for managed wetland biodiversity portfolios based on the Higgins Unity Framework (HUF). RSM addresses the operationally critical distinction between deliberate management decisions and undetected ecological drift in protected areas. Unlike conventional monitoring requiring physical instrumentation, RSM reads the portfolio allocation vector directly from governance records, requiring no additional field data collection. We will validate RSM at UK-based Ramsar sites and develop practitioner-accessible tooling for Ramsar site managers.</w:t>
      </w:r>
    </w:p>
    <w:p>
      <w:pPr>
        <w:pStyle w:val="Heading1"/>
        <w:spacing w:before="360" w:after="120"/>
      </w:pPr>
      <w:r>
        <w:rPr>
          <w:color w:val="1F3964"/>
          <w:sz w:val="30"/>
        </w:rPr>
        <w:t>2. Background and Motivation</w:t>
      </w:r>
    </w:p>
    <w:p>
      <w:pPr>
        <w:spacing w:after="120"/>
      </w:pPr>
      <w:r>
        <w:t>The UK hosts 175 Ramsar-designated wetland sites covering approximately 1.28 million hectares. Each site is subject to management planning obligations under Ramsar Article 3.2, requiring triennial monitoring reports. The current monitoring standard relies on ecological state indicators (species counts, water quality measurements, habitat extent surveys) with no standardised methodology for assessing whether the management interventions themselves — the allocation of management resources, restoration effort, and conservation priority — are proceeding according to plan.</w:t>
      </w:r>
    </w:p>
    <w:p>
      <w:pPr>
        <w:spacing w:after="120"/>
      </w:pPr>
      <w:r>
        <w:t>This creates a governance blind spot: a site can report stable ecological indicators while experiencing significant silent drift in its management allocation, or vice versa. The HUF framework addresses this by treating the management allocation as a compositional variable (Σρᵢ = 1) and monitoring its trajectory using the MC-4 Ratio State Monitoring protocol.</w:t>
      </w:r>
    </w:p>
    <w:p>
      <w:pPr>
        <w:pStyle w:val="Heading2"/>
        <w:spacing w:before="240" w:after="80"/>
      </w:pPr>
      <w:r>
        <w:rPr>
          <w:color w:val="1F7A8C"/>
          <w:sz w:val="26"/>
        </w:rPr>
        <w:t>2.1 The compositional data foundation</w:t>
      </w:r>
    </w:p>
    <w:p>
      <w:pPr>
        <w:spacing w:after="120"/>
      </w:pPr>
      <w:r>
        <w:t>Management resource allocation in a protected area is inherently compositional: every unit of budget, staff time, or restoration effort allocated to one zone is unavailable to others. This constraint is formally identical to Aitchison's simplex Sᴷ. Standard monitoring frameworks ignore this structure, applying Euclidean analysis to inherently compositional data — a methodological error with known consequences in the compositional data literature (Aitchison 1986, Pawlowsky-Glahn 2011).</w:t>
      </w:r>
    </w:p>
    <w:p>
      <w:pPr>
        <w:pStyle w:val="Heading1"/>
        <w:spacing w:before="360" w:after="120"/>
      </w:pPr>
      <w:r>
        <w:rPr>
          <w:color w:val="1F3964"/>
          <w:sz w:val="30"/>
        </w:rPr>
        <w:t>3. Research Objectives</w:t>
      </w:r>
    </w:p>
    <w:p>
      <w:pPr>
        <w:pStyle w:val="ListBullet"/>
        <w:spacing w:after="60"/>
      </w:pPr>
      <w:r>
        <w:t>Derive principled MDG (Mean Drift Gap) alert thresholds from a Dirichlet null model of compositional drift for UK wetland management portfolios.</w:t>
      </w:r>
    </w:p>
    <w:p>
      <w:pPr>
        <w:pStyle w:val="ListBullet"/>
        <w:spacing w:after="60"/>
      </w:pPr>
      <w:r>
        <w:t>Validate the MC-4 protocol at three UK Ramsar sites with documented management histories spanning at least 10 years.</w:t>
      </w:r>
    </w:p>
    <w:p>
      <w:pPr>
        <w:pStyle w:val="ListBullet"/>
        <w:spacing w:after="60"/>
      </w:pPr>
      <w:r>
        <w:t>Develop an open-source R package (hufRSM) for MC-4 monitoring, compatible with existing Ramsar reporting workflows.</w:t>
      </w:r>
    </w:p>
    <w:p>
      <w:pPr>
        <w:pStyle w:val="ListBullet"/>
        <w:spacing w:after="60"/>
      </w:pPr>
      <w:r>
        <w:t>Produce a practitioner handbook and training materials for Ramsar site managers, tested with Natural England and RSPB site staff.</w:t>
      </w:r>
    </w:p>
    <w:p>
      <w:pPr>
        <w:pStyle w:val="ListBullet"/>
        <w:spacing w:after="60"/>
      </w:pPr>
      <w:r>
        <w:t>Submit HUF Portfolio Share (ρ) as an EBV candidate to GEO BON, with UK Ramsar evidence as the primary validation dataset.</w:t>
      </w:r>
    </w:p>
    <w:p>
      <w:pPr>
        <w:pStyle w:val="Heading1"/>
        <w:spacing w:before="360" w:after="120"/>
      </w:pPr>
      <w:r>
        <w:rPr>
          <w:color w:val="1F3964"/>
          <w:sz w:val="30"/>
        </w:rPr>
        <w:t>4. Methodology</w:t>
      </w:r>
    </w:p>
    <w:p>
      <w:pPr>
        <w:pStyle w:val="Heading2"/>
        <w:spacing w:before="240" w:after="80"/>
      </w:pPr>
      <w:r>
        <w:rPr>
          <w:color w:val="1F7A8C"/>
          <w:sz w:val="26"/>
        </w:rPr>
        <w:t>4.1 Mathematical formalisation</w:t>
      </w:r>
    </w:p>
    <w:p>
      <w:pPr>
        <w:spacing w:after="120"/>
      </w:pPr>
      <w:r>
        <w:t>We will formalise the MDG metric as an Aitchison-distance-derived statistic and derive its distribution under the null hypothesis of random compositional drift modelled as a Dirichlet process. Alert threshold δ will be calibrated at p &lt; 0.05 and p &lt; 0.01 significance levels for different portfolio sizes k.</w:t>
      </w:r>
    </w:p>
    <w:p>
      <w:pPr>
        <w:pStyle w:val="Heading2"/>
        <w:spacing w:before="240" w:after="80"/>
      </w:pPr>
      <w:r>
        <w:rPr>
          <w:color w:val="1F7A8C"/>
          <w:sz w:val="26"/>
        </w:rPr>
        <w:t>4.2 Retrospective validation — UK Ramsar sites</w:t>
      </w:r>
    </w:p>
    <w:p>
      <w:pPr>
        <w:spacing w:after="120"/>
      </w:pPr>
      <w:r>
        <w:t>Three UK Ramsar sites will be selected in collaboration with Natural England: one each from upland peatland, lowland fen, and coastal wetland categories. Management plan archives will be used to reconstruct allocation histories from 1995-2025, enabling retrospective MC-4 analysis with ground-truth validation against known management events (restoration projects, agri-environment scheme entries, etc.).</w:t>
      </w:r>
    </w:p>
    <w:p>
      <w:pPr>
        <w:pStyle w:val="Heading2"/>
        <w:spacing w:before="240" w:after="80"/>
      </w:pPr>
      <w:r>
        <w:rPr>
          <w:color w:val="1F7A8C"/>
          <w:sz w:val="26"/>
        </w:rPr>
        <w:t>4.3 Prospective pilot</w:t>
      </w:r>
    </w:p>
    <w:p>
      <w:pPr>
        <w:spacing w:after="120"/>
      </w:pPr>
      <w:r>
        <w:t>A prospective 12-month MC-4 monitoring pilot will be run at one site in real time, with monthly governance record updates and automated MDG computation via the hufRSM package.</w:t>
      </w:r>
    </w:p>
    <w:p>
      <w:pPr>
        <w:pStyle w:val="Heading2"/>
        <w:spacing w:before="240" w:after="80"/>
      </w:pPr>
      <w:r>
        <w:rPr>
          <w:color w:val="1F7A8C"/>
          <w:sz w:val="26"/>
        </w:rPr>
        <w:t>4.4 Tooling development</w:t>
      </w:r>
    </w:p>
    <w:p>
      <w:pPr>
        <w:spacing w:after="120"/>
      </w:pPr>
      <w:r>
        <w:t>The hufRSM R package will provide: portfolio share computation from allocation records; MDG computation with calibrated thresholds; provenance classification workflow; Ramsar Article 3.2 report generation; and GEO BON EBV data submission formatting.</w:t>
      </w:r>
    </w:p>
    <w:p>
      <w:pPr>
        <w:pStyle w:val="Heading1"/>
        <w:spacing w:before="360" w:after="120"/>
      </w:pPr>
      <w:r>
        <w:rPr>
          <w:color w:val="1F3964"/>
          <w:sz w:val="30"/>
        </w:rPr>
        <w:t>5. Timeline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Period</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Activity</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Deliverable</w:t>
            </w:r>
          </w:p>
        </w:tc>
      </w:tr>
      <w:tr>
        <w:tc>
          <w:tcPr>
            <w:tcW w:type="dxa" w:w="2880"/>
            <w:tcBorders>
              <w:top w:val="single" w:sz="4" w:space="0" w:color="CCCCCC"/>
              <w:left w:val="single" w:sz="4" w:space="0" w:color="CCCCCC"/>
              <w:bottom w:val="single" w:sz="4" w:space="0" w:color="CCCCCC"/>
              <w:right w:val="single" w:sz="4" w:space="0" w:color="CCCCCC"/>
            </w:tcBorders>
          </w:tcPr>
          <w:p>
            <w:r>
              <w:t>Months 1-6</w:t>
            </w:r>
          </w:p>
        </w:tc>
        <w:tc>
          <w:tcPr>
            <w:tcW w:type="dxa" w:w="2880"/>
            <w:tcBorders>
              <w:top w:val="single" w:sz="4" w:space="0" w:color="CCCCCC"/>
              <w:left w:val="single" w:sz="4" w:space="0" w:color="CCCCCC"/>
              <w:bottom w:val="single" w:sz="4" w:space="0" w:color="CCCCCC"/>
              <w:right w:val="single" w:sz="4" w:space="0" w:color="CCCCCC"/>
            </w:tcBorders>
          </w:tcPr>
          <w:p>
            <w:r>
              <w:t>Mathematical formalisation; site selection and data access</w:t>
            </w:r>
          </w:p>
        </w:tc>
        <w:tc>
          <w:tcPr>
            <w:tcW w:type="dxa" w:w="2880"/>
            <w:tcBorders>
              <w:top w:val="single" w:sz="4" w:space="0" w:color="CCCCCC"/>
              <w:left w:val="single" w:sz="4" w:space="0" w:color="CCCCCC"/>
              <w:bottom w:val="single" w:sz="4" w:space="0" w:color="CCCCCC"/>
              <w:right w:val="single" w:sz="4" w:space="0" w:color="CCCCCC"/>
            </w:tcBorders>
          </w:tcPr>
          <w:p>
            <w:r>
              <w:t>MDG threshold paper (preprint)</w:t>
            </w:r>
          </w:p>
        </w:tc>
      </w:tr>
      <w:tr>
        <w:tc>
          <w:tcPr>
            <w:tcW w:type="dxa" w:w="2880"/>
            <w:tcBorders>
              <w:top w:val="single" w:sz="4" w:space="0" w:color="CCCCCC"/>
              <w:left w:val="single" w:sz="4" w:space="0" w:color="CCCCCC"/>
              <w:bottom w:val="single" w:sz="4" w:space="0" w:color="CCCCCC"/>
              <w:right w:val="single" w:sz="4" w:space="0" w:color="CCCCCC"/>
            </w:tcBorders>
          </w:tcPr>
          <w:p>
            <w:r>
              <w:t>Months 7-18</w:t>
            </w:r>
          </w:p>
        </w:tc>
        <w:tc>
          <w:tcPr>
            <w:tcW w:type="dxa" w:w="2880"/>
            <w:tcBorders>
              <w:top w:val="single" w:sz="4" w:space="0" w:color="CCCCCC"/>
              <w:left w:val="single" w:sz="4" w:space="0" w:color="CCCCCC"/>
              <w:bottom w:val="single" w:sz="4" w:space="0" w:color="CCCCCC"/>
              <w:right w:val="single" w:sz="4" w:space="0" w:color="CCCCCC"/>
            </w:tcBorders>
          </w:tcPr>
          <w:p>
            <w:r>
              <w:t>Retrospective validation at 3 sites</w:t>
            </w:r>
          </w:p>
        </w:tc>
        <w:tc>
          <w:tcPr>
            <w:tcW w:type="dxa" w:w="2880"/>
            <w:tcBorders>
              <w:top w:val="single" w:sz="4" w:space="0" w:color="CCCCCC"/>
              <w:left w:val="single" w:sz="4" w:space="0" w:color="CCCCCC"/>
              <w:bottom w:val="single" w:sz="4" w:space="0" w:color="CCCCCC"/>
              <w:right w:val="single" w:sz="4" w:space="0" w:color="CCCCCC"/>
            </w:tcBorders>
          </w:tcPr>
          <w:p>
            <w:r>
              <w:t>Validation report; hufRSM v1.0</w:t>
            </w:r>
          </w:p>
        </w:tc>
      </w:tr>
      <w:tr>
        <w:tc>
          <w:tcPr>
            <w:tcW w:type="dxa" w:w="2880"/>
            <w:tcBorders>
              <w:top w:val="single" w:sz="4" w:space="0" w:color="CCCCCC"/>
              <w:left w:val="single" w:sz="4" w:space="0" w:color="CCCCCC"/>
              <w:bottom w:val="single" w:sz="4" w:space="0" w:color="CCCCCC"/>
              <w:right w:val="single" w:sz="4" w:space="0" w:color="CCCCCC"/>
            </w:tcBorders>
          </w:tcPr>
          <w:p>
            <w:r>
              <w:t>Months 19-24</w:t>
            </w:r>
          </w:p>
        </w:tc>
        <w:tc>
          <w:tcPr>
            <w:tcW w:type="dxa" w:w="2880"/>
            <w:tcBorders>
              <w:top w:val="single" w:sz="4" w:space="0" w:color="CCCCCC"/>
              <w:left w:val="single" w:sz="4" w:space="0" w:color="CCCCCC"/>
              <w:bottom w:val="single" w:sz="4" w:space="0" w:color="CCCCCC"/>
              <w:right w:val="single" w:sz="4" w:space="0" w:color="CCCCCC"/>
            </w:tcBorders>
          </w:tcPr>
          <w:p>
            <w:r>
              <w:t>Prospective pilot; practitioner handbook</w:t>
            </w:r>
          </w:p>
        </w:tc>
        <w:tc>
          <w:tcPr>
            <w:tcW w:type="dxa" w:w="2880"/>
            <w:tcBorders>
              <w:top w:val="single" w:sz="4" w:space="0" w:color="CCCCCC"/>
              <w:left w:val="single" w:sz="4" w:space="0" w:color="CCCCCC"/>
              <w:bottom w:val="single" w:sz="4" w:space="0" w:color="CCCCCC"/>
              <w:right w:val="single" w:sz="4" w:space="0" w:color="CCCCCC"/>
            </w:tcBorders>
          </w:tcPr>
          <w:p>
            <w:r>
              <w:t>Handbook; pilot report</w:t>
            </w:r>
          </w:p>
        </w:tc>
      </w:tr>
      <w:tr>
        <w:tc>
          <w:tcPr>
            <w:tcW w:type="dxa" w:w="2880"/>
            <w:tcBorders>
              <w:top w:val="single" w:sz="4" w:space="0" w:color="CCCCCC"/>
              <w:left w:val="single" w:sz="4" w:space="0" w:color="CCCCCC"/>
              <w:bottom w:val="single" w:sz="4" w:space="0" w:color="CCCCCC"/>
              <w:right w:val="single" w:sz="4" w:space="0" w:color="CCCCCC"/>
            </w:tcBorders>
          </w:tcPr>
          <w:p>
            <w:r>
              <w:t>Months 25-30</w:t>
            </w:r>
          </w:p>
        </w:tc>
        <w:tc>
          <w:tcPr>
            <w:tcW w:type="dxa" w:w="2880"/>
            <w:tcBorders>
              <w:top w:val="single" w:sz="4" w:space="0" w:color="CCCCCC"/>
              <w:left w:val="single" w:sz="4" w:space="0" w:color="CCCCCC"/>
              <w:bottom w:val="single" w:sz="4" w:space="0" w:color="CCCCCC"/>
              <w:right w:val="single" w:sz="4" w:space="0" w:color="CCCCCC"/>
            </w:tcBorders>
          </w:tcPr>
          <w:p>
            <w:r>
              <w:t>GEO BON EBV submission; peer-reviewed publications</w:t>
            </w:r>
          </w:p>
        </w:tc>
        <w:tc>
          <w:tcPr>
            <w:tcW w:type="dxa" w:w="2880"/>
            <w:tcBorders>
              <w:top w:val="single" w:sz="4" w:space="0" w:color="CCCCCC"/>
              <w:left w:val="single" w:sz="4" w:space="0" w:color="CCCCCC"/>
              <w:bottom w:val="single" w:sz="4" w:space="0" w:color="CCCCCC"/>
              <w:right w:val="single" w:sz="4" w:space="0" w:color="CCCCCC"/>
            </w:tcBorders>
          </w:tcPr>
          <w:p>
            <w:r>
              <w:t>2 journal papers; EBV submission</w:t>
            </w:r>
          </w:p>
        </w:tc>
      </w:tr>
    </w:tbl>
    <w:p>
      <w:pPr>
        <w:spacing w:after="160"/>
      </w:pPr>
    </w:p>
    <w:p>
      <w:pPr>
        <w:pStyle w:val="Heading1"/>
        <w:spacing w:before="360" w:after="120"/>
      </w:pPr>
      <w:r>
        <w:rPr>
          <w:color w:val="1F3964"/>
          <w:sz w:val="30"/>
        </w:rPr>
        <w:t>6. Team and Track Record</w:t>
      </w:r>
    </w:p>
    <w:p>
      <w:pPr>
        <w:spacing w:after="120"/>
      </w:pPr>
      <w:r>
        <w:t>Principal Investigator: Peter Higgins. Independent researcher with track record spanning architectural acoustics (source of the HUF framework), electronics manufacturing quality control (Fuji/Nordson Dage applications), and wetland ecology (Ramsar Croatia pilot, February 2026). The HUF framework has been developed and stress-tested over three years using a novel multi-AI review methodology (documented in the HUF Operator Decision Log).</w:t>
      </w:r>
    </w:p>
    <w:p>
      <w:pPr>
        <w:spacing w:after="120"/>
      </w:pPr>
      <w:r>
        <w:t>Collaborating institution and co-investigator: [TO BE CONFIRMED — discussions underway]. Letters of support from Natural England and RSPB will be provided. Croatian Waters (site partners for the Croatia pilot) have expressed interest in extended collaboration.</w:t>
      </w:r>
    </w:p>
    <w:p>
      <w:pPr>
        <w:pStyle w:val="Heading1"/>
        <w:spacing w:before="360" w:after="120"/>
      </w:pPr>
      <w:r>
        <w:rPr>
          <w:color w:val="1F3964"/>
          <w:sz w:val="30"/>
        </w:rPr>
        <w:t>7. Facilities and Resources</w:t>
      </w:r>
    </w:p>
    <w:p>
      <w:pPr>
        <w:spacing w:after="120"/>
      </w:pPr>
      <w:r>
        <w:t>Primary computational resource: standard research computing. Data access: UK Ramsar management plan archives (Natural England / JNCC SSSI database). Site access: via collaborating conservation bodies. Budget: [TO BE DETAILED — PI time, postdoctoral researcher, travel to sites, open-access publication costs, indirect costs per administering institution standard rate].</w:t>
      </w:r>
    </w:p>
    <w:p>
      <w:pPr>
        <w:pStyle w:val="Heading1"/>
        <w:spacing w:before="360" w:after="120"/>
      </w:pPr>
      <w:r>
        <w:rPr>
          <w:color w:val="1F3964"/>
          <w:sz w:val="30"/>
        </w:rPr>
        <w:t>8. Ethical Considerations</w:t>
      </w:r>
    </w:p>
    <w:p>
      <w:pPr>
        <w:spacing w:after="120"/>
      </w:pPr>
      <w:r>
        <w:t>This project involves analysis of existing management records and does not involve primary data collection from human subjects, animal experiments, or invasive ecological sampling. Standard GDPR-compliant data management procedures will apply to management plan documentation. Ethical review: not required beyond standard UKRI data management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