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0"/>
        <w:jc w:val="center"/>
      </w:pPr>
      <w:r>
        <w:rPr>
          <w:rFonts w:ascii="Georgia" w:cs="Georgia" w:eastAsia="Georgia" w:hAnsi="Georgia"/>
          <w:b/>
          <w:bCs/>
          <w:color w:val="1A3A4A"/>
          <w:sz w:val="44"/>
          <w:szCs w:val="44"/>
        </w:rPr>
        <w:t xml:space="preserve">HUF DEPLOYMENT STRATEGY</w:t>
      </w:r>
    </w:p>
    <w:p>
      <w:pPr>
        <w:spacing w:after="120"/>
        <w:jc w:val="center"/>
      </w:pPr>
      <w:r>
        <w:rPr>
          <w:rFonts w:ascii="Georgia" w:cs="Georgia" w:eastAsia="Georgia" w:hAnsi="Georgia"/>
          <w:color w:val="6A8A9A"/>
          <w:sz w:val="36"/>
          <w:szCs w:val="36"/>
        </w:rPr>
        <w:t xml:space="preserve">&amp;</w:t>
      </w:r>
    </w:p>
    <w:p>
      <w:pPr>
        <w:spacing w:after="200"/>
        <w:jc w:val="center"/>
      </w:pPr>
      <w:r>
        <w:rPr>
          <w:rFonts w:ascii="Georgia" w:cs="Georgia" w:eastAsia="Georgia" w:hAnsi="Georgia"/>
          <w:b/>
          <w:bCs/>
          <w:color w:val="1A3A4A"/>
          <w:sz w:val="44"/>
          <w:szCs w:val="44"/>
        </w:rPr>
        <w:t xml:space="preserve">PARTNERSHIP PROPOSAL</w:t>
      </w:r>
    </w:p>
    <w:p>
      <w:pPr>
        <w:spacing w:after="120"/>
        <w:jc w:val="center"/>
      </w:pPr>
      <w:r>
        <w:rPr>
          <w:rFonts w:ascii="Georgia" w:cs="Georgia" w:eastAsia="Georgia" w:hAnsi="Georgia"/>
          <w:i/>
          <w:iCs/>
          <w:color w:val="4A7A8A"/>
          <w:sz w:val="28"/>
          <w:szCs w:val="28"/>
        </w:rPr>
        <w:t xml:space="preserve">A Standard of Standards</w:t>
      </w:r>
    </w:p>
    <w:p>
      <w:pPr>
        <w:spacing w:after="0"/>
        <w:jc w:val="center"/>
      </w:pPr>
      <w:r>
        <w:rPr>
          <w:rFonts w:ascii="Georgia" w:cs="Georgia" w:eastAsia="Georgia" w:hAnsi="Georgia"/>
          <w:color w:val="6A8A9A"/>
          <w:sz w:val="20"/>
          <w:szCs w:val="20"/>
        </w:rPr>
        <w:t xml:space="preserve">huf.org  ·  Higgins Unity Framework  ·  Open Governance Standard</w:t>
      </w:r>
    </w:p>
    <w:p>
      <w:pPr>
        <w:spacing w:after="80"/>
      </w:pPr>
    </w:p>
    <w:p>
      <w:pPr>
        <w:spacing w:after="80"/>
      </w:pPr>
    </w:p>
    <w:p>
      <w:pPr>
        <w:spacing w:after="80"/>
        <w:jc w:val="center"/>
      </w:pPr>
      <w:r>
        <w:rPr>
          <w:rFonts w:ascii="Georgia" w:cs="Georgia" w:eastAsia="Georgia" w:hAnsi="Georgia"/>
          <w:b/>
          <w:bCs/>
          <w:sz w:val="22"/>
          <w:szCs w:val="22"/>
        </w:rPr>
        <w:t xml:space="preserve">Prepared by Peter Higgins</w:t>
      </w:r>
    </w:p>
    <w:p>
      <w:pPr>
        <w:spacing w:after="0"/>
        <w:jc w:val="center"/>
      </w:pPr>
      <w:r>
        <w:rPr>
          <w:rFonts w:ascii="Georgia" w:cs="Georgia" w:eastAsia="Georgia" w:hAnsi="Georgia"/>
          <w:color w:val="666666"/>
          <w:sz w:val="20"/>
          <w:szCs w:val="20"/>
        </w:rPr>
        <w:t xml:space="preserve">Founder, Higgins Unity Framework  ·  Principal, Rogue Wave Audio Inc.</w:t>
      </w:r>
    </w:p>
    <w:p>
      <w:pPr>
        <w:spacing w:after="0"/>
        <w:jc w:val="center"/>
      </w:pPr>
      <w:r>
        <w:rPr>
          <w:rFonts w:ascii="Georgia" w:cs="Georgia" w:eastAsia="Georgia" w:hAnsi="Georgia"/>
          <w:color w:val="666666"/>
          <w:sz w:val="20"/>
          <w:szCs w:val="20"/>
        </w:rPr>
        <w:t xml:space="preserve">March 2026</w:t>
      </w:r>
    </w:p>
    <w:p>
      <w:pPr>
        <w:spacing w:after="80"/>
      </w:pPr>
    </w:p>
    <w:p>
      <w:pPr>
        <w:spacing w:after="80"/>
      </w:pPr>
    </w:p>
    <w:p>
      <w:pPr>
        <w:pBdr>
          <w:left w:val="single" w:color="1A3A4A" w:sz="3" w:space="8"/>
        </w:pBdr>
        <w:spacing w:after="160"/>
        <w:ind w:left="720" w:right="720"/>
      </w:pPr>
      <w:r>
        <w:rPr>
          <w:i/>
          <w:iCs/>
          <w:color w:val="4A4A4A"/>
        </w:rPr>
        <w:t xml:space="preserve">Every domain that manages a portfolio where resources sum to one faces the same mathematical problem. HUF solves it once. This document proposes that we solve it together.</w:t>
      </w:r>
    </w:p>
    <w:p>
      <w:pPr>
        <w:spacing w:after="80"/>
      </w:pPr>
    </w:p>
    <w:p>
      <w:pPr>
        <w:spacing w:after="160"/>
      </w:pPr>
      <w:r>
        <w:rPr>
          <w:i/>
          <w:iCs/>
        </w:rPr>
        <w:t xml:space="preserve">Prepared with AI-assisted drafting by the huf.org development collective (Claude, ChatGPT, Grok, Gemini, Copilot), reviewed and approved by Peter Higgins as principal author. All claims are stated conservatively and should be treated as hypotheses pending independent validation. The HUF standard has undergone 27 rounds of multi-AI collective review; human peer review is the designated next phase.</w:t>
      </w:r>
    </w:p>
    <w:p>
      <w:r>
        <w:br w:type="page"/>
      </w:r>
    </w:p>
    <w:p>
      <w:pPr>
        <w:pStyle w:val="Heading1"/>
      </w:pPr>
      <w:r>
        <w:t xml:space="preserve">1. The Problem Every Domain Shares</w:t>
      </w:r>
    </w:p>
    <w:p>
      <w:pPr>
        <w:spacing w:after="160"/>
      </w:pPr>
      <w:r>
        <w:t xml:space="preserve">Wetlands allocate water across habitat zones. Power grids allocate generation across fuel sources. Manufacturing lines allocate throughput across product families. Investment portfolios allocate capital across asset classes. Ecological indices allocate biodiversity scores across species groups.</w:t>
      </w:r>
    </w:p>
    <w:p>
      <w:pPr>
        <w:spacing w:after="160"/>
      </w:pPr>
      <w:r>
        <w:t xml:space="preserve">In every case, the portfolio is compositional: the parts must sum to the whole. Change one allocation and every other allocation changes with it. This is not a modelling choice; it is an arithmetic constraint.</w:t>
      </w:r>
    </w:p>
    <w:p>
      <w:pPr>
        <w:spacing w:after="160"/>
      </w:pPr>
      <w:r>
        <w:t xml:space="preserve">And in every case, the monitoring challenge is identical: how do you detect meaningful change in a constrained system, distinguish signal from noise, set defensible thresholds, and trigger governance responses before damage compounds?</w:t>
      </w:r>
    </w:p>
    <w:p>
      <w:pPr>
        <w:spacing w:after="160"/>
      </w:pPr>
      <w:r>
        <w:t xml:space="preserve">Today, each domain answers this question independently. Ramsar develops its own indicator framework. The CBD develops its own. NERC funds bespoke monitoring methodologies. IEEE control systems operate without reference to ecological governance. The result is thousands of domain-specific solutions to a single mathematical problem.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4A" w:sz="1"/>
              <w:left w:val="single" w:color="1A3A4A" w:sz="1"/>
              <w:bottom w:val="single" w:color="1A3A4A" w:sz="1"/>
              <w:right w:val="single" w:color="1A3A4A" w:sz="1"/>
            </w:tcBorders>
            <w:shd w:fill="EDF5F5" w:val="clear"/>
            <w:tcMar>
              <w:top w:type="dxa" w:w="120"/>
              <w:left w:type="dxa" w:w="200"/>
              <w:bottom w:type="dxa" w:w="120"/>
              <w:right w:type="dxa" w:w="200"/>
            </w:tcMar>
          </w:tcPr>
          <w:p>
            <w:pPr>
              <w:spacing w:after="80"/>
            </w:pPr>
            <w:r>
              <w:rPr>
                <w:b/>
                <w:bCs/>
                <w:color w:val="1A3A4A"/>
                <w:sz w:val="22"/>
                <w:szCs w:val="22"/>
              </w:rPr>
              <w:t xml:space="preserve">The Core Insight</w:t>
            </w:r>
          </w:p>
          <w:p>
            <w:pPr>
              <w:spacing w:after="60"/>
            </w:pPr>
            <w:r>
              <w:rPr>
                <w:sz w:val="20"/>
                <w:szCs w:val="20"/>
              </w:rPr>
              <w:t xml:space="preserve">If the underlying mathematics is universal, the monitoring standard should be universal too. Not a single rigid protocol — but a shared mathematical language that each domain can speak with its own vocabulary.</w:t>
            </w:r>
          </w:p>
        </w:tc>
      </w:tr>
    </w:tbl>
    <w:p>
      <w:pPr>
        <w:spacing w:after="80"/>
      </w:pPr>
    </w:p>
    <w:p>
      <w:pPr>
        <w:spacing w:after="160"/>
      </w:pPr>
      <w:r>
        <w:t xml:space="preserve">That is what HUF provides: a carrier ontology on the probability simplex that works identically whether the portfolio contains wetland species, power generation sources, manufacturing outputs, or acoustic frequency bands. The mathematics does not change. The domain-specific framing does.</w:t>
      </w:r>
    </w:p>
    <w:p>
      <w:r>
        <w:br w:type="page"/>
      </w:r>
    </w:p>
    <w:p>
      <w:pPr>
        <w:pStyle w:val="Heading1"/>
      </w:pPr>
      <w:r>
        <w:t xml:space="preserve">2. What HUF Is — and What It Is Not</w:t>
      </w:r>
    </w:p>
    <w:p>
      <w:pPr>
        <w:pStyle w:val="Heading2"/>
      </w:pPr>
      <w:r>
        <w:t xml:space="preserve">2.1 What HUF Is</w:t>
      </w:r>
    </w:p>
    <w:p>
      <w:pPr>
        <w:spacing w:after="160"/>
      </w:pPr>
      <w:r>
        <w:t xml:space="preserve">The Higgins Unity Framework is a mathematical governance standard built on the probability simplex. At its core:</w:t>
      </w:r>
    </w:p>
    <w:p>
      <w:pPr>
        <w:pStyle w:val="ListParagraph"/>
        <w:numPr>
          <w:ilvl w:val="0"/>
          <w:numId w:val="2"/>
        </w:numPr>
        <w:spacing w:after="80"/>
      </w:pPr>
      <w:r>
        <w:rPr>
          <w:b/>
          <w:bCs/>
        </w:rPr>
        <w:t xml:space="preserve">ρ (rho) </w:t>
      </w:r>
      <w:r>
        <w:t xml:space="preserve">is a ratio-state vector on the simplex Δⁿ⁻¹ — the carrier. It represents any portfolio where components sum to one.</w:t>
      </w:r>
    </w:p>
    <w:p>
      <w:pPr>
        <w:pStyle w:val="ListParagraph"/>
        <w:numPr>
          <w:ilvl w:val="0"/>
          <w:numId w:val="2"/>
        </w:numPr>
        <w:spacing w:after="80"/>
      </w:pPr>
      <w:r>
        <w:rPr>
          <w:b/>
          <w:bCs/>
        </w:rPr>
        <w:t xml:space="preserve">Keff </w:t>
      </w:r>
      <w:r>
        <w:t xml:space="preserve">is the demodulated observable — a single scalar that summarizes the portfolio’s current state relative to a declared baseline.</w:t>
      </w:r>
    </w:p>
    <w:p>
      <w:pPr>
        <w:pStyle w:val="ListParagraph"/>
        <w:numPr>
          <w:ilvl w:val="0"/>
          <w:numId w:val="2"/>
        </w:numPr>
        <w:spacing w:after="80"/>
      </w:pPr>
      <w:r>
        <w:rPr>
          <w:b/>
          <w:bCs/>
        </w:rPr>
        <w:t xml:space="preserve">TV (Total Variation) </w:t>
      </w:r>
      <w:r>
        <w:t xml:space="preserve">is the house metric: TV(ρ, ρ′) = ½Σ|ρᵢ − ρᵢ′|. It measures how far a portfolio has drifted from its reference state.</w:t>
      </w:r>
    </w:p>
    <w:p>
      <w:pPr>
        <w:pStyle w:val="ListParagraph"/>
        <w:numPr>
          <w:ilvl w:val="0"/>
          <w:numId w:val="2"/>
        </w:numPr>
        <w:spacing w:after="80"/>
      </w:pPr>
      <w:r>
        <w:rPr>
          <w:b/>
          <w:bCs/>
        </w:rPr>
        <w:t xml:space="preserve">CL-01 through CL-05 </w:t>
      </w:r>
      <w:r>
        <w:t xml:space="preserve">form a five-layer control stack: from raw declaration (CL-01) through audit-grade governance (CL-05).</w:t>
      </w:r>
    </w:p>
    <w:p>
      <w:pPr>
        <w:pStyle w:val="ListParagraph"/>
        <w:numPr>
          <w:ilvl w:val="0"/>
          <w:numId w:val="2"/>
        </w:numPr>
        <w:spacing w:after="80"/>
      </w:pPr>
      <w:r>
        <w:rPr>
          <w:b/>
          <w:bCs/>
        </w:rPr>
        <w:t xml:space="preserve">MC-1 through MC-4 </w:t>
      </w:r>
      <w:r>
        <w:t xml:space="preserve">define four monitoring categories: static compliance, trend detection, regime-shift alerting, and active feedback control.</w:t>
      </w:r>
    </w:p>
    <w:p>
      <w:pPr>
        <w:pStyle w:val="ListParagraph"/>
        <w:numPr>
          <w:ilvl w:val="0"/>
          <w:numId w:val="2"/>
        </w:numPr>
        <w:spacing w:after="80"/>
      </w:pPr>
      <w:r>
        <w:rPr>
          <w:b/>
          <w:bCs/>
        </w:rPr>
        <w:t xml:space="preserve">IMC-PID tuning </w:t>
      </w:r>
      <w:r>
        <w:t xml:space="preserve">with a single parameter λ provides the closed-loop governance response — how fast the system corrects when drift is detected.</w:t>
      </w:r>
    </w:p>
    <w:p>
      <w:pPr>
        <w:spacing w:after="80"/>
      </w:pPr>
    </w:p>
    <w:p>
      <w:pPr>
        <w:spacing w:after="160"/>
      </w:pPr>
      <w:r>
        <w:t xml:space="preserve">The standard is supported by 27 formal results, independently reviewed by a 5-AI collective across 27 review trace documents. It is published in four audience editions (Mathematician’s, Physics, Sciences, Engineering) with identical mathematical content and domain-specific framing.</w:t>
      </w:r>
    </w:p>
    <w:p>
      <w:pPr>
        <w:pStyle w:val="Heading2"/>
      </w:pPr>
      <w:r>
        <w:t xml:space="preserve">2.2 What HUF Is Not</w:t>
      </w:r>
    </w:p>
    <w:p>
      <w:pPr>
        <w:pStyle w:val="ListParagraph"/>
        <w:numPr>
          <w:ilvl w:val="0"/>
          <w:numId w:val="2"/>
        </w:numPr>
        <w:spacing w:after="80"/>
      </w:pPr>
      <w:r>
        <w:t xml:space="preserve">HUF is not a replacement for domain expertise. It provides the mathematical scaffold; domain scientists provide the knowledge of what to measure and why.</w:t>
      </w:r>
    </w:p>
    <w:p>
      <w:pPr>
        <w:pStyle w:val="ListParagraph"/>
        <w:numPr>
          <w:ilvl w:val="0"/>
          <w:numId w:val="2"/>
        </w:numPr>
        <w:spacing w:after="80"/>
      </w:pPr>
      <w:r>
        <w:t xml:space="preserve">HUF is not proprietary software. The mathematical standard is MIT-licensed and free to use, inspect, modify, and redistribute.</w:t>
      </w:r>
    </w:p>
    <w:p>
      <w:pPr>
        <w:pStyle w:val="ListParagraph"/>
        <w:numPr>
          <w:ilvl w:val="0"/>
          <w:numId w:val="2"/>
        </w:numPr>
        <w:spacing w:after="80"/>
      </w:pPr>
      <w:r>
        <w:t xml:space="preserve">HUF is not a single-domain tool. It was born in acoustics, validated across ecology, energy, manufacturing, and finance. It is designed to be universal.</w:t>
      </w:r>
    </w:p>
    <w:p>
      <w:pPr>
        <w:pStyle w:val="ListParagraph"/>
        <w:numPr>
          <w:ilvl w:val="0"/>
          <w:numId w:val="2"/>
        </w:numPr>
        <w:spacing w:after="80"/>
      </w:pPr>
      <w:r>
        <w:t xml:space="preserve">HUF is not theoretical-only. The framework includes operational protocols (MC-1 through MC-4) and implementation tooling ready for field deployment.</w:t>
      </w:r>
    </w:p>
    <w:p>
      <w:r>
        <w:br w:type="page"/>
      </w:r>
    </w:p>
    <w:p>
      <w:pPr>
        <w:pStyle w:val="Heading1"/>
      </w:pPr>
      <w:r>
        <w:t xml:space="preserve">3. Why a Standard of Standards</w:t>
      </w:r>
    </w:p>
    <w:p>
      <w:pPr>
        <w:spacing w:after="160"/>
      </w:pPr>
      <w:r>
        <w:t xml:space="preserve">The phrase sounds ambitious. Here is why it is precise.</w:t>
      </w:r>
    </w:p>
    <w:p>
      <w:pPr>
        <w:spacing w:after="80"/>
      </w:pPr>
    </w:p>
    <w:p>
      <w:pPr>
        <w:spacing w:after="160"/>
      </w:pPr>
      <w:r>
        <w:t xml:space="preserve">Every monitoring framework in every domain faces the same structural decisions:</w:t>
      </w:r>
    </w:p>
    <w:p>
      <w:pPr>
        <w:pStyle w:val="ListParagraph"/>
        <w:numPr>
          <w:ilvl w:val="0"/>
          <w:numId w:val="2"/>
        </w:numPr>
        <w:spacing w:after="80"/>
      </w:pPr>
      <w:r>
        <w:t xml:space="preserve">How to represent a portfolio mathematically.</w:t>
      </w:r>
    </w:p>
    <w:p>
      <w:pPr>
        <w:pStyle w:val="ListParagraph"/>
        <w:numPr>
          <w:ilvl w:val="0"/>
          <w:numId w:val="2"/>
        </w:numPr>
        <w:spacing w:after="80"/>
      </w:pPr>
      <w:r>
        <w:t xml:space="preserve">How to define a meaningful distance metric between states.</w:t>
      </w:r>
    </w:p>
    <w:p>
      <w:pPr>
        <w:pStyle w:val="ListParagraph"/>
        <w:numPr>
          <w:ilvl w:val="0"/>
          <w:numId w:val="2"/>
        </w:numPr>
        <w:spacing w:after="80"/>
      </w:pPr>
      <w:r>
        <w:t xml:space="preserve">How to set thresholds that distinguish signal from noise.</w:t>
      </w:r>
    </w:p>
    <w:p>
      <w:pPr>
        <w:pStyle w:val="ListParagraph"/>
        <w:numPr>
          <w:ilvl w:val="0"/>
          <w:numId w:val="2"/>
        </w:numPr>
        <w:spacing w:after="80"/>
      </w:pPr>
      <w:r>
        <w:t xml:space="preserve">How to trigger governance responses when thresholds are crossed.</w:t>
      </w:r>
    </w:p>
    <w:p>
      <w:pPr>
        <w:pStyle w:val="ListParagraph"/>
        <w:numPr>
          <w:ilvl w:val="0"/>
          <w:numId w:val="2"/>
        </w:numPr>
        <w:spacing w:after="80"/>
      </w:pPr>
      <w:r>
        <w:t xml:space="preserve">How to provide closed-loop feedback that corrects drift over time.</w:t>
      </w:r>
    </w:p>
    <w:p>
      <w:pPr>
        <w:spacing w:after="80"/>
      </w:pPr>
    </w:p>
    <w:p>
      <w:pPr>
        <w:spacing w:after="160"/>
      </w:pPr>
      <w:r>
        <w:t xml:space="preserve">HUF answers all five at the mathematical level. What changes across domains is not the framework — it is the interpretation: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4A" w:sz="1"/>
              <w:left w:val="single" w:color="1A3A4A" w:sz="1"/>
              <w:bottom w:val="single" w:color="1A3A4A" w:sz="1"/>
              <w:right w:val="single" w:color="1A3A4A" w:sz="1"/>
            </w:tcBorders>
            <w:shd w:fill="EDF5F5" w:val="clear"/>
            <w:tcMar>
              <w:top w:type="dxa" w:w="120"/>
              <w:left w:type="dxa" w:w="200"/>
              <w:bottom w:type="dxa" w:w="120"/>
              <w:right w:type="dxa" w:w="200"/>
            </w:tcMar>
          </w:tcPr>
          <w:p>
            <w:pPr>
              <w:spacing w:after="80"/>
            </w:pPr>
            <w:r>
              <w:rPr>
                <w:b/>
                <w:bCs/>
                <w:color w:val="1A3A4A"/>
                <w:sz w:val="22"/>
                <w:szCs w:val="22"/>
              </w:rPr>
              <w:t xml:space="preserve">Same Mathematics, Different Vocabulary</w:t>
            </w:r>
          </w:p>
          <w:p>
            <w:pPr>
              <w:spacing w:after="60"/>
            </w:pPr>
            <w:r>
              <w:rPr>
                <w:b/>
                <w:bCs/>
                <w:sz w:val="20"/>
                <w:szCs w:val="20"/>
              </w:rPr>
              <w:t xml:space="preserve">Ramsar: </w:t>
            </w:r>
            <w:r>
              <w:rPr>
                <w:sz w:val="20"/>
                <w:szCs w:val="20"/>
              </w:rPr>
              <w:t xml:space="preserve">ρ = species-area proportions; Keff = ecological character index; MC-4 = adaptive management trigger.</w:t>
            </w:r>
          </w:p>
          <w:p>
            <w:pPr>
              <w:spacing w:after="60"/>
            </w:pPr>
            <w:r>
              <w:rPr>
                <w:b/>
                <w:bCs/>
                <w:sz w:val="20"/>
                <w:szCs w:val="20"/>
              </w:rPr>
              <w:t xml:space="preserve">CBD/GBF: </w:t>
            </w:r>
            <w:r>
              <w:rPr>
                <w:sz w:val="20"/>
                <w:szCs w:val="20"/>
              </w:rPr>
              <w:t xml:space="preserve">ρ = biodiversity composition vector; Keff = GBF headline indicator; MC-4 = national action trigger.</w:t>
            </w:r>
          </w:p>
          <w:p>
            <w:pPr>
              <w:spacing w:after="60"/>
            </w:pPr>
            <w:r>
              <w:rPr>
                <w:b/>
                <w:bCs/>
                <w:sz w:val="20"/>
                <w:szCs w:val="20"/>
              </w:rPr>
              <w:t xml:space="preserve">Energy: </w:t>
            </w:r>
            <w:r>
              <w:rPr>
                <w:sz w:val="20"/>
                <w:szCs w:val="20"/>
              </w:rPr>
              <w:t xml:space="preserve">ρ = generation mix proportions; Keff = transition index; MC-4 = grid rebalancing trigger.</w:t>
            </w:r>
          </w:p>
          <w:p>
            <w:pPr>
              <w:spacing w:after="60"/>
            </w:pPr>
            <w:r>
              <w:rPr>
                <w:b/>
                <w:bCs/>
                <w:sz w:val="20"/>
                <w:szCs w:val="20"/>
              </w:rPr>
              <w:t xml:space="preserve">Control Systems (IFAC/IEEE): </w:t>
            </w:r>
            <w:r>
              <w:rPr>
                <w:sz w:val="20"/>
                <w:szCs w:val="20"/>
              </w:rPr>
              <w:t xml:space="preserve">ρ = process variable vector; Keff = plant health metric; MC-4 = IMC-PID correction loop.</w:t>
            </w:r>
          </w:p>
          <w:p>
            <w:pPr>
              <w:spacing w:after="60"/>
            </w:pPr>
            <w:r>
              <w:rPr>
                <w:b/>
                <w:bCs/>
                <w:sz w:val="20"/>
                <w:szCs w:val="20"/>
              </w:rPr>
              <w:t xml:space="preserve">CoDa/Mathematics: </w:t>
            </w:r>
            <w:r>
              <w:rPr>
                <w:sz w:val="20"/>
                <w:szCs w:val="20"/>
              </w:rPr>
              <w:t xml:space="preserve">ρ = composition on Δⁿ⁻¹; Keff = demodulated functional; TV = the natural metric on the simplex.</w:t>
            </w:r>
          </w:p>
        </w:tc>
      </w:tr>
    </w:tbl>
    <w:p>
      <w:pPr>
        <w:spacing w:after="80"/>
      </w:pPr>
    </w:p>
    <w:p>
      <w:pPr>
        <w:spacing w:after="160"/>
      </w:pPr>
      <w:r>
        <w:t xml:space="preserve">When organizations in different domains use the same mathematical backbone, something powerful happens: their results become directly comparable. A Ramsar wetland’s Keff trajectory and an energy grid’s Keff trajectory are plotted on the same simplex with the same metric. Cross-domain learning becomes possible not by analogy but by mathematics.</w:t>
      </w:r>
    </w:p>
    <w:p>
      <w:pPr>
        <w:spacing w:after="160"/>
      </w:pPr>
      <w:r>
        <w:t xml:space="preserve">That is what “a standard of standards” means. Not that HUF replaces domain-specific protocols, but that it provides the shared mathematical floor beneath all of them.</w:t>
      </w:r>
    </w:p>
    <w:p>
      <w:r>
        <w:br w:type="page"/>
      </w:r>
    </w:p>
    <w:p>
      <w:pPr>
        <w:pStyle w:val="Heading1"/>
      </w:pPr>
      <w:r>
        <w:t xml:space="preserve">4. The Deployment Model</w:t>
      </w:r>
    </w:p>
    <w:p>
      <w:pPr>
        <w:pStyle w:val="Heading2"/>
      </w:pPr>
      <w:r>
        <w:t xml:space="preserve">4.1 huf.org — Independent Standards Body</w:t>
      </w:r>
    </w:p>
    <w:p>
      <w:pPr>
        <w:spacing w:after="160"/>
      </w:pPr>
      <w:r>
        <w:t xml:space="preserve">huf.org is being established as an independent not-for-profit corporation to hold the HUF standard. It is separate from Rogue Wave Audio Inc., the Ontario corporation under which HUF was originally developed as part of an ongoing acoustics research programme. The spin-out ensures that the standard is governed independently of any single commercial interest.</w:t>
      </w:r>
    </w:p>
    <w:p>
      <w:pPr>
        <w:spacing w:after="80"/>
      </w:pPr>
    </w:p>
    <w:p>
      <w:pPr>
        <w:spacing w:after="160"/>
      </w:pPr>
      <w:r>
        <w:t xml:space="preserve">huf.org will:</w:t>
      </w:r>
    </w:p>
    <w:p>
      <w:pPr>
        <w:pStyle w:val="ListParagraph"/>
        <w:numPr>
          <w:ilvl w:val="0"/>
          <w:numId w:val="2"/>
        </w:numPr>
        <w:spacing w:after="80"/>
      </w:pPr>
      <w:r>
        <w:t xml:space="preserve">Maintain and publish the HUF standard under the MIT License.</w:t>
      </w:r>
    </w:p>
    <w:p>
      <w:pPr>
        <w:pStyle w:val="ListParagraph"/>
        <w:numPr>
          <w:ilvl w:val="0"/>
          <w:numId w:val="2"/>
        </w:numPr>
        <w:spacing w:after="80"/>
      </w:pPr>
      <w:r>
        <w:t xml:space="preserve">Host the public repository with all four audience editions, formal proofs, and review trace.</w:t>
      </w:r>
    </w:p>
    <w:p>
      <w:pPr>
        <w:pStyle w:val="ListParagraph"/>
        <w:numPr>
          <w:ilvl w:val="0"/>
          <w:numId w:val="2"/>
        </w:numPr>
        <w:spacing w:after="80"/>
      </w:pPr>
      <w:r>
        <w:t xml:space="preserve">Administer the Governance Council where adopting organizations shape the standard’s evolution.</w:t>
      </w:r>
    </w:p>
    <w:p>
      <w:pPr>
        <w:pStyle w:val="ListParagraph"/>
        <w:numPr>
          <w:ilvl w:val="0"/>
          <w:numId w:val="2"/>
        </w:numPr>
        <w:spacing w:after="80"/>
      </w:pPr>
      <w:r>
        <w:t xml:space="preserve">Issue HUF Compliance and HUF Certification designations.</w:t>
      </w:r>
    </w:p>
    <w:p>
      <w:pPr>
        <w:pStyle w:val="ListParagraph"/>
        <w:numPr>
          <w:ilvl w:val="0"/>
          <w:numId w:val="2"/>
        </w:numPr>
        <w:spacing w:after="80"/>
      </w:pPr>
      <w:r>
        <w:t xml:space="preserve">Coordinate cross-domain validation and publication.</w:t>
      </w:r>
    </w:p>
    <w:p>
      <w:pPr>
        <w:pStyle w:val="ListParagraph"/>
        <w:numPr>
          <w:ilvl w:val="0"/>
          <w:numId w:val="2"/>
        </w:numPr>
        <w:spacing w:after="80"/>
      </w:pPr>
      <w:r>
        <w:t xml:space="preserve">Provide technical consulting via contracted domain experts (including the framework author).</w:t>
      </w:r>
    </w:p>
    <w:p>
      <w:pPr>
        <w:pStyle w:val="Heading2"/>
      </w:pPr>
      <w:r>
        <w:t xml:space="preserve">4.2 The Tiered Engagement Model</w:t>
      </w:r>
    </w:p>
    <w:p>
      <w:pPr>
        <w:spacing w:after="160"/>
      </w:pPr>
      <w:r>
        <w:t xml:space="preserve">huf.org operates three engagement tiers, designed so that every organization can participate at the level that serves its mission: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4A" w:sz="1"/>
              <w:left w:val="single" w:color="1A3A4A" w:sz="1"/>
              <w:bottom w:val="single" w:color="1A3A4A" w:sz="1"/>
              <w:right w:val="single" w:color="1A3A4A" w:sz="1"/>
            </w:tcBorders>
            <w:shd w:fill="EDF5F5" w:val="clear"/>
            <w:tcMar>
              <w:top w:type="dxa" w:w="120"/>
              <w:left w:type="dxa" w:w="200"/>
              <w:bottom w:type="dxa" w:w="120"/>
              <w:right w:type="dxa" w:w="200"/>
            </w:tcMar>
          </w:tcPr>
          <w:p>
            <w:pPr>
              <w:spacing w:after="80"/>
            </w:pPr>
            <w:r>
              <w:rPr>
                <w:b/>
                <w:bCs/>
                <w:color w:val="1A3A4A"/>
                <w:sz w:val="22"/>
                <w:szCs w:val="22"/>
              </w:rPr>
              <w:t xml:space="preserve">Tier 1 — Reference (Free)</w:t>
            </w:r>
          </w:p>
          <w:p>
            <w:pPr>
              <w:spacing w:after="60"/>
            </w:pPr>
            <w:r>
              <w:rPr>
                <w:sz w:val="20"/>
                <w:szCs w:val="20"/>
              </w:rPr>
              <w:t xml:space="preserve">Use the standard. Cite it. Implement it. Fork it. The entire mathematical corpus is MIT-licensed. No fees, no permissions, no restrictions beyond attribution. This tier exists because a standard nobody can use is not a standard.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4A" w:sz="1"/>
              <w:left w:val="single" w:color="1A3A4A" w:sz="1"/>
              <w:bottom w:val="single" w:color="1A3A4A" w:sz="1"/>
              <w:right w:val="single" w:color="1A3A4A" w:sz="1"/>
            </w:tcBorders>
            <w:shd w:fill="EDF5F5" w:val="clear"/>
            <w:tcMar>
              <w:top w:type="dxa" w:w="120"/>
              <w:left w:type="dxa" w:w="200"/>
              <w:bottom w:type="dxa" w:w="120"/>
              <w:right w:type="dxa" w:w="200"/>
            </w:tcMar>
          </w:tcPr>
          <w:p>
            <w:pPr>
              <w:spacing w:after="80"/>
            </w:pPr>
            <w:r>
              <w:rPr>
                <w:b/>
                <w:bCs/>
                <w:color w:val="1A3A4A"/>
                <w:sz w:val="22"/>
                <w:szCs w:val="22"/>
              </w:rPr>
              <w:t xml:space="preserve">Tier 2 — Adoption (Membership)</w:t>
            </w:r>
          </w:p>
          <w:p>
            <w:pPr>
              <w:spacing w:after="60"/>
            </w:pPr>
            <w:r>
              <w:rPr>
                <w:sz w:val="20"/>
                <w:szCs w:val="20"/>
              </w:rPr>
              <w:t xml:space="preserve">Formally adopt HUF methodology. Contribute validation data from your domain back to the repository. Receive priority technical support, early access to new editions, and citation in the collective review record. Annual membership: scaled to organization size.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4A" w:sz="1"/>
              <w:left w:val="single" w:color="1A3A4A" w:sz="1"/>
              <w:bottom w:val="single" w:color="1A3A4A" w:sz="1"/>
              <w:right w:val="single" w:color="1A3A4A" w:sz="1"/>
            </w:tcBorders>
            <w:shd w:fill="EDF5F5" w:val="clear"/>
            <w:tcMar>
              <w:top w:type="dxa" w:w="120"/>
              <w:left w:type="dxa" w:w="200"/>
              <w:bottom w:type="dxa" w:w="120"/>
              <w:right w:type="dxa" w:w="200"/>
            </w:tcMar>
          </w:tcPr>
          <w:p>
            <w:pPr>
              <w:spacing w:after="80"/>
            </w:pPr>
            <w:r>
              <w:rPr>
                <w:b/>
                <w:bCs/>
                <w:color w:val="1A3A4A"/>
                <w:sz w:val="22"/>
                <w:szCs w:val="22"/>
              </w:rPr>
              <w:t xml:space="preserve">Tier 3 — Stewardship (Governance Council)</w:t>
            </w:r>
          </w:p>
          <w:p>
            <w:pPr>
              <w:spacing w:after="60"/>
            </w:pPr>
            <w:r>
              <w:rPr>
                <w:sz w:val="20"/>
                <w:szCs w:val="20"/>
              </w:rPr>
              <w:t xml:space="preserve">Join the huf.org Governance Council. Vote on amendments to the standard. Propose new audience editions. Co-author the formal review trace. Shape what HUF becomes. This is where the “standard of standards” is governed collectively.</w:t>
            </w:r>
          </w:p>
        </w:tc>
      </w:tr>
    </w:tbl>
    <w:p>
      <w:r>
        <w:br w:type="page"/>
      </w:r>
    </w:p>
    <w:p>
      <w:pPr>
        <w:pStyle w:val="Heading1"/>
      </w:pPr>
      <w:r>
        <w:t xml:space="preserve">5. What Each Organization Gets</w:t>
      </w:r>
    </w:p>
    <w:p>
      <w:pPr>
        <w:spacing w:after="160"/>
      </w:pPr>
      <w:r>
        <w:t xml:space="preserve">This section addresses each target organization directly. The question in every case is the same: what does HUF provide that you do not already have?</w:t>
      </w:r>
    </w:p>
    <w:p>
      <w:pPr>
        <w:spacing w:after="80"/>
      </w:pPr>
    </w:p>
    <w:p>
      <w:pPr>
        <w:pStyle w:val="Heading2"/>
      </w:pPr>
      <w:r>
        <w:t xml:space="preserve">5.1 Ramsar Convention on Wetlands</w:t>
      </w:r>
    </w:p>
    <w:p>
      <w:pPr>
        <w:spacing w:after="160"/>
      </w:pPr>
      <w:r>
        <w:rPr>
          <w:b/>
          <w:bCs/>
        </w:rPr>
        <w:t xml:space="preserve">Your challenge: </w:t>
      </w:r>
      <w:r>
        <w:t xml:space="preserve">Article 3.2 requires Contracting Parties to monitor “ecological character” of listed wetlands, but the Convention lacks a standardized quantitative method for detecting change. Each site invents its own approach. Cross-site comparison is difficult or impossible.</w:t>
      </w:r>
    </w:p>
    <w:p>
      <w:pPr>
        <w:spacing w:after="160"/>
      </w:pPr>
      <w:r>
        <w:rPr>
          <w:b/>
          <w:bCs/>
        </w:rPr>
        <w:t xml:space="preserve">What HUF provides: </w:t>
      </w:r>
      <w:r>
        <w:t xml:space="preserve">A mathematically rigorous definition of ecological character as ρ on the simplex, with TV distance as the drift metric, Keff as the headline indicator, and MC-4 as the adaptive management trigger. Every Ramsar site using HUF produces results that are directly comparable to every other site.</w:t>
      </w:r>
    </w:p>
    <w:p>
      <w:pPr>
        <w:spacing w:after="160"/>
      </w:pPr>
      <w:r>
        <w:rPr>
          <w:b/>
          <w:bCs/>
        </w:rPr>
        <w:t xml:space="preserve">What you contribute: </w:t>
      </w:r>
      <w:r>
        <w:t xml:space="preserve">Validation data from pilot sites. Domain expertise on wetland ecology. Endorsement that opens the door for national focal points to adopt the methodology. A seat on the Governance Council to ensure the standard serves wetland conservation.</w:t>
      </w:r>
    </w:p>
    <w:p>
      <w:pPr>
        <w:pStyle w:val="Heading2"/>
      </w:pPr>
      <w:r>
        <w:t xml:space="preserve">5.2 Convention on Biological Diversity (CBD/SBSTTA)</w:t>
      </w:r>
    </w:p>
    <w:p>
      <w:pPr>
        <w:spacing w:after="160"/>
      </w:pPr>
      <w:r>
        <w:rPr>
          <w:b/>
          <w:bCs/>
        </w:rPr>
        <w:t xml:space="preserve">Your challenge: </w:t>
      </w:r>
      <w:r>
        <w:t xml:space="preserve">The Kunming-Montreal Global Biodiversity Framework requires headline indicators for 23 targets, but the indicator methodology for compositional change in biodiversity portfolios is underdeveloped. National reports lack standardized quantitative baselines.</w:t>
      </w:r>
    </w:p>
    <w:p>
      <w:pPr>
        <w:spacing w:after="160"/>
      </w:pPr>
      <w:r>
        <w:rPr>
          <w:b/>
          <w:bCs/>
        </w:rPr>
        <w:t xml:space="preserve">What HUF provides: </w:t>
      </w:r>
      <w:r>
        <w:t xml:space="preserve">HUF-ρ as a candidate GBF headline indicator for compositional integrity. A mathematically defensible method for declaring baselines (CL-01), detecting drift (MC-2/MC-3), and triggering national action (MC-4). Comparable across all 196 Parties.</w:t>
      </w:r>
    </w:p>
    <w:p>
      <w:pPr>
        <w:spacing w:after="160"/>
      </w:pPr>
      <w:r>
        <w:rPr>
          <w:b/>
          <w:bCs/>
        </w:rPr>
        <w:t xml:space="preserve">What you contribute: </w:t>
      </w:r>
      <w:r>
        <w:t xml:space="preserve">Recognition of HUF-ρ within the SBSTTA indicator review process. Access to national biodiversity data for validation. Endorsement that positions HUF as part of the GBF monitoring architecture.</w:t>
      </w:r>
    </w:p>
    <w:p>
      <w:pPr>
        <w:pStyle w:val="Heading2"/>
      </w:pPr>
      <w:r>
        <w:t xml:space="preserve">5.3 GEO BON — Essential Biodiversity Variables</w:t>
      </w:r>
    </w:p>
    <w:p>
      <w:pPr>
        <w:spacing w:after="160"/>
      </w:pPr>
      <w:r>
        <w:rPr>
          <w:b/>
          <w:bCs/>
        </w:rPr>
        <w:t xml:space="preserve">Your challenge: </w:t>
      </w:r>
      <w:r>
        <w:t xml:space="preserve">EBV candidates must be scientifically defensible, globally scalable, and interoperable. Compositional EBVs remain methodologically underdeveloped compared to structural and functional categories.</w:t>
      </w:r>
    </w:p>
    <w:p>
      <w:pPr>
        <w:spacing w:after="160"/>
      </w:pPr>
      <w:r>
        <w:rPr>
          <w:b/>
          <w:bCs/>
        </w:rPr>
        <w:t xml:space="preserve">What HUF provides: </w:t>
      </w:r>
      <w:r>
        <w:t xml:space="preserve">A formally proven operator on the simplex that meets all EBV criteria: measurable from field data, scalable from site to global, interoperable across taxa and ecosystems, and equipped with built-in uncertainty quantification.</w:t>
      </w:r>
    </w:p>
    <w:p>
      <w:pPr>
        <w:spacing w:after="160"/>
      </w:pPr>
      <w:r>
        <w:rPr>
          <w:b/>
          <w:bCs/>
        </w:rPr>
        <w:t xml:space="preserve">What you contribute: </w:t>
      </w:r>
      <w:r>
        <w:t xml:space="preserve">EBV candidate recognition. Access to the BON in a Box framework for deployment testing. Scientific review that validates HUF’s position within the EBV ecosystem.</w:t>
      </w:r>
    </w:p>
    <w:p>
      <w:pPr>
        <w:pStyle w:val="Heading2"/>
      </w:pPr>
      <w:r>
        <w:t xml:space="preserve">5.4 Horizon Europe (Cluster 6)</w:t>
      </w:r>
    </w:p>
    <w:p>
      <w:pPr>
        <w:spacing w:after="160"/>
      </w:pPr>
      <w:r>
        <w:rPr>
          <w:b/>
          <w:bCs/>
        </w:rPr>
        <w:t xml:space="preserve">Your challenge: </w:t>
      </w:r>
      <w:r>
        <w:t xml:space="preserve">Funding cross-domain monitoring innovation requires proposals that demonstrate scientific novelty, practical applicability, and clear societal impact. Reviewers need to see a methodology that works, not just a theory.</w:t>
      </w:r>
    </w:p>
    <w:p>
      <w:pPr>
        <w:spacing w:after="160"/>
      </w:pPr>
      <w:r>
        <w:rPr>
          <w:b/>
          <w:bCs/>
        </w:rPr>
        <w:t xml:space="preserve">What HUF provides: </w:t>
      </w:r>
      <w:r>
        <w:t xml:space="preserve">A grant-ready framework with 27 formal results, 4 audience editions, 5 case studies, and operational protocols. The cross-domain applicability (ecology, energy, manufacturing, finance) is the novelty. The PLL-to-governance pipeline is the societal impact.</w:t>
      </w:r>
    </w:p>
    <w:p>
      <w:pPr>
        <w:spacing w:after="160"/>
      </w:pPr>
      <w:r>
        <w:rPr>
          <w:b/>
          <w:bCs/>
        </w:rPr>
        <w:t xml:space="preserve">What you contribute: </w:t>
      </w:r>
      <w:r>
        <w:t xml:space="preserve">Funding. Institutional infrastructure for grant administration. Access to European research networks for multi-site validation. The Horizon Europe imprimatur that attracts additional partners.</w:t>
      </w:r>
    </w:p>
    <w:p>
      <w:pPr>
        <w:pStyle w:val="Heading2"/>
      </w:pPr>
      <w:r>
        <w:t xml:space="preserve">5.5 IFAC / IEEE Control Systems</w:t>
      </w:r>
    </w:p>
    <w:p>
      <w:pPr>
        <w:spacing w:after="160"/>
      </w:pPr>
      <w:r>
        <w:rPr>
          <w:b/>
          <w:bCs/>
        </w:rPr>
        <w:t xml:space="preserve">Your challenge: </w:t>
      </w:r>
      <w:r>
        <w:t xml:space="preserve">Classical control theory operates on continuous plant signals. Governance and ecological monitoring operate on compositional data. The bridge between industrial process control and governance monitoring is underdeveloped.</w:t>
      </w:r>
    </w:p>
    <w:p>
      <w:pPr>
        <w:spacing w:after="160"/>
      </w:pPr>
      <w:r>
        <w:rPr>
          <w:b/>
          <w:bCs/>
        </w:rPr>
        <w:t xml:space="preserve">What HUF provides: </w:t>
      </w:r>
      <w:r>
        <w:t xml:space="preserve">A direct translation of IMC-PID tuning to the probability simplex. The single-parameter λ tuning rule. A formal proof that governance feedback loops are structurally identical to industrial control loops. This extends the control systems canon into a new domain.</w:t>
      </w:r>
    </w:p>
    <w:p>
      <w:pPr>
        <w:spacing w:after="160"/>
      </w:pPr>
      <w:r>
        <w:rPr>
          <w:b/>
          <w:bCs/>
        </w:rPr>
        <w:t xml:space="preserve">What you contribute: </w:t>
      </w:r>
      <w:r>
        <w:t xml:space="preserve">Peer review through IFAC/IEEE journal and conference processes. Domain validation from the control systems community. Recognition that positions HUF within the academic control theory literature.</w:t>
      </w:r>
    </w:p>
    <w:p>
      <w:pPr>
        <w:pStyle w:val="Heading2"/>
      </w:pPr>
      <w:r>
        <w:t xml:space="preserve">5.6 NERC (Natural Environment Research Council)</w:t>
      </w:r>
    </w:p>
    <w:p>
      <w:pPr>
        <w:spacing w:after="160"/>
      </w:pPr>
      <w:r>
        <w:rPr>
          <w:b/>
          <w:bCs/>
        </w:rPr>
        <w:t xml:space="preserve">Your challenge: </w:t>
      </w:r>
      <w:r>
        <w:t xml:space="preserve">UK environmental monitoring needs quantitative methods that scale from individual sites to national assessment. Current approaches are fragmented across agencies and ecosystems.</w:t>
      </w:r>
    </w:p>
    <w:p>
      <w:pPr>
        <w:spacing w:after="160"/>
      </w:pPr>
      <w:r>
        <w:rPr>
          <w:b/>
          <w:bCs/>
        </w:rPr>
        <w:t xml:space="preserve">What HUF provides: </w:t>
      </w:r>
      <w:r>
        <w:t xml:space="preserve">A unified monitoring framework for all UK environmental portfolios: wetlands, woodlands, marine, freshwater. MC-4 provides the adaptive management protocol. CL-05 provides audit-grade governance. All sites produce comparable Keff trajectories.</w:t>
      </w:r>
    </w:p>
    <w:p>
      <w:pPr>
        <w:spacing w:after="160"/>
      </w:pPr>
      <w:r>
        <w:rPr>
          <w:b/>
          <w:bCs/>
        </w:rPr>
        <w:t xml:space="preserve">What you contribute: </w:t>
      </w:r>
      <w:r>
        <w:t xml:space="preserve">Research funding through responsive-mode grants. Access to UK monitoring data and field sites. Institutional partnerships (Natural England, JNCC, CEH) for validation and deployment.</w:t>
      </w:r>
    </w:p>
    <w:p>
      <w:pPr>
        <w:pStyle w:val="Heading2"/>
      </w:pPr>
      <w:r>
        <w:t xml:space="preserve">5.7 CoDa Community / Mathematical Geosciences</w:t>
      </w:r>
    </w:p>
    <w:p>
      <w:pPr>
        <w:spacing w:after="160"/>
      </w:pPr>
      <w:r>
        <w:rPr>
          <w:b/>
          <w:bCs/>
        </w:rPr>
        <w:t xml:space="preserve">Your challenge: </w:t>
      </w:r>
      <w:r>
        <w:t xml:space="preserve">Compositional data analysis (CoDa) has a rich theoretical tradition but limited penetration into governance and operational monitoring. The Aitchison geometry is powerful but underutilized outside specialist circles.</w:t>
      </w:r>
    </w:p>
    <w:p>
      <w:pPr>
        <w:spacing w:after="160"/>
      </w:pPr>
      <w:r>
        <w:rPr>
          <w:b/>
          <w:bCs/>
        </w:rPr>
        <w:t xml:space="preserve">What HUF provides: </w:t>
      </w:r>
      <w:r>
        <w:t xml:space="preserve">A governance application of CoDa that brings simplex mathematics into policy-relevant monitoring. The carrier ontology operates natively on Δⁿ⁻¹. Total Variation as the house metric complements the Aitchison distance for different operational questions. HUF is a bridge from CoDa theory to CoDa practice.</w:t>
      </w:r>
    </w:p>
    <w:p>
      <w:pPr>
        <w:spacing w:after="160"/>
      </w:pPr>
      <w:r>
        <w:rPr>
          <w:b/>
          <w:bCs/>
        </w:rPr>
        <w:t xml:space="preserve">What you contribute: </w:t>
      </w:r>
      <w:r>
        <w:t xml:space="preserve">Mathematical peer review. Validation of the formal results by the CoDa community. Publication in Mathematical Geosciences or Compositional Data Analysis journals. Endorsement that the mathematics is sound.</w:t>
      </w:r>
    </w:p>
    <w:p>
      <w:r>
        <w:br w:type="page"/>
      </w:r>
    </w:p>
    <w:p>
      <w:pPr>
        <w:pStyle w:val="Heading1"/>
      </w:pPr>
      <w:r>
        <w:t xml:space="preserve">6. What huf.org Gets — and Why That Matters to You</w:t>
      </w:r>
    </w:p>
    <w:p>
      <w:pPr>
        <w:spacing w:after="160"/>
      </w:pPr>
      <w:r>
        <w:t xml:space="preserve">Transparency requires stating what huf.org needs from these partnerships. There is no hidden agenda; the model is straightforward:</w:t>
      </w:r>
    </w:p>
    <w:p>
      <w:pPr>
        <w:spacing w:after="80"/>
      </w:pPr>
    </w:p>
    <w:p>
      <w:pPr>
        <w:pStyle w:val="ListParagraph"/>
        <w:numPr>
          <w:ilvl w:val="0"/>
          <w:numId w:val="2"/>
        </w:numPr>
        <w:spacing w:after="80"/>
      </w:pPr>
      <w:r>
        <w:rPr>
          <w:b/>
          <w:bCs/>
        </w:rPr>
        <w:t xml:space="preserve">Validation: </w:t>
      </w:r>
      <w:r>
        <w:t xml:space="preserve">Every domain that applies HUF to real data and publishes the results strengthens the evidence base. The 27 formal results have been reviewed by 5 AI agents; they have not yet been reviewed by human domain experts in each field. Your participation closes that gap.</w:t>
      </w:r>
    </w:p>
    <w:p>
      <w:pPr>
        <w:pStyle w:val="ListParagraph"/>
        <w:numPr>
          <w:ilvl w:val="0"/>
          <w:numId w:val="2"/>
        </w:numPr>
        <w:spacing w:after="80"/>
      </w:pPr>
      <w:r>
        <w:rPr>
          <w:b/>
          <w:bCs/>
        </w:rPr>
        <w:t xml:space="preserve">Credibility: </w:t>
      </w:r>
      <w:r>
        <w:t xml:space="preserve">An open standard gains authority through institutional endorsement. When Ramsar recognizes a methodology, wetland managers use it. When IEEE publishes it, control engineers take it seriously. Endorsement is how standards become standards.</w:t>
      </w:r>
    </w:p>
    <w:p>
      <w:pPr>
        <w:pStyle w:val="ListParagraph"/>
        <w:numPr>
          <w:ilvl w:val="0"/>
          <w:numId w:val="2"/>
        </w:numPr>
        <w:spacing w:after="80"/>
      </w:pPr>
      <w:r>
        <w:rPr>
          <w:b/>
          <w:bCs/>
        </w:rPr>
        <w:t xml:space="preserve">Funding: </w:t>
      </w:r>
      <w:r>
        <w:t xml:space="preserve">Grant funding (Horizon Europe, NERC, NSERC) sustains the standard’s development and the consulting infrastructure that supports adopters. The overhead recovery model is standard for NFP standards bodies.</w:t>
      </w:r>
    </w:p>
    <w:p>
      <w:pPr>
        <w:pStyle w:val="ListParagraph"/>
        <w:numPr>
          <w:ilvl w:val="0"/>
          <w:numId w:val="2"/>
        </w:numPr>
        <w:spacing w:after="80"/>
      </w:pPr>
      <w:r>
        <w:rPr>
          <w:b/>
          <w:bCs/>
        </w:rPr>
        <w:t xml:space="preserve">Governance participation: </w:t>
      </w:r>
      <w:r>
        <w:t xml:space="preserve">huf.org’s Governance Council needs domain experts to ensure the standard evolves correctly. A framework governed only by its author is a framework that will stagnate. Your participation prevents that.</w:t>
      </w:r>
    </w:p>
    <w:p>
      <w:pPr>
        <w:pStyle w:val="ListParagraph"/>
        <w:numPr>
          <w:ilvl w:val="0"/>
          <w:numId w:val="2"/>
        </w:numPr>
        <w:spacing w:after="80"/>
      </w:pPr>
      <w:r>
        <w:rPr>
          <w:b/>
          <w:bCs/>
        </w:rPr>
        <w:t xml:space="preserve">Revenue: </w:t>
      </w:r>
      <w:r>
        <w:t xml:space="preserve">Membership dues, certification fees, and consulting revenue make huf.org self-sustaining. The MIT license ensures the mathematics remain free; the organizational infrastructure around it requires funding, just as it does for every standards body from ISO to W3C.</w:t>
      </w:r>
    </w:p>
    <w:p>
      <w:pPr>
        <w:spacing w:after="80"/>
      </w:pPr>
    </w:p>
    <w:p>
      <w:pPr>
        <w:spacing w:after="160"/>
      </w:pPr>
      <w:r>
        <w:t xml:space="preserve">Peter Higgins, as framework author and principal of Rogue Wave Audio Inc., provides consulting and technical services to huf.org on an arm’s-length contractual basis. This is the same model used by the Linux Foundation, the Apache Foundation, and every mature open-source standards body. The framework author earns a living from expertise, not from locking up the mathematics.</w:t>
      </w:r>
    </w:p>
    <w:p>
      <w:pPr>
        <w:spacing w:after="80"/>
      </w:pPr>
    </w:p>
    <w:p>
      <w:pPr>
        <w:pBdr>
          <w:left w:val="single" w:color="1A3A4A" w:sz="3" w:space="8"/>
        </w:pBdr>
        <w:spacing w:after="160"/>
        <w:ind w:left="720" w:right="720"/>
      </w:pPr>
      <w:r>
        <w:rPr>
          <w:i/>
          <w:iCs/>
          <w:color w:val="4A4A4A"/>
        </w:rPr>
        <w:t xml:space="preserve">The math is free. The trust that it has been implemented correctly is what organizations pay for. That trust is built by validation, peer review, and institutional endorsement — which is exactly what this proposal requests.</w:t>
      </w:r>
    </w:p>
    <w:p>
      <w:r>
        <w:br w:type="page"/>
      </w:r>
    </w:p>
    <w:p>
      <w:pPr>
        <w:pStyle w:val="Heading1"/>
      </w:pPr>
      <w:r>
        <w:t xml:space="preserve">7. Partnership Matrix</w:t>
      </w:r>
    </w:p>
    <w:p>
      <w:pPr>
        <w:spacing w:after="160"/>
      </w:pPr>
      <w:r>
        <w:t xml:space="preserve">The following table summarizes the mutual exchange for each target organization: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c>
          <w:tcPr>
            <w:tcW w:type="dxa" w:w="2200"/>
            <w:tcBorders>
              <w:top w:val="single" w:color="BBBBBB" w:sz="1"/>
              <w:left w:val="single" w:color="BBBBBB" w:sz="1"/>
              <w:bottom w:val="single" w:color="BBBBBB" w:sz="1"/>
              <w:right w:val="single" w:color="BBBBBB" w:sz="1"/>
            </w:tcBorders>
            <w:shd w:fill="1A3A4A" w:val="clear"/>
            <w:tcMar>
              <w:top w:type="dxa" w:w="80"/>
              <w:left w:type="dxa" w:w="120"/>
              <w:bottom w:type="dxa" w:w="80"/>
              <w:right w:type="dxa" w:w="120"/>
            </w:tcMar>
          </w:tcPr>
          <w:p>
            <w:r>
              <w:rPr>
                <w:rFonts w:ascii="Georgia" w:cs="Georgia" w:eastAsia="Georgia" w:hAnsi="Georgia"/>
                <w:b/>
                <w:bCs/>
                <w:color w:val="FFFFFF"/>
                <w:sz w:val="20"/>
                <w:szCs w:val="20"/>
              </w:rPr>
              <w:t xml:space="preserve">Organization</w:t>
            </w:r>
          </w:p>
        </w:tc>
        <w:tc>
          <w:tcPr>
            <w:tcW w:type="dxa" w:w="2800"/>
            <w:tcBorders>
              <w:top w:val="single" w:color="BBBBBB" w:sz="1"/>
              <w:left w:val="single" w:color="BBBBBB" w:sz="1"/>
              <w:bottom w:val="single" w:color="BBBBBB" w:sz="1"/>
              <w:right w:val="single" w:color="BBBBBB" w:sz="1"/>
            </w:tcBorders>
            <w:shd w:fill="1A3A4A" w:val="clear"/>
            <w:tcMar>
              <w:top w:type="dxa" w:w="80"/>
              <w:left w:type="dxa" w:w="120"/>
              <w:bottom w:type="dxa" w:w="80"/>
              <w:right w:type="dxa" w:w="120"/>
            </w:tcMar>
          </w:tcPr>
          <w:p>
            <w:r>
              <w:rPr>
                <w:rFonts w:ascii="Georgia" w:cs="Georgia" w:eastAsia="Georgia" w:hAnsi="Georgia"/>
                <w:b/>
                <w:bCs/>
                <w:color w:val="FFFFFF"/>
                <w:sz w:val="20"/>
                <w:szCs w:val="20"/>
              </w:rPr>
              <w:t xml:space="preserve">What They Get</w:t>
            </w:r>
          </w:p>
        </w:tc>
        <w:tc>
          <w:tcPr>
            <w:tcW w:type="dxa" w:w="2200"/>
            <w:tcBorders>
              <w:top w:val="single" w:color="BBBBBB" w:sz="1"/>
              <w:left w:val="single" w:color="BBBBBB" w:sz="1"/>
              <w:bottom w:val="single" w:color="BBBBBB" w:sz="1"/>
              <w:right w:val="single" w:color="BBBBBB" w:sz="1"/>
            </w:tcBorders>
            <w:shd w:fill="1A3A4A" w:val="clear"/>
            <w:tcMar>
              <w:top w:type="dxa" w:w="80"/>
              <w:left w:type="dxa" w:w="120"/>
              <w:bottom w:type="dxa" w:w="80"/>
              <w:right w:type="dxa" w:w="120"/>
            </w:tcMar>
          </w:tcPr>
          <w:p>
            <w:r>
              <w:rPr>
                <w:rFonts w:ascii="Georgia" w:cs="Georgia" w:eastAsia="Georgia" w:hAnsi="Georgia"/>
                <w:b/>
                <w:bCs/>
                <w:color w:val="FFFFFF"/>
                <w:sz w:val="20"/>
                <w:szCs w:val="20"/>
              </w:rPr>
              <w:t xml:space="preserve">What HUF Gets</w:t>
            </w:r>
          </w:p>
        </w:tc>
        <w:tc>
          <w:tcPr>
            <w:tcW w:type="dxa" w:w="2160"/>
            <w:tcBorders>
              <w:top w:val="single" w:color="BBBBBB" w:sz="1"/>
              <w:left w:val="single" w:color="BBBBBB" w:sz="1"/>
              <w:bottom w:val="single" w:color="BBBBBB" w:sz="1"/>
              <w:right w:val="single" w:color="BBBBBB" w:sz="1"/>
            </w:tcBorders>
            <w:shd w:fill="1A3A4A" w:val="clear"/>
            <w:tcMar>
              <w:top w:type="dxa" w:w="80"/>
              <w:left w:type="dxa" w:w="120"/>
              <w:bottom w:type="dxa" w:w="80"/>
              <w:right w:type="dxa" w:w="120"/>
            </w:tcMar>
          </w:tcPr>
          <w:p>
            <w:r>
              <w:rPr>
                <w:rFonts w:ascii="Georgia" w:cs="Georgia" w:eastAsia="Georgia" w:hAnsi="Georgia"/>
                <w:b/>
                <w:bCs/>
                <w:color w:val="FFFFFF"/>
                <w:sz w:val="20"/>
                <w:szCs w:val="20"/>
              </w:rPr>
              <w:t xml:space="preserve">Engagement Tier</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Ramsar Convention</w:t>
            </w:r>
          </w:p>
        </w:tc>
        <w:tc>
          <w:tcPr>
            <w:tcW w:type="dxa" w:w="28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Standardized Art. 3.2 monitoring; cross-site comparability</w:t>
            </w:r>
          </w:p>
        </w:tc>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Wetland validation data; institutional credibility</w:t>
            </w:r>
          </w:p>
        </w:tc>
        <w:tc>
          <w:tcPr>
            <w:tcW w:type="dxa" w:w="2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Tier 2 → Tier 3</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CBD / SBSTTA</w:t>
            </w:r>
          </w:p>
        </w:tc>
        <w:tc>
          <w:tcPr>
            <w:tcW w:type="dxa" w:w="28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GBF headline indicator candidate; national reporting method</w:t>
            </w:r>
          </w:p>
        </w:tc>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Biodiversity data access; GBF indicator recognition</w:t>
            </w:r>
          </w:p>
        </w:tc>
        <w:tc>
          <w:tcPr>
            <w:tcW w:type="dxa" w:w="2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Tier 2 → Tier 3</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GEO BON</w:t>
            </w:r>
          </w:p>
        </w:tc>
        <w:tc>
          <w:tcPr>
            <w:tcW w:type="dxa" w:w="28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Formally proven compositional EBV candidate</w:t>
            </w:r>
          </w:p>
        </w:tc>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EBV recognition; BON in a Box integration</w:t>
            </w:r>
          </w:p>
        </w:tc>
        <w:tc>
          <w:tcPr>
            <w:tcW w:type="dxa" w:w="2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Tier 2</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Horizon Europe</w:t>
            </w:r>
          </w:p>
        </w:tc>
        <w:tc>
          <w:tcPr>
            <w:tcW w:type="dxa" w:w="28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Grant-ready cross-domain innovation framework</w:t>
            </w:r>
          </w:p>
        </w:tc>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Funding; European research network access</w:t>
            </w:r>
          </w:p>
        </w:tc>
        <w:tc>
          <w:tcPr>
            <w:tcW w:type="dxa" w:w="2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Tier 3 (via grant)</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IFAC / IEEE</w:t>
            </w:r>
          </w:p>
        </w:tc>
        <w:tc>
          <w:tcPr>
            <w:tcW w:type="dxa" w:w="28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Novel extension of IMC-PID to governance simplex</w:t>
            </w:r>
          </w:p>
        </w:tc>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Peer review; academic publication; credibility</w:t>
            </w:r>
          </w:p>
        </w:tc>
        <w:tc>
          <w:tcPr>
            <w:tcW w:type="dxa" w:w="2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Tier 2</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NERC</w:t>
            </w:r>
          </w:p>
        </w:tc>
        <w:tc>
          <w:tcPr>
            <w:tcW w:type="dxa" w:w="28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Unified UK environmental monitoring methodology</w:t>
            </w:r>
          </w:p>
        </w:tc>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Research funding; UK field site access</w:t>
            </w:r>
          </w:p>
        </w:tc>
        <w:tc>
          <w:tcPr>
            <w:tcW w:type="dxa" w:w="2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Tier 2 → Tier 3</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CoDa / Math Geo</w:t>
            </w:r>
          </w:p>
        </w:tc>
        <w:tc>
          <w:tcPr>
            <w:tcW w:type="dxa" w:w="28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Governance application of CoDa; bridge theory to practice</w:t>
            </w:r>
          </w:p>
        </w:tc>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Mathematical peer review; publication</w:t>
            </w:r>
          </w:p>
        </w:tc>
        <w:tc>
          <w:tcPr>
            <w:tcW w:type="dxa" w:w="2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Tier 1 → Tier 2</w:t>
            </w:r>
          </w:p>
        </w:tc>
      </w:tr>
    </w:tbl>
    <w:p>
      <w:r>
        <w:br w:type="page"/>
      </w:r>
    </w:p>
    <w:p>
      <w:pPr>
        <w:pStyle w:val="Heading1"/>
      </w:pPr>
      <w:r>
        <w:t xml:space="preserve">8. Deployment Roadmap</w:t>
      </w:r>
    </w:p>
    <w:p>
      <w:pPr>
        <w:pStyle w:val="Heading2"/>
      </w:pPr>
      <w:r>
        <w:t xml:space="preserve">Phase 1: Foundation (Q2 2026)</w:t>
      </w:r>
    </w:p>
    <w:p>
      <w:pPr>
        <w:pStyle w:val="ListParagraph"/>
        <w:numPr>
          <w:ilvl w:val="0"/>
          <w:numId w:val="2"/>
        </w:numPr>
        <w:spacing w:after="80"/>
      </w:pPr>
      <w:r>
        <w:rPr>
          <w:b/>
          <w:bCs/>
        </w:rPr>
        <w:t xml:space="preserve">Establish huf.org </w:t>
      </w:r>
      <w:r>
        <w:t xml:space="preserve">as an independent not-for-profit, spun out from RWA Inc.</w:t>
      </w:r>
    </w:p>
    <w:p>
      <w:pPr>
        <w:pStyle w:val="ListParagraph"/>
        <w:numPr>
          <w:ilvl w:val="0"/>
          <w:numId w:val="2"/>
        </w:numPr>
        <w:spacing w:after="80"/>
      </w:pPr>
      <w:r>
        <w:rPr>
          <w:b/>
          <w:bCs/>
        </w:rPr>
        <w:t xml:space="preserve">Launch public repository </w:t>
      </w:r>
      <w:r>
        <w:t xml:space="preserve">with all four audience editions, formal review trace, and open-source tooling.</w:t>
      </w:r>
    </w:p>
    <w:p>
      <w:pPr>
        <w:pStyle w:val="ListParagraph"/>
        <w:numPr>
          <w:ilvl w:val="0"/>
          <w:numId w:val="2"/>
        </w:numPr>
        <w:spacing w:after="80"/>
      </w:pPr>
      <w:r>
        <w:rPr>
          <w:b/>
          <w:bCs/>
        </w:rPr>
        <w:t xml:space="preserve">Send partnership letters </w:t>
      </w:r>
      <w:r>
        <w:t xml:space="preserve">to all seven target organizations (versions already prepared).</w:t>
      </w:r>
    </w:p>
    <w:p>
      <w:pPr>
        <w:pStyle w:val="ListParagraph"/>
        <w:numPr>
          <w:ilvl w:val="0"/>
          <w:numId w:val="2"/>
        </w:numPr>
        <w:spacing w:after="80"/>
      </w:pPr>
      <w:r>
        <w:rPr>
          <w:b/>
          <w:bCs/>
        </w:rPr>
        <w:t xml:space="preserve">Pass the hard gate: </w:t>
      </w:r>
      <w:r>
        <w:t xml:space="preserve">Complete real-data Keff validation on an actual portfolio to demonstrate operational readiness.</w:t>
      </w:r>
    </w:p>
    <w:p>
      <w:pPr>
        <w:pStyle w:val="Heading2"/>
      </w:pPr>
      <w:r>
        <w:t xml:space="preserve">Phase 2: First Partnerships (Q3–Q4 2026)</w:t>
      </w:r>
    </w:p>
    <w:p>
      <w:pPr>
        <w:pStyle w:val="ListParagraph"/>
        <w:numPr>
          <w:ilvl w:val="0"/>
          <w:numId w:val="2"/>
        </w:numPr>
        <w:spacing w:after="80"/>
      </w:pPr>
      <w:r>
        <w:rPr>
          <w:b/>
          <w:bCs/>
        </w:rPr>
        <w:t xml:space="preserve">Secure first Tier 2 adoption </w:t>
      </w:r>
      <w:r>
        <w:t xml:space="preserve">from an organization that responds to the partnership letters.</w:t>
      </w:r>
    </w:p>
    <w:p>
      <w:pPr>
        <w:pStyle w:val="ListParagraph"/>
        <w:numPr>
          <w:ilvl w:val="0"/>
          <w:numId w:val="2"/>
        </w:numPr>
        <w:spacing w:after="80"/>
      </w:pPr>
      <w:r>
        <w:rPr>
          <w:b/>
          <w:bCs/>
        </w:rPr>
        <w:t xml:space="preserve">Submit Horizon Europe application </w:t>
      </w:r>
      <w:r>
        <w:t xml:space="preserve">with institutional partner for cross-domain validation funding.</w:t>
      </w:r>
    </w:p>
    <w:p>
      <w:pPr>
        <w:pStyle w:val="ListParagraph"/>
        <w:numPr>
          <w:ilvl w:val="0"/>
          <w:numId w:val="2"/>
        </w:numPr>
        <w:spacing w:after="80"/>
      </w:pPr>
      <w:r>
        <w:rPr>
          <w:b/>
          <w:bCs/>
        </w:rPr>
        <w:t xml:space="preserve">Submit GEO BON EBV candidate </w:t>
      </w:r>
      <w:r>
        <w:t xml:space="preserve">application and IFAC/IEEE journal paper.</w:t>
      </w:r>
    </w:p>
    <w:p>
      <w:pPr>
        <w:pStyle w:val="ListParagraph"/>
        <w:numPr>
          <w:ilvl w:val="0"/>
          <w:numId w:val="2"/>
        </w:numPr>
        <w:spacing w:after="80"/>
      </w:pPr>
      <w:r>
        <w:rPr>
          <w:b/>
          <w:bCs/>
        </w:rPr>
        <w:t xml:space="preserve">Conduct first MC-4 pilot </w:t>
      </w:r>
      <w:r>
        <w:t xml:space="preserve">at a willing site (ideally a Ramsar wetland or UK NERC field station).</w:t>
      </w:r>
    </w:p>
    <w:p>
      <w:pPr>
        <w:pStyle w:val="Heading2"/>
      </w:pPr>
      <w:r>
        <w:t xml:space="preserve">Phase 3: Governance Council (2027)</w:t>
      </w:r>
    </w:p>
    <w:p>
      <w:pPr>
        <w:pStyle w:val="ListParagraph"/>
        <w:numPr>
          <w:ilvl w:val="0"/>
          <w:numId w:val="2"/>
        </w:numPr>
        <w:spacing w:after="80"/>
      </w:pPr>
      <w:r>
        <w:rPr>
          <w:b/>
          <w:bCs/>
        </w:rPr>
        <w:t xml:space="preserve">Convene the Governance Council </w:t>
      </w:r>
      <w:r>
        <w:t xml:space="preserve">with Tier 3 stewards from at least two domains.</w:t>
      </w:r>
    </w:p>
    <w:p>
      <w:pPr>
        <w:pStyle w:val="ListParagraph"/>
        <w:numPr>
          <w:ilvl w:val="0"/>
          <w:numId w:val="2"/>
        </w:numPr>
        <w:spacing w:after="80"/>
      </w:pPr>
      <w:r>
        <w:rPr>
          <w:b/>
          <w:bCs/>
        </w:rPr>
        <w:t xml:space="preserve">Issue first HUF Certification </w:t>
      </w:r>
      <w:r>
        <w:t xml:space="preserve">for a pilot site or organization.</w:t>
      </w:r>
    </w:p>
    <w:p>
      <w:pPr>
        <w:pStyle w:val="ListParagraph"/>
        <w:numPr>
          <w:ilvl w:val="0"/>
          <w:numId w:val="2"/>
        </w:numPr>
        <w:spacing w:after="80"/>
      </w:pPr>
      <w:r>
        <w:rPr>
          <w:b/>
          <w:bCs/>
        </w:rPr>
        <w:t xml:space="preserve">Publish first cross-domain comparison: </w:t>
      </w:r>
      <w:r>
        <w:t xml:space="preserve">demonstrate that Keff trajectories from different domains are mathematically comparable.</w:t>
      </w:r>
    </w:p>
    <w:p>
      <w:pPr>
        <w:pStyle w:val="ListParagraph"/>
        <w:numPr>
          <w:ilvl w:val="0"/>
          <w:numId w:val="2"/>
        </w:numPr>
        <w:spacing w:after="80"/>
      </w:pPr>
      <w:r>
        <w:rPr>
          <w:b/>
          <w:bCs/>
        </w:rPr>
        <w:t xml:space="preserve">Human peer review: </w:t>
      </w:r>
      <w:r>
        <w:t xml:space="preserve">Submit for formal peer review in Mathematical Geosciences, Ecological Indicators, or both.</w:t>
      </w:r>
    </w:p>
    <w:p>
      <w:pPr>
        <w:pStyle w:val="Heading2"/>
      </w:pPr>
      <w:r>
        <w:t xml:space="preserve">Phase 4: Scale (2027–2028)</w:t>
      </w:r>
    </w:p>
    <w:p>
      <w:pPr>
        <w:pStyle w:val="ListParagraph"/>
        <w:numPr>
          <w:ilvl w:val="0"/>
          <w:numId w:val="2"/>
        </w:numPr>
        <w:spacing w:after="80"/>
      </w:pPr>
      <w:r>
        <w:rPr>
          <w:b/>
          <w:bCs/>
        </w:rPr>
        <w:t xml:space="preserve">Expand Tier 2 membership </w:t>
      </w:r>
      <w:r>
        <w:t xml:space="preserve">across all target domains.</w:t>
      </w:r>
    </w:p>
    <w:p>
      <w:pPr>
        <w:pStyle w:val="ListParagraph"/>
        <w:numPr>
          <w:ilvl w:val="0"/>
          <w:numId w:val="2"/>
        </w:numPr>
        <w:spacing w:after="80"/>
      </w:pPr>
      <w:r>
        <w:rPr>
          <w:b/>
          <w:bCs/>
        </w:rPr>
        <w:t xml:space="preserve">Release enterprise tooling: </w:t>
      </w:r>
      <w:r>
        <w:t xml:space="preserve">HUF Portfolio Tracker for organizations needing automated MC-4 monitoring.</w:t>
      </w:r>
    </w:p>
    <w:p>
      <w:pPr>
        <w:pStyle w:val="ListParagraph"/>
        <w:numPr>
          <w:ilvl w:val="0"/>
          <w:numId w:val="2"/>
        </w:numPr>
        <w:spacing w:after="80"/>
      </w:pPr>
      <w:r>
        <w:rPr>
          <w:b/>
          <w:bCs/>
        </w:rPr>
        <w:t xml:space="preserve">Develop Governance/Management edition </w:t>
      </w:r>
      <w:r>
        <w:t xml:space="preserve">(HUF-MATH-05 + HUF-CONTEXT-05) for the audience most likely to drive organizational adoption.</w:t>
      </w:r>
    </w:p>
    <w:p>
      <w:pPr>
        <w:pStyle w:val="ListParagraph"/>
        <w:numPr>
          <w:ilvl w:val="0"/>
          <w:numId w:val="2"/>
        </w:numPr>
        <w:spacing w:after="80"/>
      </w:pPr>
      <w:r>
        <w:rPr>
          <w:b/>
          <w:bCs/>
        </w:rPr>
        <w:t xml:space="preserve">Cross-domain workshops: </w:t>
      </w:r>
      <w:r>
        <w:t xml:space="preserve">bring ecologists, control engineers, and mathematicians into the same room to compare results.</w:t>
      </w:r>
    </w:p>
    <w:p>
      <w:r>
        <w:br w:type="page"/>
      </w:r>
    </w:p>
    <w:p>
      <w:pPr>
        <w:pStyle w:val="Heading1"/>
      </w:pPr>
      <w:r>
        <w:t xml:space="preserve">9. The Ask</w:t>
      </w:r>
    </w:p>
    <w:p>
      <w:pPr>
        <w:spacing w:after="160"/>
      </w:pPr>
      <w:r>
        <w:t xml:space="preserve">This document is not a sales pitch. It is an invitation to co-build something that no single organization can build alone.</w:t>
      </w:r>
    </w:p>
    <w:p>
      <w:pPr>
        <w:spacing w:after="80"/>
      </w:pPr>
    </w:p>
    <w:p>
      <w:pPr>
        <w:spacing w:after="160"/>
      </w:pPr>
      <w:r>
        <w:t xml:space="preserve">The mathematics is done. Twenty-seven formal results on the probability simplex, proven and reviewed. Four audience editions with identical content and domain-specific framing. Five case studies across five domains. A complete control stack from raw declaration to audit-grade governance.</w:t>
      </w:r>
    </w:p>
    <w:p>
      <w:pPr>
        <w:spacing w:after="80"/>
      </w:pPr>
    </w:p>
    <w:p>
      <w:pPr>
        <w:spacing w:after="160"/>
      </w:pPr>
      <w:r>
        <w:t xml:space="preserve">What remains is validation, endorsement, and deployment. These require domain experts in wetland ecology, biodiversity monitoring, control systems, environmental science, and compositional data analysis. They require institutional infrastructure for grant administration and field testing. They require the credibility that comes from organizations whose names carry weight.</w:t>
      </w:r>
    </w:p>
    <w:p>
      <w:pPr>
        <w:spacing w:after="80"/>
      </w:pPr>
    </w:p>
    <w:p>
      <w:pPr>
        <w:spacing w:after="160"/>
      </w:pPr>
      <w:r>
        <w:t xml:space="preserve">In return, every participating organization receives:</w:t>
      </w:r>
    </w:p>
    <w:p>
      <w:pPr>
        <w:pStyle w:val="ListParagraph"/>
        <w:numPr>
          <w:ilvl w:val="0"/>
          <w:numId w:val="2"/>
        </w:numPr>
        <w:spacing w:after="80"/>
      </w:pPr>
      <w:r>
        <w:t xml:space="preserve">A mathematically rigorous monitoring methodology that works in their domain.</w:t>
      </w:r>
    </w:p>
    <w:p>
      <w:pPr>
        <w:pStyle w:val="ListParagraph"/>
        <w:numPr>
          <w:ilvl w:val="0"/>
          <w:numId w:val="2"/>
        </w:numPr>
        <w:spacing w:after="80"/>
      </w:pPr>
      <w:r>
        <w:t xml:space="preserve">Cross-domain comparability with every other HUF-adopting organization.</w:t>
      </w:r>
    </w:p>
    <w:p>
      <w:pPr>
        <w:pStyle w:val="ListParagraph"/>
        <w:numPr>
          <w:ilvl w:val="0"/>
          <w:numId w:val="2"/>
        </w:numPr>
        <w:spacing w:after="80"/>
      </w:pPr>
      <w:r>
        <w:t xml:space="preserve">A seat at the governance table where the standard evolves.</w:t>
      </w:r>
    </w:p>
    <w:p>
      <w:pPr>
        <w:pStyle w:val="ListParagraph"/>
        <w:numPr>
          <w:ilvl w:val="0"/>
          <w:numId w:val="2"/>
        </w:numPr>
        <w:spacing w:after="80"/>
      </w:pPr>
      <w:r>
        <w:t xml:space="preserve">The credibility of being an early adopter of what may become the shared mathematical language for portfolio governance.</w:t>
      </w:r>
    </w:p>
    <w:p>
      <w:pPr>
        <w:spacing w:after="80"/>
      </w:pPr>
    </w:p>
    <w:p>
      <w:pPr>
        <w:pBdr>
          <w:left w:val="single" w:color="1A3A4A" w:sz="3" w:space="8"/>
        </w:pBdr>
        <w:spacing w:after="160"/>
        <w:ind w:left="720" w:right="720"/>
      </w:pPr>
      <w:r>
        <w:rPr>
          <w:i/>
          <w:iCs/>
          <w:color w:val="4A4A4A"/>
        </w:rPr>
        <w:t xml:space="preserve">HUF began because one person wanted to hear Mozart more clearly through a loudspeaker. It became a universal operator on the probability simplex. Now it needs to become a shared standard. That part requires more than one person. It requires you.</w:t>
      </w:r>
    </w:p>
    <w:p>
      <w:pPr>
        <w:spacing w:after="80"/>
      </w:pPr>
    </w:p>
    <w:p>
      <w:pPr>
        <w:spacing w:after="80"/>
      </w:pPr>
    </w:p>
    <w:p>
      <w:pPr>
        <w:pStyle w:val="Heading2"/>
      </w:pPr>
      <w:r>
        <w:t xml:space="preserve">About huf.org</w:t>
      </w:r>
    </w:p>
    <w:p>
      <w:pPr>
        <w:spacing w:after="160"/>
      </w:pPr>
      <w:r>
        <w:t xml:space="preserve">The Higgins Unity Framework is maintained as an open governance standard at </w:t>
      </w:r>
      <w:r>
        <w:rPr>
          <w:b/>
          <w:bCs/>
        </w:rPr>
        <w:t xml:space="preserve">huf.org</w:t>
      </w:r>
      <w:r>
        <w:t xml:space="preserve">. The standard, its reference implementations, audience-specific editions, and collective review record are publicly available under the MIT License. huf.org operates a tiered engagement model designed to serve organizations at whatever level of involvement serves their mission.</w:t>
      </w:r>
    </w:p>
    <w:p>
      <w:pPr>
        <w:spacing w:after="80"/>
      </w:pPr>
    </w:p>
    <w:p>
      <w:pPr>
        <w:spacing w:after="160"/>
      </w:pPr>
      <w:r>
        <w:rPr>
          <w:b/>
          <w:bCs/>
        </w:rPr>
        <w:t xml:space="preserve">Tier 1 — Reference. </w:t>
      </w:r>
      <w:r>
        <w:t xml:space="preserve">Any organization may reference the HUF standard freely. The complete mathematical corpus (27 formal results across 4 audience editions), monitoring protocols (MC-1 through MC-4), and open-source tooling are available at huf.org with no licensing requirements beyond MIT attribution.</w:t>
      </w:r>
    </w:p>
    <w:p>
      <w:pPr>
        <w:spacing w:after="160"/>
      </w:pPr>
      <w:r>
        <w:rPr>
          <w:b/>
          <w:bCs/>
        </w:rPr>
        <w:t xml:space="preserve">Tier 2 — Adoption. </w:t>
      </w:r>
      <w:r>
        <w:t xml:space="preserve">Organizations that formally adopt HUF methodology contribute validation data from their domain back to the repository, expanding the evidence base and earning citation in the collective review record. Adopters receive priority access to new editions and technical support from the huf.org development collective.</w:t>
      </w:r>
    </w:p>
    <w:p>
      <w:pPr>
        <w:spacing w:after="160"/>
      </w:pPr>
      <w:r>
        <w:rPr>
          <w:b/>
          <w:bCs/>
        </w:rPr>
        <w:t xml:space="preserve">Tier 3 — Stewardship. </w:t>
      </w:r>
      <w:r>
        <w:t xml:space="preserve">Organizations that join the huf.org Governance Council participate in the standard’s evolution: voting on amendments, proposing new audience editions, shaping the control stack (CL-01 through CL-05), and co-authoring the formal review trace. Stewards help determine what HUF becomes.</w:t>
      </w:r>
    </w:p>
    <w:p>
      <w:pPr>
        <w:spacing w:after="80"/>
      </w:pPr>
    </w:p>
    <w:p>
      <w:pPr>
        <w:pBdr>
          <w:left w:val="single" w:color="1A3A4A" w:sz="3" w:space="8"/>
        </w:pBdr>
        <w:spacing w:after="160"/>
        <w:ind w:left="720" w:right="720"/>
      </w:pPr>
      <w:r>
        <w:rPr>
          <w:i/>
          <w:iCs/>
          <w:color w:val="4A4A4A"/>
        </w:rPr>
        <w:t xml:space="preserve">huf.org invites engagement at whichever tier serves your mission. The standard exists to be used. Its governance exists to be shared.</w:t>
      </w:r>
    </w:p>
    <w:p>
      <w:r>
        <w:br w:type="page"/>
      </w:r>
    </w:p>
    <w:p>
      <w:pPr>
        <w:pStyle w:val="Heading2"/>
      </w:pPr>
      <w:r>
        <w:t xml:space="preserve">huf.org Resources</w:t>
      </w:r>
    </w:p>
    <w:p>
      <w:pPr>
        <w:pStyle w:val="ListParagraph"/>
        <w:numPr>
          <w:ilvl w:val="0"/>
          <w:numId w:val="2"/>
        </w:numPr>
        <w:spacing w:after="80"/>
      </w:pPr>
      <w:r>
        <w:rPr>
          <w:b/>
          <w:bCs/>
        </w:rPr>
        <w:t xml:space="preserve">Standard Repository: </w:t>
      </w:r>
      <w:r>
        <w:t xml:space="preserve">huf.org — complete corpus, all 4 audience editions, formal review trace</w:t>
      </w:r>
    </w:p>
    <w:p>
      <w:pPr>
        <w:pStyle w:val="ListParagraph"/>
        <w:numPr>
          <w:ilvl w:val="0"/>
          <w:numId w:val="2"/>
        </w:numPr>
        <w:spacing w:after="80"/>
      </w:pPr>
      <w:r>
        <w:rPr>
          <w:b/>
          <w:bCs/>
        </w:rPr>
        <w:t xml:space="preserve">Source Code: </w:t>
      </w:r>
      <w:r>
        <w:t xml:space="preserve">github.com/PeterHiggins19/huf_core — open-source implementations (MIT License)</w:t>
      </w:r>
    </w:p>
    <w:p>
      <w:pPr>
        <w:pStyle w:val="ListParagraph"/>
        <w:numPr>
          <w:ilvl w:val="0"/>
          <w:numId w:val="2"/>
        </w:numPr>
        <w:spacing w:after="80"/>
      </w:pPr>
      <w:r>
        <w:rPr>
          <w:b/>
          <w:bCs/>
        </w:rPr>
        <w:t xml:space="preserve">Documentation: </w:t>
      </w:r>
      <w:r>
        <w:t xml:space="preserve">huf.org/docs — developer manual, technical notes, wiki</w:t>
      </w:r>
    </w:p>
    <w:p>
      <w:pPr>
        <w:pStyle w:val="ListParagraph"/>
        <w:numPr>
          <w:ilvl w:val="0"/>
          <w:numId w:val="2"/>
        </w:numPr>
        <w:spacing w:after="80"/>
      </w:pPr>
      <w:r>
        <w:rPr>
          <w:b/>
          <w:bCs/>
        </w:rPr>
        <w:t xml:space="preserve">Collective Review Record: </w:t>
      </w:r>
      <w:r>
        <w:t xml:space="preserve">huf.org/review-trace — 27 multi-AI review documents, full provenance</w:t>
      </w:r>
    </w:p>
    <w:p>
      <w:pPr>
        <w:pStyle w:val="ListParagraph"/>
        <w:numPr>
          <w:ilvl w:val="0"/>
          <w:numId w:val="2"/>
        </w:numPr>
        <w:spacing w:after="80"/>
      </w:pPr>
      <w:r>
        <w:rPr>
          <w:b/>
          <w:bCs/>
        </w:rPr>
        <w:t xml:space="preserve">Audience Editions: </w:t>
      </w:r>
      <w:r>
        <w:t xml:space="preserve">Mathematician’s, Physics, Sciences, Engineering — same 27 results, domain-specific framing</w:t>
      </w:r>
    </w:p>
    <w:p>
      <w:pPr>
        <w:spacing w:after="80"/>
      </w:pPr>
    </w:p>
    <w:p>
      <w:pPr>
        <w:spacing w:after="160"/>
      </w:pPr>
      <w:r>
        <w:rPr>
          <w:i/>
          <w:iCs/>
        </w:rPr>
        <w:t xml:space="preserve">Contact: Peter Higgins — peter@huf.org · peterhiggins2016@gmail.com</w:t>
      </w:r>
    </w:p>
    <w:p>
      <w:pPr>
        <w:spacing w:after="80"/>
      </w:pPr>
    </w:p>
    <w:p>
      <w:pPr>
        <w:spacing w:before="400"/>
        <w:jc w:val="right"/>
      </w:pPr>
      <w:r>
        <w:rPr>
          <w:rFonts w:ascii="Georgia" w:cs="Georgia" w:eastAsia="Georgia" w:hAnsi="Georgia"/>
          <w:b/>
          <w:bCs/>
          <w:sz w:val="22"/>
          <w:szCs w:val="22"/>
        </w:rPr>
        <w:t xml:space="preserve">Peter Higgins</w:t>
      </w:r>
    </w:p>
    <w:p>
      <w:pPr>
        <w:jc w:val="right"/>
      </w:pPr>
      <w:r>
        <w:rPr>
          <w:rFonts w:ascii="Georgia" w:cs="Georgia" w:eastAsia="Georgia" w:hAnsi="Georgia"/>
          <w:color w:val="666666"/>
          <w:sz w:val="20"/>
          <w:szCs w:val="20"/>
        </w:rPr>
        <w:t xml:space="preserve">Founder, Higgins Unity Framework  ·  Principal, Rogue Wave Audio Inc.</w:t>
      </w:r>
    </w:p>
    <w:p>
      <w:pPr>
        <w:jc w:val="right"/>
      </w:pPr>
      <w:r>
        <w:rPr>
          <w:rFonts w:ascii="Georgia" w:cs="Georgia" w:eastAsia="Georgia" w:hAnsi="Georgia"/>
          <w:color w:val="666666"/>
          <w:sz w:val="20"/>
          <w:szCs w:val="20"/>
        </w:rPr>
        <w:t xml:space="preserve">peter@huf.org  ·  peterhiggins2016@gmail.com</w:t>
      </w:r>
    </w:p>
    <w:p>
      <w:pPr>
        <w:jc w:val="right"/>
      </w:pPr>
      <w:r>
        <w:rPr>
          <w:rFonts w:ascii="Georgia" w:cs="Georgia" w:eastAsia="Georgia" w:hAnsi="Georgia"/>
          <w:color w:val="888888"/>
          <w:sz w:val="20"/>
          <w:szCs w:val="20"/>
        </w:rPr>
        <w:t xml:space="preserve">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Georgia" w:cs="Georgia" w:eastAsia="Georgia" w:hAnsi="Georgia"/>
        <w:color w:val="888888"/>
        <w:sz w:val="16"/>
        <w:szCs w:val="16"/>
      </w:rPr>
      <w:t xml:space="preserve">huf.org  ·  MIT License  ·  Page </w:t>
    </w:r>
    <w:r>
      <w:rPr>
        <w:rFonts w:ascii="Georgia" w:cs="Georgia" w:eastAsia="Georgia" w:hAnsi="Georgia"/>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4A" w:sz="2" w:space="4"/>
      </w:pBdr>
      <w:spacing w:after="0"/>
      <w:jc w:val="left"/>
    </w:pPr>
    <w:r>
      <w:rPr>
        <w:rFonts w:ascii="Georgia" w:cs="Georgia" w:eastAsia="Georgia" w:hAnsi="Georgia"/>
        <w:b/>
        <w:bCs/>
        <w:color w:val="1A3A4A"/>
        <w:sz w:val="18"/>
        <w:szCs w:val="18"/>
      </w:rPr>
      <w:t xml:space="preserve">huf.org</w:t>
    </w:r>
    <w:r>
      <w:rPr>
        <w:rFonts w:ascii="Georgia" w:cs="Georgia" w:eastAsia="Georgia" w:hAnsi="Georgia"/>
        <w:color w:val="6A8A9A"/>
        <w:sz w:val="16"/>
        <w:szCs w:val="16"/>
      </w:rPr>
      <w:t xml:space="preserve">  —  Higgins Unity Framework  —  Open Governance Standard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A3A4A"/>
      <w:sz w:val="32"/>
      <w:szCs w:val="32"/>
    </w:rPr>
  </w:style>
  <w:style w:type="paragraph" w:styleId="Heading2">
    <w:name w:val="Heading 2"/>
    <w:basedOn w:val="Normal"/>
    <w:next w:val="Normal"/>
    <w:qFormat/>
    <w:pPr>
      <w:spacing w:after="160" w:before="280"/>
      <w:outlineLvl w:val="1"/>
    </w:pPr>
    <w:rPr>
      <w:rFonts w:ascii="Georgia" w:cs="Georgia" w:eastAsia="Georgia" w:hAnsi="Georgia"/>
      <w:b/>
      <w:bCs/>
      <w:color w:val="2A5A6A"/>
      <w:sz w:val="26"/>
      <w:szCs w:val="26"/>
    </w:rPr>
  </w:style>
  <w:style w:type="paragraph" w:styleId="Heading3">
    <w:name w:val="Heading 3"/>
    <w:basedOn w:val="Normal"/>
    <w:next w:val="Normal"/>
    <w:qFormat/>
    <w:pPr>
      <w:spacing w:after="120" w:before="200"/>
      <w:outlineLvl w:val="2"/>
    </w:pPr>
    <w:rPr>
      <w:rFonts w:ascii="Georgia" w:cs="Georgia" w:eastAsia="Georgia" w:hAnsi="Georgia"/>
      <w:b/>
      <w:bCs/>
      <w:color w:val="3A6A7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2026-03-17T16:24:56.496Z</dcterms:created>
  <dcterms:modified xsi:type="dcterms:W3CDTF">2026-03-17T16:24:56.497Z</dcterms:modified>
</cp:coreProperties>
</file>

<file path=docProps/custom.xml><?xml version="1.0" encoding="utf-8"?>
<Properties xmlns="http://schemas.openxmlformats.org/officeDocument/2006/custom-properties" xmlns:vt="http://schemas.openxmlformats.org/officeDocument/2006/docPropsVTypes"/>
</file>