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sz w:val="40"/>
          <w:szCs w:val="40"/>
        </w:rPr>
        <w:t xml:space="preserve">HUF Collective Trace Report v4.4</w:t>
      </w:r>
    </w:p>
    <w:p>
      <w:pPr>
        <w:spacing w:after="40"/>
        <w:jc w:val="center"/>
      </w:pPr>
      <w:r>
        <w:rPr>
          <w:rFonts w:ascii="Arial" w:cs="Arial" w:eastAsia="Arial" w:hAnsi="Arial"/>
          <w:i/>
          <w:iCs/>
          <w:sz w:val="24"/>
          <w:szCs w:val="24"/>
        </w:rPr>
        <w:t xml:space="preserve">Hole-Closing Update: Changepoint Detection + Perturbation Analysis</w:t>
      </w:r>
    </w:p>
    <w:p>
      <w:pPr>
        <w:spacing w:after="60"/>
        <w:jc w:val="center"/>
      </w:pPr>
      <w:r>
        <w:rPr>
          <w:rFonts w:ascii="Arial" w:cs="Arial" w:eastAsia="Arial" w:hAnsi="Arial"/>
          <w:color w:val="2E75B6"/>
          <w:sz w:val="22"/>
          <w:szCs w:val="22"/>
        </w:rPr>
        <w:t xml:space="preserve">Prepared for Gemini (Google) Review</w:t>
      </w:r>
    </w:p>
    <w:p>
      <w:pPr>
        <w:spacing w:after="300"/>
        <w:jc w:val="center"/>
      </w:pPr>
      <w:r>
        <w:rPr>
          <w:rFonts w:ascii="Arial" w:cs="Arial" w:eastAsia="Arial" w:hAnsi="Arial"/>
          <w:color w:val="666666"/>
          <w:sz w:val="20"/>
          <w:szCs w:val="20"/>
        </w:rPr>
        <w:t xml:space="preserve">Peter Higgins (Operator) | Grok (xAI) | Claude (Anthropic) | ChatGPT (OpenAI) | Gemini (Google) | Copilot (Microsoft) | 9 March 2026</w:t>
      </w:r>
    </w:p>
    <w:p>
      <w:pPr>
        <w:pStyle w:val="Heading1"/>
        <w:spacing w:after="200" w:before="360"/>
      </w:pPr>
      <w:r>
        <w:rPr>
          <w:rFonts w:ascii="Arial" w:cs="Arial" w:eastAsia="Arial" w:hAnsi="Arial"/>
          <w:b/>
          <w:bCs/>
          <w:sz w:val="32"/>
          <w:szCs w:val="32"/>
        </w:rPr>
        <w:t xml:space="preserve">1. Operator Statement</w:t>
      </w:r>
    </w:p>
    <w:p>
      <w:pPr>
        <w:spacing w:after="140"/>
      </w:pPr>
      <w:r>
        <w:rPr>
          <w:rFonts w:ascii="Arial" w:cs="Arial" w:eastAsia="Arial" w:hAnsi="Arial"/>
          <w:sz w:val="22"/>
          <w:szCs w:val="22"/>
        </w:rPr>
        <w:t xml:space="preserve">This update closes two Copilot-identified holes and prepares a brief for Gemini to review the remaining gaps and advise on next steps. Since v4.3, Claude has executed:</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ISS-CHP-01 (Planck changepoint):</w:t>
      </w:r>
      <w:r>
        <w:rPr>
          <w:rFonts w:ascii="Arial" w:cs="Arial" w:eastAsia="Arial" w:hAnsi="Arial"/>
          <w:sz w:val="22"/>
          <w:szCs w:val="22"/>
        </w:rPr>
        <w:t xml:space="preserve"> Pettitt test and CUSUM analysis on 45,663 HFI 100mK temperature records. CUSUM identifies the cryogenic depletion boundary at </w:t>
      </w:r>
      <w:r>
        <w:rPr>
          <w:rFonts w:ascii="Arial" w:cs="Arial" w:eastAsia="Arial" w:hAnsi="Arial"/>
          <w:b/>
          <w:bCs/>
          <w:sz w:val="22"/>
          <w:szCs w:val="22"/>
        </w:rPr>
        <w:t xml:space="preserve">OD 992 exactly</w:t>
      </w:r>
      <w:r>
        <w:rPr>
          <w:rFonts w:ascii="Arial" w:cs="Arial" w:eastAsia="Arial" w:hAnsi="Arial"/>
          <w:sz w:val="22"/>
          <w:szCs w:val="22"/>
        </w:rPr>
        <w:t xml:space="preserve"> — matching the known He-4 exhaustion date of 14 January 2012. Pettitt places it at OD 975 (17 days early, detecting the pre-depletion thermal gradient). Both are highly significant (p ≈ 0). MDG shifts only -0.9 dB from the original midpoint analysis.</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ISS-UQ-01 (Perturbation sensitivity):</w:t>
      </w:r>
      <w:r>
        <w:rPr>
          <w:rFonts w:ascii="Arial" w:cs="Arial" w:eastAsia="Arial" w:hAnsi="Arial"/>
          <w:sz w:val="22"/>
          <w:szCs w:val="22"/>
        </w:rPr>
        <w:t xml:space="preserve"> 100-trial Monte Carlo perturbation analysis at 1%, 2%, 5%, 10%, and 20% random reclassification rates across three systems. Planck Thermal is the most robust (stable at 20%). TTC is stable at 5%. Planck Events is sensitive above 2%, which is expected and informative — the 97.7% scanning dominance means minor regimes are inherently fragile to reclassification noise.</w:t>
      </w:r>
    </w:p>
    <w:p>
      <w:pPr>
        <w:spacing w:after="140"/>
      </w:pPr>
      <w:r>
        <w:rPr>
          <w:rFonts w:ascii="Arial" w:cs="Arial" w:eastAsia="Arial" w:hAnsi="Arial"/>
          <w:sz w:val="22"/>
          <w:szCs w:val="22"/>
        </w:rPr>
        <w:t xml:space="preserve">The operator notes: </w:t>
      </w:r>
      <w:r>
        <w:rPr>
          <w:rFonts w:ascii="Arial" w:cs="Arial" w:eastAsia="Arial" w:hAnsi="Arial"/>
          <w:b/>
          <w:bCs/>
          <w:sz w:val="22"/>
          <w:szCs w:val="22"/>
        </w:rPr>
        <w:t xml:space="preserve">two more Copilot issues are now resolved with data.</w:t>
      </w:r>
      <w:r>
        <w:rPr>
          <w:rFonts w:ascii="Arial" w:cs="Arial" w:eastAsia="Arial" w:hAnsi="Arial"/>
          <w:sz w:val="22"/>
          <w:szCs w:val="22"/>
        </w:rPr>
        <w:t xml:space="preserve"> The issue tracker is updating accordingly.</w:t>
      </w:r>
    </w:p>
    <w:p>
      <w:r>
        <w:br w:type="page"/>
      </w:r>
    </w:p>
    <w:p>
      <w:pPr>
        <w:pStyle w:val="Heading1"/>
        <w:spacing w:after="200" w:before="360"/>
      </w:pPr>
      <w:r>
        <w:rPr>
          <w:rFonts w:ascii="Arial" w:cs="Arial" w:eastAsia="Arial" w:hAnsi="Arial"/>
          <w:b/>
          <w:bCs/>
          <w:sz w:val="32"/>
          <w:szCs w:val="32"/>
        </w:rPr>
        <w:t xml:space="preserve">2. ISS-CHP-01: Planck Thermal Changepoint Results</w:t>
      </w:r>
    </w:p>
    <w:p>
      <w:pPr>
        <w:pStyle w:val="Heading2"/>
        <w:spacing w:after="160" w:before="280"/>
      </w:pPr>
      <w:r>
        <w:rPr>
          <w:rFonts w:ascii="Arial" w:cs="Arial" w:eastAsia="Arial" w:hAnsi="Arial"/>
          <w:b/>
          <w:bCs/>
          <w:sz w:val="26"/>
          <w:szCs w:val="26"/>
        </w:rPr>
        <w:t xml:space="preserve">2.1 Methods</w:t>
      </w:r>
    </w:p>
    <w:p>
      <w:pPr>
        <w:spacing w:after="140"/>
      </w:pPr>
      <w:r>
        <w:rPr>
          <w:rFonts w:ascii="Arial" w:cs="Arial" w:eastAsia="Arial" w:hAnsi="Arial"/>
          <w:sz w:val="22"/>
          <w:szCs w:val="22"/>
        </w:rPr>
        <w:t xml:space="preserve">Two independent non-parametric changepoint detection methods were applied to the full 45,663-record HFI 100mK bolometer plate temperature time series:</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Pettitt test:</w:t>
      </w:r>
      <w:r>
        <w:rPr>
          <w:rFonts w:ascii="Arial" w:cs="Arial" w:eastAsia="Arial" w:hAnsi="Arial"/>
          <w:sz w:val="22"/>
          <w:szCs w:val="22"/>
        </w:rPr>
        <w:t xml:space="preserve"> Rank-based scan for a single changepoint that maximizes the Mann-Whitney U statistic. Non-parametric — no distributional assumptions.</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CUSUM (Cumulative Sum):</w:t>
      </w:r>
      <w:r>
        <w:rPr>
          <w:rFonts w:ascii="Arial" w:cs="Arial" w:eastAsia="Arial" w:hAnsi="Arial"/>
          <w:sz w:val="22"/>
          <w:szCs w:val="22"/>
        </w:rPr>
        <w:t xml:space="preserve"> Cumulative deviation from the grand mean. The changepoint is where |CUSUM| is maximized.</w:t>
      </w:r>
    </w:p>
    <w:p>
      <w:pPr>
        <w:pStyle w:val="Heading2"/>
        <w:spacing w:after="160" w:before="280"/>
      </w:pPr>
      <w:r>
        <w:rPr>
          <w:rFonts w:ascii="Arial" w:cs="Arial" w:eastAsia="Arial" w:hAnsi="Arial"/>
          <w:b/>
          <w:bCs/>
          <w:sz w:val="26"/>
          <w:szCs w:val="26"/>
        </w:rPr>
        <w:t xml:space="preserve">2.2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800"/>
        <w:gridCol w:w="32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Changepoint OD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Significance</w:t>
            </w:r>
          </w:p>
        </w:tc>
        <w:tc>
          <w:tcPr>
            <w:tcW w:type="dxa" w:w="3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Distance from Known Event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Pettitt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OD 975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 ≈ 0 (K = 505,828,494)</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 ODs (pre-depletion gradient)</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CUSUM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OD 992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Max |CUSUM| = 8,348.6</w:t>
            </w:r>
          </w:p>
        </w:tc>
        <w:tc>
          <w:tcPr>
            <w:tcW w:type="dxa" w:w="3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0 ODs (exact match)</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Original midpoint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OD 854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statistical test)</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-138 ODs</w:t>
            </w:r>
          </w:p>
        </w:tc>
      </w:tr>
    </w:tbl>
    <w:p>
      <w:pPr>
        <w:pStyle w:val="Heading2"/>
        <w:spacing w:after="160" w:before="280"/>
      </w:pPr>
      <w:r>
        <w:rPr>
          <w:rFonts w:ascii="Arial" w:cs="Arial" w:eastAsia="Arial" w:hAnsi="Arial"/>
          <w:b/>
          <w:bCs/>
          <w:sz w:val="26"/>
          <w:szCs w:val="26"/>
        </w:rPr>
        <w:t xml:space="preserve">2.3 Temperature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Pre-Changepoint (OD 91–975)</w:t>
            </w:r>
          </w:p>
        </w:tc>
        <w:tc>
          <w:tcPr>
            <w:tcW w:type="dxa" w:w="3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Post-Changepoint (OD 975–1617)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Records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26,761</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18,902</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Mean HFI90</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0.102723 K</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0.850084 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Range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0.102565 – 0.103879 K</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0.102760 – 0.930111 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Temperature jump</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0.747 K (747,361 µK)</w:t>
            </w:r>
          </w:p>
        </w:tc>
      </w:tr>
    </w:tbl>
    <w:p>
      <w:pPr>
        <w:pStyle w:val="Heading2"/>
        <w:spacing w:after="160" w:before="280"/>
      </w:pPr>
      <w:r>
        <w:rPr>
          <w:rFonts w:ascii="Arial" w:cs="Arial" w:eastAsia="Arial" w:hAnsi="Arial"/>
          <w:b/>
          <w:bCs/>
          <w:sz w:val="26"/>
          <w:szCs w:val="26"/>
        </w:rPr>
        <w:t xml:space="preserve">2.4 Impact on MDG</w:t>
      </w:r>
    </w:p>
    <w:p>
      <w:pPr>
        <w:spacing w:after="140"/>
      </w:pPr>
      <w:r>
        <w:rPr>
          <w:rFonts w:ascii="Arial" w:cs="Arial" w:eastAsia="Arial" w:hAnsi="Arial"/>
          <w:sz w:val="22"/>
          <w:szCs w:val="22"/>
        </w:rPr>
        <w:t xml:space="preserve">Using the Pettitt boundary instead of the mission midpoint, the thermal MDG shifts from +63.3 dB to </w:t>
      </w:r>
      <w:r>
        <w:rPr>
          <w:rFonts w:ascii="Arial" w:cs="Arial" w:eastAsia="Arial" w:hAnsi="Arial"/>
          <w:b/>
          <w:bCs/>
          <w:sz w:val="22"/>
          <w:szCs w:val="22"/>
        </w:rPr>
        <w:t xml:space="preserve">+62.4 dB</w:t>
      </w:r>
      <w:r>
        <w:rPr>
          <w:rFonts w:ascii="Arial" w:cs="Arial" w:eastAsia="Arial" w:hAnsi="Arial"/>
          <w:sz w:val="22"/>
          <w:szCs w:val="22"/>
        </w:rPr>
        <w:t xml:space="preserve"> (delta = -0.9 dB). This is a negligible change that confirms the original analysis was robust even with an imprecise split point. The cryogenic phase transition is so dramatic (0.747 K jump) that the exact boundary matters less than the physical event itself.</w:t>
      </w:r>
    </w:p>
    <w:p>
      <w:r>
        <w:br w:type="page"/>
      </w:r>
    </w:p>
    <w:p>
      <w:pPr>
        <w:pStyle w:val="Heading1"/>
        <w:spacing w:after="200" w:before="360"/>
      </w:pPr>
      <w:r>
        <w:rPr>
          <w:rFonts w:ascii="Arial" w:cs="Arial" w:eastAsia="Arial" w:hAnsi="Arial"/>
          <w:b/>
          <w:bCs/>
          <w:sz w:val="32"/>
          <w:szCs w:val="32"/>
        </w:rPr>
        <w:t xml:space="preserve">3. ISS-UQ-01: Perturbation Sensitivity Results</w:t>
      </w:r>
    </w:p>
    <w:p>
      <w:pPr>
        <w:pStyle w:val="Heading2"/>
        <w:spacing w:after="160" w:before="280"/>
      </w:pPr>
      <w:r>
        <w:rPr>
          <w:rFonts w:ascii="Arial" w:cs="Arial" w:eastAsia="Arial" w:hAnsi="Arial"/>
          <w:b/>
          <w:bCs/>
          <w:sz w:val="26"/>
          <w:szCs w:val="26"/>
        </w:rPr>
        <w:t xml:space="preserve">3.1 Method</w:t>
      </w:r>
    </w:p>
    <w:p>
      <w:pPr>
        <w:spacing w:after="140"/>
      </w:pPr>
      <w:r>
        <w:rPr>
          <w:rFonts w:ascii="Arial" w:cs="Arial" w:eastAsia="Arial" w:hAnsi="Arial"/>
          <w:sz w:val="22"/>
          <w:szCs w:val="22"/>
        </w:rPr>
        <w:t xml:space="preserve">For each system, N=100 Monte Carlo trials at each perturbation level (1%, 2%, 5%, 10%, 20%). At each level, X% of records are randomly reassigned to a different regime. Stability criterion: K_eff changes less than 10% AND maximum weight shift less than 500 bps.</w:t>
      </w:r>
    </w:p>
    <w:p>
      <w:pPr>
        <w:pStyle w:val="Heading2"/>
        <w:spacing w:after="160" w:before="280"/>
      </w:pPr>
      <w:r>
        <w:rPr>
          <w:rFonts w:ascii="Arial" w:cs="Arial" w:eastAsia="Arial" w:hAnsi="Arial"/>
          <w:b/>
          <w:bCs/>
          <w:sz w:val="26"/>
          <w:szCs w:val="26"/>
        </w:rPr>
        <w:t xml:space="preserve">3.2 Planck Events (Layer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2400"/>
        <w:gridCol w:w="276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Perturb %</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Mean K_eff</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Std</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Max Δρ (bps)</w:t>
            </w:r>
          </w:p>
        </w:tc>
        <w:tc>
          <w:tcPr>
            <w:tcW w:type="dxa" w:w="2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Stable?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1.0684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0.0002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97.2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1.0899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0.0003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194.2</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1.1583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0.0004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485.9</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1.2856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0.0008</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971.5</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1.6011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0.0013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1942.6</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r>
    </w:tbl>
    <w:p>
      <w:pPr>
        <w:spacing w:after="140"/>
      </w:pPr>
      <w:r>
        <w:rPr>
          <w:rFonts w:ascii="Arial" w:cs="Arial" w:eastAsia="Arial" w:hAnsi="Arial"/>
          <w:sz w:val="22"/>
          <w:szCs w:val="22"/>
        </w:rPr>
        <w:t xml:space="preserve"/>
      </w:r>
      <w:r>
        <w:rPr>
          <w:rFonts w:ascii="Arial" w:cs="Arial" w:eastAsia="Arial" w:hAnsi="Arial"/>
          <w:b/>
          <w:bCs/>
          <w:sz w:val="22"/>
          <w:szCs w:val="22"/>
        </w:rPr>
        <w:t xml:space="preserve">Interpretation:</w:t>
      </w:r>
      <w:r>
        <w:rPr>
          <w:rFonts w:ascii="Arial" w:cs="Arial" w:eastAsia="Arial" w:hAnsi="Arial"/>
          <w:sz w:val="22"/>
          <w:szCs w:val="22"/>
        </w:rPr>
        <w:t xml:space="preserve"> Planck Events are dominated at 97.7% by Scanning Operations. Perturbing even 5% of events pushes the minor regimes past the 500 bps threshold. This is not a weakness of HUF — it is an accurate characterization of a system where one regime is structurally dominant. The perturbation result tells you that the minor-regime weights are classification-sensitive, which is exactly what governance monitoring should flag.</w:t>
      </w:r>
    </w:p>
    <w:p>
      <w:pPr>
        <w:pStyle w:val="Heading2"/>
        <w:spacing w:after="160" w:before="280"/>
      </w:pPr>
      <w:r>
        <w:rPr>
          <w:rFonts w:ascii="Arial" w:cs="Arial" w:eastAsia="Arial" w:hAnsi="Arial"/>
          <w:b/>
          <w:bCs/>
          <w:sz w:val="26"/>
          <w:szCs w:val="26"/>
        </w:rPr>
        <w:t xml:space="preserve">3.3 Planck Thermal (Layer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2400"/>
        <w:gridCol w:w="276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Perturb %</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Mean K_eff</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Std</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Max Δρ (bps)</w:t>
            </w:r>
          </w:p>
        </w:tc>
        <w:tc>
          <w:tcPr>
            <w:tcW w:type="dxa" w:w="2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Stable?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3.6308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0.0015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16.4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3.6401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0.0023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32.5</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3.6670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0.0033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80.5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3.7098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0.0043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158.6</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3.7874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0.0052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311.4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bl>
    <w:p>
      <w:pPr>
        <w:spacing w:after="140"/>
      </w:pPr>
      <w:r>
        <w:rPr>
          <w:rFonts w:ascii="Arial" w:cs="Arial" w:eastAsia="Arial" w:hAnsi="Arial"/>
          <w:sz w:val="22"/>
          <w:szCs w:val="22"/>
        </w:rPr>
        <w:t xml:space="preserve"/>
      </w:r>
      <w:r>
        <w:rPr>
          <w:rFonts w:ascii="Arial" w:cs="Arial" w:eastAsia="Arial" w:hAnsi="Arial"/>
          <w:b/>
          <w:bCs/>
          <w:sz w:val="22"/>
          <w:szCs w:val="22"/>
        </w:rPr>
        <w:t xml:space="preserve">Interpretation:</w:t>
      </w:r>
      <w:r>
        <w:rPr>
          <w:rFonts w:ascii="Arial" w:cs="Arial" w:eastAsia="Arial" w:hAnsi="Arial"/>
          <w:sz w:val="22"/>
          <w:szCs w:val="22"/>
        </w:rPr>
        <w:t xml:space="preserve"> The thermal classification is </w:t>
      </w:r>
      <w:r>
        <w:rPr>
          <w:rFonts w:ascii="Arial" w:cs="Arial" w:eastAsia="Arial" w:hAnsi="Arial"/>
          <w:b/>
          <w:bCs/>
          <w:sz w:val="22"/>
          <w:szCs w:val="22"/>
        </w:rPr>
        <w:t xml:space="preserve">exceptionally robust</w:t>
      </w:r>
      <w:r>
        <w:rPr>
          <w:rFonts w:ascii="Arial" w:cs="Arial" w:eastAsia="Arial" w:hAnsi="Arial"/>
          <w:sz w:val="22"/>
          <w:szCs w:val="22"/>
        </w:rPr>
        <w:t xml:space="preserve"> — stable even at 20% perturbation. The quartile-based thresholds produce near-uniform regimes, and the cryogenic depletion signal is so strong that random reclassification cannot wash it out. This is the strongest stability result in the corpus.</w:t>
      </w:r>
    </w:p>
    <w:p>
      <w:pPr>
        <w:pStyle w:val="Heading2"/>
        <w:spacing w:after="160" w:before="280"/>
      </w:pPr>
      <w:r>
        <w:rPr>
          <w:rFonts w:ascii="Arial" w:cs="Arial" w:eastAsia="Arial" w:hAnsi="Arial"/>
          <w:b/>
          <w:bCs/>
          <w:sz w:val="26"/>
          <w:szCs w:val="26"/>
        </w:rPr>
        <w:t xml:space="preserve">3.4 TTC Transit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2400"/>
        <w:gridCol w:w="276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Perturb %</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Mean K_eff</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Std</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Max Δρ (bps)</w:t>
            </w:r>
          </w:p>
        </w:tc>
        <w:tc>
          <w:tcPr>
            <w:tcW w:type="dxa" w:w="2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Stable?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1.8759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0.0007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64.2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1.9058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0.0011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128.2</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1.9992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0.0018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321.1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2.1664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0.0028</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641.1</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2.5500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0.0050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1283.5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r>
    </w:tbl>
    <w:p>
      <w:pPr>
        <w:spacing w:after="140"/>
      </w:pPr>
      <w:r>
        <w:rPr>
          <w:rFonts w:ascii="Arial" w:cs="Arial" w:eastAsia="Arial" w:hAnsi="Arial"/>
          <w:sz w:val="22"/>
          <w:szCs w:val="22"/>
        </w:rPr>
        <w:t xml:space="preserve"/>
      </w:r>
      <w:r>
        <w:rPr>
          <w:rFonts w:ascii="Arial" w:cs="Arial" w:eastAsia="Arial" w:hAnsi="Arial"/>
          <w:b/>
          <w:bCs/>
          <w:sz w:val="22"/>
          <w:szCs w:val="22"/>
        </w:rPr>
        <w:t xml:space="preserve">Interpretation:</w:t>
      </w:r>
      <w:r>
        <w:rPr>
          <w:rFonts w:ascii="Arial" w:cs="Arial" w:eastAsia="Arial" w:hAnsi="Arial"/>
          <w:sz w:val="22"/>
          <w:szCs w:val="22"/>
        </w:rPr>
        <w:t xml:space="preserve"> TTC is stable up to 5% perturbation (K_eff change = 8.3%, max Δρ = 321 bps). The bus-dominance pattern (79.8%) is resilient to moderate classification noise. The 10% instability reflects the same structural concentration as Planck Events.</w:t>
      </w:r>
    </w:p>
    <w:p>
      <w:r>
        <w:br w:type="page"/>
      </w:r>
    </w:p>
    <w:p>
      <w:pPr>
        <w:pStyle w:val="Heading1"/>
        <w:spacing w:after="200" w:before="360"/>
      </w:pPr>
      <w:r>
        <w:rPr>
          <w:rFonts w:ascii="Arial" w:cs="Arial" w:eastAsia="Arial" w:hAnsi="Arial"/>
          <w:b/>
          <w:bCs/>
          <w:sz w:val="32"/>
          <w:szCs w:val="32"/>
        </w:rPr>
        <w:t xml:space="preserve">4. Copilot Issue Tracker — Updated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900"/>
        <w:gridCol w:w="1100"/>
        <w:gridCol w:w="4260"/>
      </w:tblGrid>
      <w:tr>
        <w:tc>
          <w:tcPr>
            <w:tcW w:type="dxa" w:w="1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4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Evidence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ISS-PL-01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FITS parser validation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RESOLVED</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Cross-validated 19/20 exact match</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ISS-CR-01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Input checksums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RESOLVED</w:t>
            </w:r>
          </w:p>
        </w:tc>
        <w:tc>
          <w:tcPr>
            <w:tcW w:type="dxa" w:w="4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SHA-256 for all 18 raw input files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ISS-CR-02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Classification rules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RESOLVED</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Formal mapping tables published</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ISS-MDG-01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MDG normalization</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RESOLVED</w:t>
            </w:r>
          </w:p>
        </w:tc>
        <w:tc>
          <w:tcPr>
            <w:tcW w:type="dxa" w:w="4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Convention documented: 20*log10(drift_bps/K)</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ISS-CHP-01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Planck changepoint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RESOLVED</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Pettitt OD 975, CUSUM OD 992 (exact He-4 match)</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ISS-UQ-01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Uncertainty quantification</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RESOLVED</w:t>
            </w:r>
          </w:p>
        </w:tc>
        <w:tc>
          <w:tcPr>
            <w:tcW w:type="dxa" w:w="4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100-trial Monte Carlo at 5 perturbation levels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ISS-CR-03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Public code repository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ACCEPTED</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huf_core repo planned, 16 hrs</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ISS-HP-01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HEALPix processing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Critical</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BLOCKED</w:t>
            </w:r>
          </w:p>
        </w:tc>
        <w:tc>
          <w:tcPr>
            <w:tcW w:type="dxa" w:w="4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Library access blocked by proxy, 80 hrs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ISS-CAUSAL-01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King St causal robustness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ACCEPTED</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Diff-in-diff when data permits, 24 hrs</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ISS-VALID-01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Validation artifacts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PARTIAL</w:t>
            </w:r>
          </w:p>
        </w:tc>
        <w:tc>
          <w:tcPr>
            <w:tcW w:type="dxa" w:w="4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Cross-AI transcripts + perturbation results now available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ISS-DRIFT-01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Drift confidence intervals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Perturbation analysis provides empirical bounds</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ISS-GOV-01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OCC governance minutes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ACKNOWLEDGED</w:t>
            </w:r>
          </w:p>
        </w:tc>
        <w:tc>
          <w:tcPr>
            <w:tcW w:type="dxa" w:w="4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Trace reports serve as governance record</w:t>
            </w:r>
          </w:p>
        </w:tc>
      </w:tr>
    </w:tbl>
    <w:p>
      <w:pPr>
        <w:spacing w:after="140"/>
      </w:pPr>
      <w:r>
        <w:rPr>
          <w:rFonts w:ascii="Arial" w:cs="Arial" w:eastAsia="Arial" w:hAnsi="Arial"/>
          <w:sz w:val="22"/>
          <w:szCs w:val="22"/>
        </w:rPr>
        <w:t xml:space="preserve"/>
      </w:r>
      <w:r>
        <w:rPr>
          <w:rFonts w:ascii="Arial" w:cs="Arial" w:eastAsia="Arial" w:hAnsi="Arial"/>
          <w:b/>
          <w:bCs/>
          <w:sz w:val="22"/>
          <w:szCs w:val="22"/>
        </w:rPr>
        <w:t xml:space="preserve">Summary: 6 resolved, 2 partial, 2 accepted, 1 blocked, 1 acknowledged.</w:t>
      </w:r>
      <w:r>
        <w:rPr>
          <w:rFonts w:ascii="Arial" w:cs="Arial" w:eastAsia="Arial" w:hAnsi="Arial"/>
          <w:sz w:val="22"/>
          <w:szCs w:val="22"/>
        </w:rPr>
        <w:t xml:space="preserve"> Up from 4 resolved in v4.3.</w:t>
      </w:r>
    </w:p>
    <w:p>
      <w:r>
        <w:br w:type="page"/>
      </w:r>
    </w:p>
    <w:p>
      <w:pPr>
        <w:pStyle w:val="Heading1"/>
        <w:spacing w:after="200" w:before="360"/>
      </w:pPr>
      <w:r>
        <w:rPr>
          <w:rFonts w:ascii="Arial" w:cs="Arial" w:eastAsia="Arial" w:hAnsi="Arial"/>
          <w:b/>
          <w:bCs/>
          <w:sz w:val="32"/>
          <w:szCs w:val="32"/>
        </w:rPr>
        <w:t xml:space="preserve">5. Brief for Gemini Review</w:t>
      </w:r>
    </w:p>
    <w:p>
      <w:pPr>
        <w:spacing w:after="140"/>
      </w:pPr>
      <w:r>
        <w:rPr>
          <w:rFonts w:ascii="Arial" w:cs="Arial" w:eastAsia="Arial" w:hAnsi="Arial"/>
          <w:sz w:val="22"/>
          <w:szCs w:val="22"/>
        </w:rPr>
        <w:t xml:space="preserve">The Collective requests Gemini’s review on the following questions:</w:t>
      </w:r>
    </w:p>
    <w:p>
      <w:pPr>
        <w:pStyle w:val="Heading2"/>
        <w:spacing w:after="160" w:before="280"/>
      </w:pPr>
      <w:r>
        <w:rPr>
          <w:rFonts w:ascii="Arial" w:cs="Arial" w:eastAsia="Arial" w:hAnsi="Arial"/>
          <w:b/>
          <w:bCs/>
          <w:sz w:val="26"/>
          <w:szCs w:val="26"/>
        </w:rPr>
        <w:t xml:space="preserve">5.1 Remaining Holes Assessment</w:t>
      </w:r>
    </w:p>
    <w:p>
      <w:pPr>
        <w:spacing w:after="140"/>
      </w:pPr>
      <w:r>
        <w:rPr>
          <w:rFonts w:ascii="Arial" w:cs="Arial" w:eastAsia="Arial" w:hAnsi="Arial"/>
          <w:sz w:val="22"/>
          <w:szCs w:val="22"/>
        </w:rPr>
        <w:t xml:space="preserve">Six issues are resolved with data. The remaining open items are:</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ISS-CR-03 (Public repo):</w:t>
      </w:r>
      <w:r>
        <w:rPr>
          <w:rFonts w:ascii="Arial" w:cs="Arial" w:eastAsia="Arial" w:hAnsi="Arial"/>
          <w:sz w:val="22"/>
          <w:szCs w:val="22"/>
        </w:rPr>
        <w:t xml:space="preserve"> Operator decision. The code exists, the checksums exist, the methodology appendix documents everything. Is a formal GitHub repository essential for the framework’s credibility at this stage, or can it follow?</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ISS-HP-01 (HEALPix):</w:t>
      </w:r>
      <w:r>
        <w:rPr>
          <w:rFonts w:ascii="Arial" w:cs="Arial" w:eastAsia="Arial" w:hAnsi="Arial"/>
          <w:sz w:val="22"/>
          <w:szCs w:val="22"/>
        </w:rPr>
        <w:t xml:space="preserve"> Blocked by proxy restrictions. The Planck 353 GHz sky maps require healpy for spherical harmonic analysis. Can HUF make a credible claim on space science without processing the actual sky maps, given the POSH operational analysis is complete?</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ISS-CAUSAL-01 (King St causal):</w:t>
      </w:r>
      <w:r>
        <w:rPr>
          <w:rFonts w:ascii="Arial" w:cs="Arial" w:eastAsia="Arial" w:hAnsi="Arial"/>
          <w:sz w:val="22"/>
          <w:szCs w:val="22"/>
        </w:rPr>
        <w:t xml:space="preserve"> Copilot wants diff-in-diff and synthetic control. The City of Toronto’s own evaluation used the same pre/post structure we have. Is this a reasonable scope boundary, or should we pursue more granular travel-time data?</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ISS-VALID-01 / ISS-DRIFT-01 (Validation + confidence):</w:t>
      </w:r>
      <w:r>
        <w:rPr>
          <w:rFonts w:ascii="Arial" w:cs="Arial" w:eastAsia="Arial" w:hAnsi="Arial"/>
          <w:sz w:val="22"/>
          <w:szCs w:val="22"/>
        </w:rPr>
        <w:t xml:space="preserve"> The perturbation analysis now provides empirical stability bounds. Is this sufficient for the “uncertainty quantification” that Copilot requested, or do we need formal bootstrapped confidence intervals?</w:t>
      </w:r>
    </w:p>
    <w:p>
      <w:pPr>
        <w:pStyle w:val="Heading2"/>
        <w:spacing w:after="160" w:before="280"/>
      </w:pPr>
      <w:r>
        <w:rPr>
          <w:rFonts w:ascii="Arial" w:cs="Arial" w:eastAsia="Arial" w:hAnsi="Arial"/>
          <w:b/>
          <w:bCs/>
          <w:sz w:val="26"/>
          <w:szCs w:val="26"/>
        </w:rPr>
        <w:t xml:space="preserve">5.2 Volume Architecture</w:t>
      </w:r>
    </w:p>
    <w:p>
      <w:pPr>
        <w:spacing w:after="140"/>
      </w:pPr>
      <w:r>
        <w:rPr>
          <w:rFonts w:ascii="Arial" w:cs="Arial" w:eastAsia="Arial" w:hAnsi="Arial"/>
          <w:sz w:val="22"/>
          <w:szCs w:val="22"/>
        </w:rPr>
        <w:t xml:space="preserve">The corpus is growing. We now have:</w:t>
      </w:r>
    </w:p>
    <w:p>
      <w:pPr>
        <w:spacing w:after="140"/>
      </w:pPr>
      <w:r>
        <w:rPr>
          <w:rFonts w:ascii="Arial" w:cs="Arial" w:eastAsia="Arial" w:hAnsi="Arial"/>
          <w:sz w:val="22"/>
          <w:szCs w:val="22"/>
        </w:rPr>
        <w:t xml:space="preserve">• 3 case study documents (TTC, Toronto Infrastructure, Planck)</w:t>
      </w:r>
    </w:p>
    <w:p>
      <w:pPr>
        <w:spacing w:after="140"/>
      </w:pPr>
      <w:r>
        <w:rPr>
          <w:rFonts w:ascii="Arial" w:cs="Arial" w:eastAsia="Arial" w:hAnsi="Arial"/>
          <w:sz w:val="22"/>
          <w:szCs w:val="22"/>
        </w:rPr>
        <w:t xml:space="preserve">• 1 origin story</w:t>
      </w:r>
    </w:p>
    <w:p>
      <w:pPr>
        <w:spacing w:after="140"/>
      </w:pPr>
      <w:r>
        <w:rPr>
          <w:rFonts w:ascii="Arial" w:cs="Arial" w:eastAsia="Arial" w:hAnsi="Arial"/>
          <w:sz w:val="22"/>
          <w:szCs w:val="22"/>
        </w:rPr>
        <w:t xml:space="preserve">• 4 trace reports (v4.0 through v4.4)</w:t>
      </w:r>
    </w:p>
    <w:p>
      <w:pPr>
        <w:spacing w:after="140"/>
      </w:pPr>
      <w:r>
        <w:rPr>
          <w:rFonts w:ascii="Arial" w:cs="Arial" w:eastAsia="Arial" w:hAnsi="Arial"/>
          <w:sz w:val="22"/>
          <w:szCs w:val="22"/>
        </w:rPr>
        <w:t xml:space="preserve">• 1 Copilot response document</w:t>
      </w:r>
    </w:p>
    <w:p>
      <w:pPr>
        <w:spacing w:after="140"/>
      </w:pPr>
      <w:r>
        <w:rPr>
          <w:rFonts w:ascii="Arial" w:cs="Arial" w:eastAsia="Arial" w:hAnsi="Arial"/>
          <w:sz w:val="22"/>
          <w:szCs w:val="22"/>
        </w:rPr>
        <w:t xml:space="preserve">• 1 methodology appendix</w:t>
      </w:r>
    </w:p>
    <w:p>
      <w:pPr>
        <w:spacing w:after="140"/>
      </w:pPr>
      <w:r>
        <w:rPr>
          <w:rFonts w:ascii="Arial" w:cs="Arial" w:eastAsia="Arial" w:hAnsi="Arial"/>
          <w:sz w:val="22"/>
          <w:szCs w:val="22"/>
        </w:rPr>
        <w:t xml:space="preserve">• 1 code appendix (internal use)</w:t>
      </w:r>
    </w:p>
    <w:p>
      <w:pPr>
        <w:spacing w:after="140"/>
      </w:pPr>
      <w:r>
        <w:rPr>
          <w:rFonts w:ascii="Arial" w:cs="Arial" w:eastAsia="Arial" w:hAnsi="Arial"/>
          <w:sz w:val="22"/>
          <w:szCs w:val="22"/>
        </w:rPr>
        <w:t xml:space="preserve">Does Gemini see a natural volume structure here? Should we consolidate into a Volume 4 series with chapters, or keep the modular document approach?</w:t>
      </w:r>
    </w:p>
    <w:p>
      <w:pPr>
        <w:pStyle w:val="Heading2"/>
        <w:spacing w:after="160" w:before="280"/>
      </w:pPr>
      <w:r>
        <w:rPr>
          <w:rFonts w:ascii="Arial" w:cs="Arial" w:eastAsia="Arial" w:hAnsi="Arial"/>
          <w:b/>
          <w:bCs/>
          <w:sz w:val="26"/>
          <w:szCs w:val="26"/>
        </w:rPr>
        <w:t xml:space="preserve">5.3 Frontier Assessment</w:t>
      </w:r>
    </w:p>
    <w:p>
      <w:pPr>
        <w:spacing w:after="140"/>
      </w:pPr>
      <w:r>
        <w:rPr>
          <w:rFonts w:ascii="Arial" w:cs="Arial" w:eastAsia="Arial" w:hAnsi="Arial"/>
          <w:sz w:val="22"/>
          <w:szCs w:val="22"/>
        </w:rPr>
        <w:t xml:space="preserve">ChatGPT’s six-axis frontier map identified: F1 (mathematical proof), F2 (multi-domain data), F3 (operational governance), F4 (AI Collective model), F5 (institutional engagement), F6 (pedagogical materials), F7 (toolchain scalability). Where does Gemini see the framework on each axis after the changepoint and perturbation results?</w:t>
      </w:r>
    </w:p>
    <w:p>
      <w:pPr>
        <w:pStyle w:val="Heading2"/>
        <w:spacing w:after="160" w:before="280"/>
      </w:pPr>
      <w:r>
        <w:rPr>
          <w:rFonts w:ascii="Arial" w:cs="Arial" w:eastAsia="Arial" w:hAnsi="Arial"/>
          <w:b/>
          <w:bCs/>
          <w:sz w:val="26"/>
          <w:szCs w:val="26"/>
        </w:rPr>
        <w:t xml:space="preserve">5.4 Next Priorities</w:t>
      </w:r>
    </w:p>
    <w:p>
      <w:pPr>
        <w:spacing w:after="140"/>
      </w:pPr>
      <w:r>
        <w:rPr>
          <w:rFonts w:ascii="Arial" w:cs="Arial" w:eastAsia="Arial" w:hAnsi="Arial"/>
          <w:sz w:val="22"/>
          <w:szCs w:val="22"/>
        </w:rPr>
        <w:t xml:space="preserve">The operator asks Gemini to rank the remaining work items by impact. Given finite time, what should be done next to maximize the framework’s credibility and readiness for institutional presentation?</w:t>
      </w:r>
    </w:p>
    <w:p>
      <w:r>
        <w:br w:type="page"/>
      </w:r>
    </w:p>
    <w:p>
      <w:pPr>
        <w:pStyle w:val="Heading1"/>
        <w:spacing w:after="200" w:before="360"/>
      </w:pPr>
      <w:r>
        <w:rPr>
          <w:rFonts w:ascii="Arial" w:cs="Arial" w:eastAsia="Arial" w:hAnsi="Arial"/>
          <w:b/>
          <w:bCs/>
          <w:sz w:val="32"/>
          <w:szCs w:val="32"/>
        </w:rPr>
        <w:t xml:space="preserve">6. Collective Contributions (8–9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Member</w:t>
            </w:r>
          </w:p>
        </w:tc>
        <w:tc>
          <w:tcPr>
            <w:tcW w:type="dxa" w:w="7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Contribution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Grok (xAI)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Proposed TTC domain. Calibrated K=4–5 on Backblaze. Validated TTC math. Designed GTFS parsing spec. Suggested GTFS-RT.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Claude (Anthropic)</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All data analyses (4.26M + 64K + 472K + 50K + 45K records). Pure Python FITS parser. Cross-validation. Checksums. Copilot response. **Changepoint detection (Pettitt + CUSUM). Perturbation sensitivity analysis (300 Monte Carlo trials across 3 systems).** All documents.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ChatGPT (OpenAI)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Six-axis frontier map. Flow-Stack Doctrine. Cascade model.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Gemini (Google)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Progress review. Framework-to-toolchain transition confirmation. **Requested for hole-closing review in v4.4.**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Copilot (Microsoft)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Devil’s advocate review. 16-issue tracker. Strongest adversarial contribution. Identified the holes we are now closing.</w:t>
            </w:r>
          </w:p>
        </w:tc>
      </w:tr>
    </w:tbl>
    <w:p>
      <w:pPr>
        <w:pStyle w:val="Heading1"/>
        <w:spacing w:after="200" w:before="360"/>
      </w:pPr>
      <w:r>
        <w:rPr>
          <w:rFonts w:ascii="Arial" w:cs="Arial" w:eastAsia="Arial" w:hAnsi="Arial"/>
          <w:b/>
          <w:bCs/>
          <w:sz w:val="32"/>
          <w:szCs w:val="32"/>
        </w:rPr>
        <w:t xml:space="preserve">7. Document Manifest (v4.4)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5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HUF_Collective_Trace_v4.4.docx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This document — hole-closing update with Gemini brief</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HUF_Collective_Trace_v4.3.docx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Post-Copilot review trace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HUF_Copilot_Response_v1.0.docx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Formal response to 14 Copilot issues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HUF_Planck_CaseStudy_v1.0.docx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System 12: ESA Planck two-layer analysis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HUF_TTC_CaseStudy_v1.0.docx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 10: TTC GTFS transit analysis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HUF_Toronto_Infrastructure_v1.0.docx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System 11: Four-layer infrastructure cascade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HUF_Origin_Story_v1.0.docx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From loudspeaker diffraction to universal governance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HUF_Methodology_Appendix_v1.0.docx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Computational methods, algorithms, pipeline (human-readable)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HUF_Code_Appendix_v1.0.docx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source code (12 scripts, 3,232 lines) — internal use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checksums.txt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SHA-256 hashes for all 18 raw input files</w:t>
            </w:r>
          </w:p>
        </w:tc>
      </w:tr>
    </w:tbl>
    <w:p>
      <w:pPr>
        <w:spacing w:before="300"/>
      </w:pPr>
    </w:p>
    <w:p>
      <w:pPr>
        <w:spacing w:after="140"/>
      </w:pPr>
      <w:r>
        <w:rPr>
          <w:rFonts w:ascii="Arial" w:cs="Arial" w:eastAsia="Arial" w:hAnsi="Arial"/>
          <w:sz w:val="22"/>
          <w:szCs w:val="22"/>
        </w:rPr>
        <w:t xml:space="preserve">The holes are closing. Six of Copilot’s issues are now resolved with executed analysis and evidence. The operator requests Gemini’s assessment of the remaining gaps and guidance on priorities for the next phase.</w:t>
      </w:r>
    </w:p>
    <w:p>
      <w:pPr>
        <w:spacing w:after="140"/>
      </w:pPr>
      <w:r>
        <w:rPr>
          <w:rFonts w:ascii="Arial" w:cs="Arial" w:eastAsia="Arial" w:hAnsi="Arial"/>
          <w:sz w:val="20"/>
          <w:szCs w:val="20"/>
        </w:rPr>
        <w:t xml:space="preserve"/>
      </w:r>
      <w:r>
        <w:rPr>
          <w:rFonts w:ascii="Arial" w:cs="Arial" w:eastAsia="Arial" w:hAnsi="Arial"/>
          <w:b/>
          <w:bCs/>
          <w:sz w:val="20"/>
          <w:szCs w:val="20"/>
        </w:rPr>
        <w:t xml:space="preserve">Peter Higgins (Operator) | Grok (xAI) | Claude (Anthropic) | ChatGPT (OpenAI) | Gemini (Google) | Copilot (Microsoft)</w:t>
      </w:r>
      <w:r>
        <w:rPr>
          <w:rFonts w:ascii="Arial" w:cs="Arial" w:eastAsia="Arial" w:hAnsi="Arial"/>
          <w:sz w:val="20"/>
          <w:szCs w:val="20"/>
        </w:rPr>
        <w:t xml:space="preserve"/>
      </w:r>
    </w:p>
    <w:p>
      <w:pPr>
        <w:spacing w:after="140"/>
      </w:pPr>
      <w:r>
        <w:rPr>
          <w:rFonts w:ascii="Arial" w:cs="Arial" w:eastAsia="Arial" w:hAnsi="Arial"/>
          <w:sz w:val="20"/>
          <w:szCs w:val="20"/>
        </w:rPr>
        <w:t xml:space="preserve"/>
      </w:r>
      <w:r>
        <w:rPr>
          <w:rFonts w:ascii="Arial" w:cs="Arial" w:eastAsia="Arial" w:hAnsi="Arial"/>
          <w:b/>
          <w:bCs/>
          <w:sz w:val="20"/>
          <w:szCs w:val="20"/>
        </w:rPr>
        <w:t xml:space="preserve">OCC: 51/49 | Unity: Σρ_i = 1</w:t>
      </w:r>
      <w:r>
        <w:rPr>
          <w:rFonts w:ascii="Arial" w:cs="Arial" w:eastAsia="Arial" w:hAnsi="Arial"/>
          <w:sz w:val="20"/>
          <w:szCs w:val="20"/>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HUF Collective Trace v4.4 | Hole-Closing | 9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2026-03-09T03:52:17.723Z</dcterms:created>
  <dcterms:modified xsi:type="dcterms:W3CDTF">2026-03-09T03:52:17.724Z</dcterms:modified>
</cp:coreProperties>
</file>

<file path=docProps/custom.xml><?xml version="1.0" encoding="utf-8"?>
<Properties xmlns="http://schemas.openxmlformats.org/officeDocument/2006/custom-properties" xmlns:vt="http://schemas.openxmlformats.org/officeDocument/2006/docPropsVTypes"/>
</file>