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0"/>
      </w:pPr>
      <w:r>
        <w:rPr>
          <w:rFonts w:ascii="Arial" w:hAnsi="Arial"/>
        </w:rPr>
      </w:r>
    </w:p>
    <w:p>
      <w:pPr>
        <w:spacing w:after="160"/>
        <w:jc w:val="center"/>
      </w:pPr>
      <w:r>
        <w:rPr>
          <w:rFonts w:ascii="Arial" w:hAnsi="Arial"/>
          <w:b/>
          <w:color w:val="1A3A5F"/>
          <w:sz w:val="72"/>
        </w:rPr>
        <w:t>HAGF</w:t>
      </w:r>
    </w:p>
    <w:p>
      <w:pPr>
        <w:spacing w:after="320"/>
        <w:jc w:val="center"/>
      </w:pPr>
      <w:r>
        <w:rPr>
          <w:rFonts w:ascii="Arial" w:hAnsi="Arial"/>
          <w:b/>
          <w:color w:val="2A5A8F"/>
          <w:sz w:val="36"/>
        </w:rPr>
        <w:t>HUF-Aligned Applied Governance Framework</w:t>
      </w:r>
    </w:p>
    <w:p>
      <w:pPr>
        <w:spacing w:after="80"/>
        <w:jc w:val="center"/>
      </w:pPr>
      <w:r>
        <w:rPr>
          <w:rFonts w:ascii="Arial" w:hAnsi="Arial"/>
          <w:color w:val="666666"/>
          <w:sz w:val="26"/>
        </w:rPr>
        <w:t>A Governance Methodology for High-Capability Analytical Systems</w:t>
      </w:r>
    </w:p>
    <w:p>
      <w:pPr>
        <w:spacing w:after="80"/>
        <w:jc w:val="center"/>
      </w:pPr>
      <w:r>
        <w:rPr>
          <w:rFonts w:ascii="Arial" w:hAnsi="Arial"/>
          <w:color w:val="666666"/>
          <w:sz w:val="22"/>
        </w:rPr>
        <w:t>Derived from Industrial Safety Practice</w:t>
      </w:r>
    </w:p>
    <w:p>
      <w:pPr>
        <w:jc w:val="center"/>
      </w:pPr>
      <w:r>
        <w:rPr>
          <w:rFonts w:ascii="Arial" w:hAnsi="Arial"/>
          <w:color w:val="666666"/>
          <w:sz w:val="22"/>
        </w:rPr>
        <w:t>Aligned with HUF Ratio-State Observation Architecture</w:t>
      </w:r>
    </w:p>
    <w:p>
      <w:pPr>
        <w:spacing w:after="1200"/>
      </w:pPr>
      <w:r>
        <w:rPr>
          <w:rFonts w:ascii="Arial" w:hAnsi="Arial"/>
        </w:rPr>
      </w:r>
    </w:p>
    <w:p>
      <w:pPr>
        <w:spacing w:before="800"/>
        <w:jc w:val="center"/>
        <w:pBdr>
          <w:bottom w:val="single" w:sz="12" w:space="4" w:color="1a3a5f"/>
        </w:pBdr>
      </w:pPr>
    </w:p>
    <w:p>
      <w:pPr>
        <w:spacing w:before="320" w:after="160"/>
        <w:jc w:val="center"/>
      </w:pPr>
      <w:r>
        <w:rPr>
          <w:rFonts w:ascii="Arial" w:hAnsi="Arial"/>
          <w:b/>
          <w:sz w:val="28"/>
        </w:rPr>
        <w:t>Specification v1.0 — DRAFT</w:t>
      </w:r>
    </w:p>
    <w:p>
      <w:pPr>
        <w:spacing w:after="160"/>
        <w:jc w:val="center"/>
      </w:pPr>
      <w:r>
        <w:rPr>
          <w:rFonts w:ascii="Arial" w:hAnsi="Arial"/>
          <w:color w:val="666666"/>
          <w:sz w:val="22"/>
        </w:rPr>
        <w:t>March 22, 2026</w:t>
      </w:r>
    </w:p>
    <w:p>
      <w:pPr>
        <w:spacing w:after="160"/>
        <w:jc w:val="center"/>
      </w:pPr>
      <w:r>
        <w:rPr>
          <w:rFonts w:ascii="Arial" w:hAnsi="Arial"/>
          <w:sz w:val="22"/>
        </w:rPr>
        <w:t>Peter Higgins — Rogue Wave Audio</w:t>
      </w:r>
    </w:p>
    <w:p>
      <w:pPr>
        <w:spacing w:after="400"/>
        <w:jc w:val="center"/>
      </w:pPr>
      <w:r>
        <w:rPr>
          <w:rFonts w:ascii="Arial" w:hAnsi="Arial"/>
          <w:color w:val="888888"/>
          <w:sz w:val="18"/>
        </w:rPr>
        <w:t>With contributions from Claude (Anthropic), Copilot (Microsoft), ChatGPT (OpenAI)</w:t>
      </w:r>
    </w:p>
    <w:p>
      <w:pPr>
        <w:spacing w:before="800"/>
        <w:jc w:val="center"/>
      </w:pPr>
      <w:r>
        <w:rPr>
          <w:rFonts w:ascii="Arial" w:hAnsi="Arial"/>
          <w:color w:val="888888"/>
          <w:sz w:val="18"/>
        </w:rPr>
        <w:t>Document ID: HAGF-001</w:t>
      </w:r>
    </w:p>
    <w:p>
      <w:r>
        <w:br w:type="page"/>
      </w:r>
    </w:p>
    <w:p>
      <w:pPr>
        <w:pStyle w:val="Heading1"/>
      </w:pPr>
      <w:r>
        <w:t>1. Abstract</w:t>
      </w:r>
    </w:p>
    <w:p>
      <w:r>
        <w:rPr>
          <w:rFonts w:ascii="Arial" w:hAnsi="Arial"/>
        </w:rPr>
        <w:t>Modern AI and analytical systems evoke the same psychological dynamics observed in earlier generations of industrial automation. Public anxiety is driven less by empirical risk and more by the absence of transparent, auditable, human-aligned operational frameworks.</w:t>
      </w:r>
    </w:p>
    <w:p>
      <w:r>
        <w:rPr>
          <w:rFonts w:ascii="Arial" w:hAnsi="Arial"/>
        </w:rPr>
        <w:t>HAGF — the HUF-Aligned Applied Governance Framework — provides a reproducible, audit-ready governance methodology for deploying high-capability analytical systems safely, predictably, and transparently. It is derived from real industrial safety practice and aligned with the HUF ratio-state observation architecture.</w:t>
      </w:r>
    </w:p>
    <w:p>
      <w:r>
        <w:rPr>
          <w:rFonts w:ascii="Arial" w:hAnsi="Arial"/>
        </w:rPr>
        <w:t>The framework encodes a principle proven in practice: powerful systems become safe not by eliminating capability, but by embedding predictable failure modes, human-auditable safeguards, and cultural clarity about responsibility.</w:t>
      </w:r>
    </w:p>
    <w:p>
      <w:pPr>
        <w:pStyle w:val="Heading1"/>
      </w:pPr>
      <w:r>
        <w:t>2. The Montreal Case Study</w:t>
      </w:r>
    </w:p>
    <w:p>
      <w:pPr>
        <w:pStyle w:val="Heading2"/>
      </w:pPr>
      <w:r>
        <w:t>2.1. The Incident</w:t>
      </w:r>
    </w:p>
    <w:p>
      <w:r>
        <w:rPr>
          <w:rFonts w:ascii="Arial" w:hAnsi="Arial"/>
        </w:rPr>
        <w:t>In the early era of automated manufacturing, a major telecommunications facility in Montreal operated an automated placement machine driven by six 15-horsepower motors — an industrial system with lethal kinetic energy. The machine was already notorious among operators, who had nicknamed it based on its perceived danger.</w:t>
      </w:r>
    </w:p>
    <w:p>
      <w:r>
        <w:rPr>
          <w:rFonts w:ascii="Arial" w:hAnsi="Arial"/>
        </w:rPr>
        <w:t>An engineer intentionally entered the active machine, believing it had been secured. It had not. The force of impact bent a steel beam. However, a single shear bolt — one bolt among thousands in the machine, intentionally engineered as a sacrificial failure point by a design engineer in Japan — broke at precisely the right location under the extreme load, tripping a safety sensor. The engineer survived.</w:t>
      </w:r>
    </w:p>
    <w:p>
      <w:pPr>
        <w:pStyle w:val="Heading2"/>
      </w:pPr>
      <w:r>
        <w:t>2.2. The Aftermath</w:t>
      </w:r>
    </w:p>
    <w:p>
      <w:r>
        <w:rPr>
          <w:rFonts w:ascii="Arial" w:hAnsi="Arial"/>
        </w:rPr>
        <w:t>The workforce was terrified. Operators refused to approach the machine. Peter Higgins was called — not to repair the machine, and not to investigate the incident, but to restore trust between the operators and the system they were afraid to use.</w:t>
      </w:r>
    </w:p>
    <w:p>
      <w:r>
        <w:rPr>
          <w:rFonts w:ascii="Arial" w:hAnsi="Arial"/>
        </w:rPr>
        <w:t>His intervention was not mechanical but communicative. He explained to the operators that the machine was not malicious. It was not “out to get them.” It was a powerful, engineered system whose safety mechanisms had worked exactly as designed. The shear bolt broke where it was supposed to break. The sensor tripped when it was supposed to trip. The engineer survived because someone, years earlier, had anticipated this exact scenario and designed for it.</w:t>
      </w:r>
    </w:p>
    <w:p>
      <w:r>
        <w:rPr>
          <w:rFonts w:ascii="Arial" w:hAnsi="Arial"/>
        </w:rPr>
        <w:t>The operators returned to work. The engineer and machine were both operational the next day. No further incidents occurred.</w:t>
      </w:r>
    </w:p>
    <w:p>
      <w:pPr>
        <w:pStyle w:val="Heading2"/>
      </w:pPr>
      <w:r>
        <w:t>2.3. The Governance Lesson</w:t>
      </w:r>
    </w:p>
    <w:p>
      <w:r>
        <w:rPr>
          <w:rFonts w:ascii="Arial" w:hAnsi="Arial"/>
          <w:b/>
        </w:rPr>
        <w:t xml:space="preserve">Fear arises when power is present but understanding is absent. </w:t>
      </w:r>
      <w:r>
        <w:rPr>
          <w:rFonts w:ascii="Arial" w:hAnsi="Arial"/>
        </w:rPr>
        <w:t>The operators were not irrational. They were uninformed and scared. Once the system’s designed safety was explained — once they understood that the machine behaved predictably, including in failure — fear dissolved into respect.</w:t>
      </w:r>
    </w:p>
    <w:p>
      <w:r>
        <w:rPr>
          <w:rFonts w:ascii="Arial" w:hAnsi="Arial"/>
        </w:rPr>
        <w:t>This dynamic maps directly to the current global discourse around AI. The same fear, the same gap in understanding, the same need for clear explanation of designed safety.</w:t>
      </w:r>
    </w:p>
    <w:p>
      <w:pPr>
        <w:pStyle w:val="Heading1"/>
      </w:pPr>
      <w:r>
        <w:t>3. From Industrial Safety to Analytical Governance</w:t>
      </w:r>
    </w:p>
    <w:p>
      <w:pPr>
        <w:pStyle w:val="Heading2"/>
      </w:pPr>
      <w:r>
        <w:t>3.1. The Parallel</w:t>
      </w:r>
    </w:p>
    <w:p>
      <w:r>
        <w:rPr>
          <w:rFonts w:ascii="Arial" w:hAnsi="Arial"/>
        </w:rPr>
        <w:t>The Montreal incident encodes four truths that translate directly from industrial safety to AI governance:</w:t>
      </w:r>
    </w:p>
    <w:p>
      <w:r>
        <w:rPr>
          <w:rFonts w:ascii="Arial" w:hAnsi="Arial"/>
          <w:b/>
        </w:rPr>
        <w:t xml:space="preserve">Power is not the enemy; negligence is. </w:t>
      </w:r>
      <w:r>
        <w:rPr>
          <w:rFonts w:ascii="Arial" w:hAnsi="Arial"/>
        </w:rPr>
        <w:t>The machine was not evil. It was powerful and misused. AI systems are not dangerous because they are capable — they become dangerous when deployed without governance.</w:t>
      </w:r>
    </w:p>
    <w:p>
      <w:r>
        <w:rPr>
          <w:rFonts w:ascii="Arial" w:hAnsi="Arial"/>
          <w:b/>
        </w:rPr>
        <w:t xml:space="preserve">Good engineering quietly saves lives. </w:t>
      </w:r>
      <w:r>
        <w:rPr>
          <w:rFonts w:ascii="Arial" w:hAnsi="Arial"/>
        </w:rPr>
        <w:t>The shear bolt and sensor were invisible heroes. In analytical systems, this translates to calibration checks, drift detection, auditability, and conservative defaults — things most users never see, but that make the system survivable.</w:t>
      </w:r>
    </w:p>
    <w:p>
      <w:r>
        <w:rPr>
          <w:rFonts w:ascii="Arial" w:hAnsi="Arial"/>
          <w:b/>
        </w:rPr>
        <w:t xml:space="preserve">Fear fills the gap where understanding should be. </w:t>
      </w:r>
      <w:r>
        <w:rPr>
          <w:rFonts w:ascii="Arial" w:hAnsi="Arial"/>
        </w:rPr>
        <w:t>The operators were not irrational; they were uninformed. With AI, the same translation layer is needed: from “killer machine” to “powerful tool with designed failure modes.”</w:t>
      </w:r>
    </w:p>
    <w:p>
      <w:r>
        <w:rPr>
          <w:rFonts w:ascii="Arial" w:hAnsi="Arial"/>
          <w:b/>
        </w:rPr>
        <w:t xml:space="preserve">The real work is socio-technical. </w:t>
      </w:r>
      <w:r>
        <w:rPr>
          <w:rFonts w:ascii="Arial" w:hAnsi="Arial"/>
        </w:rPr>
        <w:t>Higgins did not just patch a system — he realigned a relationship between humans and a machine. That is governance, not just engineering.</w:t>
      </w:r>
    </w:p>
    <w:p>
      <w:pPr>
        <w:pStyle w:val="Heading2"/>
      </w:pPr>
      <w:r>
        <w:t>3.2. The Shear-Bolt Principle</w:t>
      </w:r>
    </w:p>
    <w:p>
      <w:r>
        <w:rPr>
          <w:rFonts w:ascii="Arial" w:hAnsi="Arial"/>
        </w:rPr>
        <w:t>From the Montreal incident, we extract a formal design principle:</w:t>
      </w:r>
    </w:p>
    <w:p>
      <w:r>
        <w:rPr>
          <w:rFonts w:ascii="Arial" w:hAnsi="Arial"/>
          <w:b/>
          <w:i/>
        </w:rPr>
        <w:t xml:space="preserve">The Shear-Bolt Principle: </w:t>
      </w:r>
      <w:r>
        <w:rPr>
          <w:rFonts w:ascii="Arial" w:hAnsi="Arial"/>
          <w:i/>
        </w:rPr>
        <w:t>Every high-capability system must contain intentional, predictable failure points that protect humans from catastrophic outcomes. Safety is not the absence of power — it is the presence of designed failure.</w:t>
      </w:r>
    </w:p>
    <w:p>
      <w:r>
        <w:rPr>
          <w:rFonts w:ascii="Arial" w:hAnsi="Arial"/>
        </w:rPr>
        <w:t>In HUF-aligned analytical systems, the shear bolts are: calibration checks that reject malformed carriers, metric invariance tests that catch methodology errors, orthogonality boundaries that prevent observation systems from becoming controllers, headline governance rules that prevent conclusions from exceeding their evidence, and drift detection that surfaces hidden structural change before it becomes crisis.</w:t>
      </w:r>
    </w:p>
    <w:p>
      <w:pPr>
        <w:pStyle w:val="Heading1"/>
      </w:pPr>
      <w:r>
        <w:t>4. The HAGF Framework</w:t>
      </w:r>
    </w:p>
    <w:p>
      <w:pPr>
        <w:pStyle w:val="Heading2"/>
      </w:pPr>
      <w:r>
        <w:t>4.1. Seven Governance Principles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76"/>
            <w:shd w:fill="1a3a5f" w:color="auto" w:val="clear"/>
          </w:tcPr>
          <w:p>
            <w:r/>
            <w:r>
              <w:rPr>
                <w:rFonts w:ascii="Arial" w:hAnsi="Arial"/>
                <w:b/>
                <w:color w:val="FFFFFF"/>
                <w:sz w:val="18"/>
              </w:rPr>
              <w:t>#</w:t>
            </w:r>
          </w:p>
        </w:tc>
        <w:tc>
          <w:tcPr>
            <w:tcW w:type="dxa" w:w="1728"/>
            <w:shd w:fill="1a3a5f" w:color="auto" w:val="clear"/>
          </w:tcPr>
          <w:p>
            <w:r/>
            <w:r>
              <w:rPr>
                <w:rFonts w:ascii="Arial" w:hAnsi="Arial"/>
                <w:b/>
                <w:color w:val="FFFFFF"/>
                <w:sz w:val="18"/>
              </w:rPr>
              <w:t>Principle</w:t>
            </w:r>
          </w:p>
        </w:tc>
        <w:tc>
          <w:tcPr>
            <w:tcW w:type="dxa" w:w="3600"/>
            <w:shd w:fill="1a3a5f" w:color="auto" w:val="clear"/>
          </w:tcPr>
          <w:p>
            <w:r/>
            <w:r>
              <w:rPr>
                <w:rFonts w:ascii="Arial" w:hAnsi="Arial"/>
                <w:b/>
                <w:color w:val="FFFFFF"/>
                <w:sz w:val="18"/>
              </w:rPr>
              <w:t>Statement</w:t>
            </w:r>
          </w:p>
        </w:tc>
        <w:tc>
          <w:tcPr>
            <w:tcW w:type="dxa" w:w="3600"/>
            <w:shd w:fill="1a3a5f" w:color="auto" w:val="clear"/>
          </w:tcPr>
          <w:p>
            <w:r/>
            <w:r>
              <w:rPr>
                <w:rFonts w:ascii="Arial" w:hAnsi="Arial"/>
                <w:b/>
                <w:color w:val="FFFFFF"/>
                <w:sz w:val="18"/>
              </w:rPr>
              <w:t>AI Application</w:t>
            </w:r>
          </w:p>
        </w:tc>
      </w:tr>
      <w:tr>
        <w:tc>
          <w:tcPr>
            <w:tcW w:type="dxa" w:w="576"/>
          </w:tcPr>
          <w:p>
            <w:r/>
            <w:r>
              <w:rPr>
                <w:rFonts w:ascii="Arial" w:hAnsi="Arial"/>
                <w:sz w:val="18"/>
              </w:rPr>
              <w:t>1</w:t>
            </w:r>
          </w:p>
        </w:tc>
        <w:tc>
          <w:tcPr>
            <w:tcW w:type="dxa" w:w="1728"/>
          </w:tcPr>
          <w:p>
            <w:r/>
            <w:r>
              <w:rPr>
                <w:rFonts w:ascii="Arial" w:hAnsi="Arial"/>
                <w:sz w:val="18"/>
              </w:rPr>
              <w:t>Explainability</w:t>
            </w:r>
          </w:p>
        </w:tc>
        <w:tc>
          <w:tcPr>
            <w:tcW w:type="dxa" w:w="3600"/>
          </w:tcPr>
          <w:p>
            <w:r/>
            <w:r>
              <w:rPr>
                <w:rFonts w:ascii="Arial" w:hAnsi="Arial"/>
                <w:sz w:val="18"/>
              </w:rPr>
              <w:t>Systems must be interpretable by their operators.</w:t>
            </w:r>
          </w:p>
        </w:tc>
        <w:tc>
          <w:tcPr>
            <w:tcW w:type="dxa" w:w="3600"/>
          </w:tcPr>
          <w:p>
            <w:r/>
            <w:r>
              <w:rPr>
                <w:rFonts w:ascii="Arial" w:hAnsi="Arial"/>
                <w:sz w:val="18"/>
              </w:rPr>
              <w:t>Model cards, transparent pipelines, operator dashboards, KNOB-001 vocabulary.</w:t>
            </w:r>
          </w:p>
        </w:tc>
      </w:tr>
      <w:tr>
        <w:tc>
          <w:tcPr>
            <w:tcW w:type="dxa" w:w="576"/>
          </w:tcPr>
          <w:p>
            <w:r/>
            <w:r>
              <w:rPr>
                <w:rFonts w:ascii="Arial" w:hAnsi="Arial"/>
                <w:sz w:val="18"/>
              </w:rPr>
              <w:t>2</w:t>
            </w:r>
          </w:p>
        </w:tc>
        <w:tc>
          <w:tcPr>
            <w:tcW w:type="dxa" w:w="1728"/>
          </w:tcPr>
          <w:p>
            <w:r/>
            <w:r>
              <w:rPr>
                <w:rFonts w:ascii="Arial" w:hAnsi="Arial"/>
                <w:sz w:val="18"/>
              </w:rPr>
              <w:t>Predictability</w:t>
            </w:r>
          </w:p>
        </w:tc>
        <w:tc>
          <w:tcPr>
            <w:tcW w:type="dxa" w:w="3600"/>
          </w:tcPr>
          <w:p>
            <w:r/>
            <w:r>
              <w:rPr>
                <w:rFonts w:ascii="Arial" w:hAnsi="Arial"/>
                <w:sz w:val="18"/>
              </w:rPr>
              <w:t>System behavior must be bounded and consistent.</w:t>
            </w:r>
          </w:p>
        </w:tc>
        <w:tc>
          <w:tcPr>
            <w:tcW w:type="dxa" w:w="3600"/>
          </w:tcPr>
          <w:p>
            <w:r/>
            <w:r>
              <w:rPr>
                <w:rFonts w:ascii="Arial" w:hAnsi="Arial"/>
                <w:sz w:val="18"/>
              </w:rPr>
              <w:t>Defined envelopes, reproducible results, schema-compliant outputs (SCHEMA-001).</w:t>
            </w:r>
          </w:p>
        </w:tc>
      </w:tr>
      <w:tr>
        <w:tc>
          <w:tcPr>
            <w:tcW w:type="dxa" w:w="576"/>
          </w:tcPr>
          <w:p>
            <w:r/>
            <w:r>
              <w:rPr>
                <w:rFonts w:ascii="Arial" w:hAnsi="Arial"/>
                <w:sz w:val="18"/>
              </w:rPr>
              <w:t>3</w:t>
            </w:r>
          </w:p>
        </w:tc>
        <w:tc>
          <w:tcPr>
            <w:tcW w:type="dxa" w:w="1728"/>
          </w:tcPr>
          <w:p>
            <w:r/>
            <w:r>
              <w:rPr>
                <w:rFonts w:ascii="Arial" w:hAnsi="Arial"/>
                <w:sz w:val="18"/>
              </w:rPr>
              <w:t>Drift Awareness</w:t>
            </w:r>
          </w:p>
        </w:tc>
        <w:tc>
          <w:tcPr>
            <w:tcW w:type="dxa" w:w="3600"/>
          </w:tcPr>
          <w:p>
            <w:r/>
            <w:r>
              <w:rPr>
                <w:rFonts w:ascii="Arial" w:hAnsi="Arial"/>
                <w:sz w:val="18"/>
              </w:rPr>
              <w:t>Deviations must be detected early and surfaced clearly.</w:t>
            </w:r>
          </w:p>
        </w:tc>
        <w:tc>
          <w:tcPr>
            <w:tcW w:type="dxa" w:w="3600"/>
          </w:tcPr>
          <w:p>
            <w:r/>
            <w:r>
              <w:rPr>
                <w:rFonts w:ascii="Arial" w:hAnsi="Arial"/>
                <w:sz w:val="18"/>
              </w:rPr>
              <w:t>K_eff monitoring, velocity/peak alerting, forward signal pattern recognition.</w:t>
            </w:r>
          </w:p>
        </w:tc>
      </w:tr>
      <w:tr>
        <w:tc>
          <w:tcPr>
            <w:tcW w:type="dxa" w:w="576"/>
          </w:tcPr>
          <w:p>
            <w:r/>
            <w:r>
              <w:rPr>
                <w:rFonts w:ascii="Arial" w:hAnsi="Arial"/>
                <w:sz w:val="18"/>
              </w:rPr>
              <w:t>4</w:t>
            </w:r>
          </w:p>
        </w:tc>
        <w:tc>
          <w:tcPr>
            <w:tcW w:type="dxa" w:w="1728"/>
          </w:tcPr>
          <w:p>
            <w:r/>
            <w:r>
              <w:rPr>
                <w:rFonts w:ascii="Arial" w:hAnsi="Arial"/>
                <w:sz w:val="18"/>
              </w:rPr>
              <w:t>Designed Failure</w:t>
            </w:r>
          </w:p>
        </w:tc>
        <w:tc>
          <w:tcPr>
            <w:tcW w:type="dxa" w:w="3600"/>
          </w:tcPr>
          <w:p>
            <w:r/>
            <w:r>
              <w:rPr>
                <w:rFonts w:ascii="Arial" w:hAnsi="Arial"/>
                <w:sz w:val="18"/>
              </w:rPr>
              <w:t>Systems must contain intentional, predictable failure points.</w:t>
            </w:r>
          </w:p>
        </w:tc>
        <w:tc>
          <w:tcPr>
            <w:tcW w:type="dxa" w:w="3600"/>
          </w:tcPr>
          <w:p>
            <w:r/>
            <w:r>
              <w:rPr>
                <w:rFonts w:ascii="Arial" w:hAnsi="Arial"/>
                <w:sz w:val="18"/>
              </w:rPr>
              <w:t>Calibration checks, metric invariance, orthogonality boundaries, headline rules.</w:t>
            </w:r>
          </w:p>
        </w:tc>
      </w:tr>
      <w:tr>
        <w:tc>
          <w:tcPr>
            <w:tcW w:type="dxa" w:w="576"/>
          </w:tcPr>
          <w:p>
            <w:r/>
            <w:r>
              <w:rPr>
                <w:rFonts w:ascii="Arial" w:hAnsi="Arial"/>
                <w:sz w:val="18"/>
              </w:rPr>
              <w:t>5</w:t>
            </w:r>
          </w:p>
        </w:tc>
        <w:tc>
          <w:tcPr>
            <w:tcW w:type="dxa" w:w="1728"/>
          </w:tcPr>
          <w:p>
            <w:r/>
            <w:r>
              <w:rPr>
                <w:rFonts w:ascii="Arial" w:hAnsi="Arial"/>
                <w:sz w:val="18"/>
              </w:rPr>
              <w:t>Human Primacy</w:t>
            </w:r>
          </w:p>
        </w:tc>
        <w:tc>
          <w:tcPr>
            <w:tcW w:type="dxa" w:w="3600"/>
          </w:tcPr>
          <w:p>
            <w:r/>
            <w:r>
              <w:rPr>
                <w:rFonts w:ascii="Arial" w:hAnsi="Arial"/>
                <w:sz w:val="18"/>
              </w:rPr>
              <w:t>Operators remain in control. Systems serve; they do not decide.</w:t>
            </w:r>
          </w:p>
        </w:tc>
        <w:tc>
          <w:tcPr>
            <w:tcW w:type="dxa" w:w="3600"/>
          </w:tcPr>
          <w:p>
            <w:r/>
            <w:r>
              <w:rPr>
                <w:rFonts w:ascii="Arial" w:hAnsi="Arial"/>
                <w:sz w:val="18"/>
              </w:rPr>
              <w:t>Human-in-the-loop, no autonomous action, HUF-GOV is observation-only.</w:t>
            </w:r>
          </w:p>
        </w:tc>
      </w:tr>
      <w:tr>
        <w:tc>
          <w:tcPr>
            <w:tcW w:type="dxa" w:w="576"/>
          </w:tcPr>
          <w:p>
            <w:r/>
            <w:r>
              <w:rPr>
                <w:rFonts w:ascii="Arial" w:hAnsi="Arial"/>
                <w:sz w:val="18"/>
              </w:rPr>
              <w:t>6</w:t>
            </w:r>
          </w:p>
        </w:tc>
        <w:tc>
          <w:tcPr>
            <w:tcW w:type="dxa" w:w="1728"/>
          </w:tcPr>
          <w:p>
            <w:r/>
            <w:r>
              <w:rPr>
                <w:rFonts w:ascii="Arial" w:hAnsi="Arial"/>
                <w:sz w:val="18"/>
              </w:rPr>
              <w:t>Auditability</w:t>
            </w:r>
          </w:p>
        </w:tc>
        <w:tc>
          <w:tcPr>
            <w:tcW w:type="dxa" w:w="3600"/>
          </w:tcPr>
          <w:p>
            <w:r/>
            <w:r>
              <w:rPr>
                <w:rFonts w:ascii="Arial" w:hAnsi="Arial"/>
                <w:sz w:val="18"/>
              </w:rPr>
              <w:t>All actions, inputs, and outputs must be traceable.</w:t>
            </w:r>
          </w:p>
        </w:tc>
        <w:tc>
          <w:tcPr>
            <w:tcW w:type="dxa" w:w="3600"/>
          </w:tcPr>
          <w:p>
            <w:r/>
            <w:r>
              <w:rPr>
                <w:rFonts w:ascii="Arial" w:hAnsi="Arial"/>
                <w:sz w:val="18"/>
              </w:rPr>
              <w:t>Version-controlled scripts, JSON provenance, structure catalog, session ledgers.</w:t>
            </w:r>
          </w:p>
        </w:tc>
      </w:tr>
      <w:tr>
        <w:tc>
          <w:tcPr>
            <w:tcW w:type="dxa" w:w="576"/>
          </w:tcPr>
          <w:p>
            <w:r/>
            <w:r>
              <w:rPr>
                <w:rFonts w:ascii="Arial" w:hAnsi="Arial"/>
                <w:sz w:val="18"/>
              </w:rPr>
              <w:t>7</w:t>
            </w:r>
          </w:p>
        </w:tc>
        <w:tc>
          <w:tcPr>
            <w:tcW w:type="dxa" w:w="1728"/>
          </w:tcPr>
          <w:p>
            <w:r/>
            <w:r>
              <w:rPr>
                <w:rFonts w:ascii="Arial" w:hAnsi="Arial"/>
                <w:sz w:val="18"/>
              </w:rPr>
              <w:t>Institutional Fit</w:t>
            </w:r>
          </w:p>
        </w:tc>
        <w:tc>
          <w:tcPr>
            <w:tcW w:type="dxa" w:w="3600"/>
          </w:tcPr>
          <w:p>
            <w:r/>
            <w:r>
              <w:rPr>
                <w:rFonts w:ascii="Arial" w:hAnsi="Arial"/>
                <w:sz w:val="18"/>
              </w:rPr>
              <w:t>Governance must align with existing standards.</w:t>
            </w:r>
          </w:p>
        </w:tc>
        <w:tc>
          <w:tcPr>
            <w:tcW w:type="dxa" w:w="3600"/>
          </w:tcPr>
          <w:p>
            <w:r/>
            <w:r>
              <w:rPr>
                <w:rFonts w:ascii="Arial" w:hAnsi="Arial"/>
                <w:sz w:val="18"/>
              </w:rPr>
              <w:t>ISO/IEC alignment, domain App Notes, standard vocabulary, portable format.</w:t>
            </w:r>
          </w:p>
        </w:tc>
      </w:tr>
    </w:tbl>
    <w:p/>
    <w:p>
      <w:pPr>
        <w:pStyle w:val="Heading2"/>
      </w:pPr>
      <w:r>
        <w:t>4.2. Four-Layer Governance Stack</w:t>
      </w:r>
    </w:p>
    <w:p>
      <w:r>
        <w:rPr>
          <w:rFonts w:ascii="Arial" w:hAnsi="Arial"/>
        </w:rPr>
        <w:t>HAGF organizes governance into four layers, from raw system capability to institutional adoption. Each layer builds on those below it, and no layer can be skipped.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720"/>
            <w:shd w:fill="1a3a5f" w:color="auto" w:val="clear"/>
          </w:tcPr>
          <w:p>
            <w:r/>
            <w:r>
              <w:rPr>
                <w:rFonts w:ascii="Arial" w:hAnsi="Arial"/>
                <w:b/>
                <w:color w:val="FFFFFF"/>
                <w:sz w:val="18"/>
              </w:rPr>
              <w:t>Layer</w:t>
            </w:r>
          </w:p>
        </w:tc>
        <w:tc>
          <w:tcPr>
            <w:tcW w:type="dxa" w:w="2880"/>
            <w:shd w:fill="1a3a5f" w:color="auto" w:val="clear"/>
          </w:tcPr>
          <w:p>
            <w:r/>
            <w:r>
              <w:rPr>
                <w:rFonts w:ascii="Arial" w:hAnsi="Arial"/>
                <w:b/>
                <w:color w:val="FFFFFF"/>
                <w:sz w:val="18"/>
              </w:rPr>
              <w:t>Name</w:t>
            </w:r>
          </w:p>
        </w:tc>
        <w:tc>
          <w:tcPr>
            <w:tcW w:type="dxa" w:w="2880"/>
            <w:shd w:fill="1a3a5f" w:color="auto" w:val="clear"/>
          </w:tcPr>
          <w:p>
            <w:r/>
            <w:r>
              <w:rPr>
                <w:rFonts w:ascii="Arial" w:hAnsi="Arial"/>
                <w:b/>
                <w:color w:val="FFFFFF"/>
                <w:sz w:val="18"/>
              </w:rPr>
              <w:t>Montreal Parallel</w:t>
            </w:r>
          </w:p>
        </w:tc>
        <w:tc>
          <w:tcPr>
            <w:tcW w:type="dxa" w:w="3024"/>
            <w:shd w:fill="1a3a5f" w:color="auto" w:val="clear"/>
          </w:tcPr>
          <w:p>
            <w:r/>
            <w:r>
              <w:rPr>
                <w:rFonts w:ascii="Arial" w:hAnsi="Arial"/>
                <w:b/>
                <w:color w:val="FFFFFF"/>
                <w:sz w:val="18"/>
              </w:rPr>
              <w:t>HUF Components</w:t>
            </w:r>
          </w:p>
        </w:tc>
      </w:tr>
      <w:tr>
        <w:tc>
          <w:tcPr>
            <w:tcW w:type="dxa" w:w="720"/>
          </w:tcPr>
          <w:p>
            <w:r/>
            <w:r>
              <w:rPr>
                <w:rFonts w:ascii="Arial" w:hAnsi="Arial"/>
                <w:sz w:val="18"/>
              </w:rPr>
              <w:t>4</w:t>
            </w:r>
          </w:p>
        </w:tc>
        <w:tc>
          <w:tcPr>
            <w:tcW w:type="dxa" w:w="2880"/>
          </w:tcPr>
          <w:p>
            <w:r/>
            <w:r>
              <w:rPr>
                <w:rFonts w:ascii="Arial" w:hAnsi="Arial"/>
                <w:sz w:val="18"/>
              </w:rPr>
              <w:t>Institutional Adoption &amp; Oversight</w:t>
            </w:r>
          </w:p>
        </w:tc>
        <w:tc>
          <w:tcPr>
            <w:tcW w:type="dxa" w:w="2880"/>
          </w:tcPr>
          <w:p>
            <w:r/>
            <w:r>
              <w:rPr>
                <w:rFonts w:ascii="Arial" w:hAnsi="Arial"/>
                <w:sz w:val="18"/>
              </w:rPr>
              <w:t>Peter’s intervention: explaining the system, restoring trust</w:t>
            </w:r>
          </w:p>
        </w:tc>
        <w:tc>
          <w:tcPr>
            <w:tcW w:type="dxa" w:w="3024"/>
          </w:tcPr>
          <w:p>
            <w:r/>
            <w:r>
              <w:rPr>
                <w:rFonts w:ascii="Arial" w:hAnsi="Arial"/>
                <w:sz w:val="18"/>
              </w:rPr>
              <w:t>App Notes, KNOB-001, training, certification</w:t>
            </w:r>
          </w:p>
        </w:tc>
      </w:tr>
      <w:tr>
        <w:tc>
          <w:tcPr>
            <w:tcW w:type="dxa" w:w="720"/>
          </w:tcPr>
          <w:p>
            <w:r/>
            <w:r>
              <w:rPr>
                <w:rFonts w:ascii="Arial" w:hAnsi="Arial"/>
                <w:sz w:val="18"/>
              </w:rPr>
              <w:t>3</w:t>
            </w:r>
          </w:p>
        </w:tc>
        <w:tc>
          <w:tcPr>
            <w:tcW w:type="dxa" w:w="2880"/>
          </w:tcPr>
          <w:p>
            <w:r/>
            <w:r>
              <w:rPr>
                <w:rFonts w:ascii="Arial" w:hAnsi="Arial"/>
                <w:sz w:val="18"/>
              </w:rPr>
              <w:t>Drift Detection &amp; Auditability</w:t>
            </w:r>
          </w:p>
        </w:tc>
        <w:tc>
          <w:tcPr>
            <w:tcW w:type="dxa" w:w="2880"/>
          </w:tcPr>
          <w:p>
            <w:r/>
            <w:r>
              <w:rPr>
                <w:rFonts w:ascii="Arial" w:hAnsi="Arial"/>
                <w:sz w:val="18"/>
              </w:rPr>
              <w:t>Would have been: monitoring of procedure compliance</w:t>
            </w:r>
          </w:p>
        </w:tc>
        <w:tc>
          <w:tcPr>
            <w:tcW w:type="dxa" w:w="3024"/>
          </w:tcPr>
          <w:p>
            <w:r/>
            <w:r>
              <w:rPr>
                <w:rFonts w:ascii="Arial" w:hAnsi="Arial"/>
                <w:sz w:val="18"/>
              </w:rPr>
              <w:t>Deceptive drift, forward signal, triad, Spectrum Analyzer</w:t>
            </w:r>
          </w:p>
        </w:tc>
      </w:tr>
      <w:tr>
        <w:tc>
          <w:tcPr>
            <w:tcW w:type="dxa" w:w="720"/>
          </w:tcPr>
          <w:p>
            <w:r/>
            <w:r>
              <w:rPr>
                <w:rFonts w:ascii="Arial" w:hAnsi="Arial"/>
                <w:sz w:val="18"/>
              </w:rPr>
              <w:t>2</w:t>
            </w:r>
          </w:p>
        </w:tc>
        <w:tc>
          <w:tcPr>
            <w:tcW w:type="dxa" w:w="2880"/>
          </w:tcPr>
          <w:p>
            <w:r/>
            <w:r>
              <w:rPr>
                <w:rFonts w:ascii="Arial" w:hAnsi="Arial"/>
                <w:sz w:val="18"/>
              </w:rPr>
              <w:t>Safety Boundaries &amp; Designed Failure</w:t>
            </w:r>
          </w:p>
        </w:tc>
        <w:tc>
          <w:tcPr>
            <w:tcW w:type="dxa" w:w="2880"/>
          </w:tcPr>
          <w:p>
            <w:r/>
            <w:r>
              <w:rPr>
                <w:rFonts w:ascii="Arial" w:hAnsi="Arial"/>
                <w:sz w:val="18"/>
              </w:rPr>
              <w:t>The shear bolt. The safety sensor.</w:t>
            </w:r>
          </w:p>
        </w:tc>
        <w:tc>
          <w:tcPr>
            <w:tcW w:type="dxa" w:w="3024"/>
          </w:tcPr>
          <w:p>
            <w:r/>
            <w:r>
              <w:rPr>
                <w:rFonts w:ascii="Arial" w:hAnsi="Arial"/>
                <w:sz w:val="18"/>
              </w:rPr>
              <w:t>Calibration, metric invariance, orthogonality, headline rule</w:t>
            </w:r>
          </w:p>
        </w:tc>
      </w:tr>
      <w:tr>
        <w:tc>
          <w:tcPr>
            <w:tcW w:type="dxa" w:w="720"/>
          </w:tcPr>
          <w:p>
            <w:r/>
            <w:r>
              <w:rPr>
                <w:rFonts w:ascii="Arial" w:hAnsi="Arial"/>
                <w:sz w:val="18"/>
              </w:rPr>
              <w:t>1</w:t>
            </w:r>
          </w:p>
        </w:tc>
        <w:tc>
          <w:tcPr>
            <w:tcW w:type="dxa" w:w="2880"/>
          </w:tcPr>
          <w:p>
            <w:r/>
            <w:r>
              <w:rPr>
                <w:rFonts w:ascii="Arial" w:hAnsi="Arial"/>
                <w:sz w:val="18"/>
              </w:rPr>
              <w:t>System Capabilities</w:t>
            </w:r>
          </w:p>
        </w:tc>
        <w:tc>
          <w:tcPr>
            <w:tcW w:type="dxa" w:w="2880"/>
          </w:tcPr>
          <w:p>
            <w:r/>
            <w:r>
              <w:rPr>
                <w:rFonts w:ascii="Arial" w:hAnsi="Arial"/>
                <w:sz w:val="18"/>
              </w:rPr>
              <w:t>The six 15-hp motors</w:t>
            </w:r>
          </w:p>
        </w:tc>
        <w:tc>
          <w:tcPr>
            <w:tcW w:type="dxa" w:w="3024"/>
          </w:tcPr>
          <w:p>
            <w:r/>
            <w:r>
              <w:rPr>
                <w:rFonts w:ascii="Arial" w:hAnsi="Arial"/>
                <w:sz w:val="18"/>
              </w:rPr>
              <w:t>Carrier construction, K_eff, velocity/peak, statistics</w:t>
            </w:r>
          </w:p>
        </w:tc>
      </w:tr>
    </w:tbl>
    <w:p/>
    <w:p>
      <w:pPr>
        <w:pStyle w:val="Heading2"/>
      </w:pPr>
      <w:r>
        <w:t>4.3. The Fear-to-Trust Conversion Cycle</w:t>
      </w:r>
    </w:p>
    <w:p>
      <w:r>
        <w:rPr>
          <w:rFonts w:ascii="Arial" w:hAnsi="Arial"/>
        </w:rPr>
        <w:t>HAGF recognizes that governance is not only technical — it is psychological. The framework includes a formal model for converting operator fear into productive confidence:</w:t>
      </w:r>
    </w:p>
    <w:tbl>
      <w:tblPr>
        <w:tblStyle w:val="TableGrid"/>
        <w:tblW w:type="auto" w:w="0"/>
        <w:jc w:val="center"/>
        <w:tblLook w:firstColumn="1" w:firstRow="1" w:lastColumn="0" w:lastRow="0" w:noHBand="0" w:noVBand="1" w:val="04A0"/>
      </w:tblPr>
      <w:tblGrid>
        <w:gridCol w:w="4680"/>
        <w:gridCol w:w="4680"/>
      </w:tblGrid>
      <w:tr>
        <w:tc>
          <w:tcPr>
            <w:tcW w:type="dxa" w:w="2160"/>
            <w:shd w:fill="1a3a5f" w:color="auto" w:val="clear"/>
          </w:tcPr>
          <w:p>
            <w:r/>
            <w:r>
              <w:rPr>
                <w:rFonts w:ascii="Arial" w:hAnsi="Arial"/>
                <w:b/>
                <w:color w:val="FFFFFF"/>
                <w:sz w:val="18"/>
              </w:rPr>
              <w:t>Stage</w:t>
            </w:r>
          </w:p>
        </w:tc>
        <w:tc>
          <w:tcPr>
            <w:tcW w:type="dxa" w:w="7344"/>
            <w:shd w:fill="1a3a5f" w:color="auto" w:val="clear"/>
          </w:tcPr>
          <w:p>
            <w:r/>
            <w:r>
              <w:rPr>
                <w:rFonts w:ascii="Arial" w:hAnsi="Arial"/>
                <w:b/>
                <w:color w:val="FFFFFF"/>
                <w:sz w:val="18"/>
              </w:rPr>
              <w:t>Description</w:t>
            </w:r>
          </w:p>
        </w:tc>
      </w:tr>
      <w:tr>
        <w:tc>
          <w:tcPr>
            <w:tcW w:type="dxa" w:w="2160"/>
          </w:tcPr>
          <w:p>
            <w:r/>
            <w:r>
              <w:rPr>
                <w:rFonts w:ascii="Arial" w:hAnsi="Arial"/>
                <w:sz w:val="18"/>
              </w:rPr>
              <w:t>1. Incident</w:t>
            </w:r>
          </w:p>
        </w:tc>
        <w:tc>
          <w:tcPr>
            <w:tcW w:type="dxa" w:w="7344"/>
          </w:tcPr>
          <w:p>
            <w:r/>
            <w:r>
              <w:rPr>
                <w:rFonts w:ascii="Arial" w:hAnsi="Arial"/>
                <w:sz w:val="18"/>
              </w:rPr>
              <w:t>Something goes wrong or looks threatening. A result is unexpected.</w:t>
            </w:r>
          </w:p>
        </w:tc>
      </w:tr>
      <w:tr>
        <w:tc>
          <w:tcPr>
            <w:tcW w:type="dxa" w:w="2160"/>
          </w:tcPr>
          <w:p>
            <w:r/>
            <w:r>
              <w:rPr>
                <w:rFonts w:ascii="Arial" w:hAnsi="Arial"/>
                <w:sz w:val="18"/>
              </w:rPr>
              <w:t>2. Fear</w:t>
            </w:r>
          </w:p>
        </w:tc>
        <w:tc>
          <w:tcPr>
            <w:tcW w:type="dxa" w:w="7344"/>
          </w:tcPr>
          <w:p>
            <w:r/>
            <w:r>
              <w:rPr>
                <w:rFonts w:ascii="Arial" w:hAnsi="Arial"/>
                <w:sz w:val="18"/>
              </w:rPr>
              <w:t>Operators attribute agency or malice to the system. “The AI is unreliable.”</w:t>
            </w:r>
          </w:p>
        </w:tc>
      </w:tr>
      <w:tr>
        <w:tc>
          <w:tcPr>
            <w:tcW w:type="dxa" w:w="2160"/>
          </w:tcPr>
          <w:p>
            <w:r/>
            <w:r>
              <w:rPr>
                <w:rFonts w:ascii="Arial" w:hAnsi="Arial"/>
                <w:sz w:val="18"/>
              </w:rPr>
              <w:t>3. Explanation</w:t>
            </w:r>
          </w:p>
        </w:tc>
        <w:tc>
          <w:tcPr>
            <w:tcW w:type="dxa" w:w="7344"/>
          </w:tcPr>
          <w:p>
            <w:r/>
            <w:r>
              <w:rPr>
                <w:rFonts w:ascii="Arial" w:hAnsi="Arial"/>
                <w:sz w:val="18"/>
              </w:rPr>
              <w:t>A knowledgeable guide explains the actual mechanism and designed safety.</w:t>
            </w:r>
          </w:p>
        </w:tc>
      </w:tr>
      <w:tr>
        <w:tc>
          <w:tcPr>
            <w:tcW w:type="dxa" w:w="2160"/>
          </w:tcPr>
          <w:p>
            <w:r/>
            <w:r>
              <w:rPr>
                <w:rFonts w:ascii="Arial" w:hAnsi="Arial"/>
                <w:sz w:val="18"/>
              </w:rPr>
              <w:t>4. Reframing</w:t>
            </w:r>
          </w:p>
        </w:tc>
        <w:tc>
          <w:tcPr>
            <w:tcW w:type="dxa" w:w="7344"/>
          </w:tcPr>
          <w:p>
            <w:r/>
            <w:r>
              <w:rPr>
                <w:rFonts w:ascii="Arial" w:hAnsi="Arial"/>
                <w:sz w:val="18"/>
              </w:rPr>
              <w:t>The narrative shifts from “dangerous system” to “powerful tool with governed behavior.”</w:t>
            </w:r>
          </w:p>
        </w:tc>
      </w:tr>
      <w:tr>
        <w:tc>
          <w:tcPr>
            <w:tcW w:type="dxa" w:w="2160"/>
          </w:tcPr>
          <w:p>
            <w:r/>
            <w:r>
              <w:rPr>
                <w:rFonts w:ascii="Arial" w:hAnsi="Arial"/>
                <w:sz w:val="18"/>
              </w:rPr>
              <w:t>5. Restored Trust</w:t>
            </w:r>
          </w:p>
        </w:tc>
        <w:tc>
          <w:tcPr>
            <w:tcW w:type="dxa" w:w="7344"/>
          </w:tcPr>
          <w:p>
            <w:r/>
            <w:r>
              <w:rPr>
                <w:rFonts w:ascii="Arial" w:hAnsi="Arial"/>
                <w:sz w:val="18"/>
              </w:rPr>
              <w:t>Operators understand boundaries, safety mechanisms, and their own role.</w:t>
            </w:r>
          </w:p>
        </w:tc>
      </w:tr>
      <w:tr>
        <w:tc>
          <w:tcPr>
            <w:tcW w:type="dxa" w:w="2160"/>
          </w:tcPr>
          <w:p>
            <w:r/>
            <w:r>
              <w:rPr>
                <w:rFonts w:ascii="Arial" w:hAnsi="Arial"/>
                <w:sz w:val="18"/>
              </w:rPr>
              <w:t>6. Safe Operation</w:t>
            </w:r>
          </w:p>
        </w:tc>
        <w:tc>
          <w:tcPr>
            <w:tcW w:type="dxa" w:w="7344"/>
          </w:tcPr>
          <w:p>
            <w:r/>
            <w:r>
              <w:rPr>
                <w:rFonts w:ascii="Arial" w:hAnsi="Arial"/>
                <w:sz w:val="18"/>
              </w:rPr>
              <w:t>Productive work resumes with appropriate respect for system power.</w:t>
            </w:r>
          </w:p>
        </w:tc>
      </w:tr>
    </w:tbl>
    <w:p/>
    <w:p>
      <w:r>
        <w:rPr>
          <w:rFonts w:ascii="Arial" w:hAnsi="Arial"/>
          <w:b/>
        </w:rPr>
        <w:t xml:space="preserve">Key insight: </w:t>
      </w:r>
      <w:r>
        <w:rPr>
          <w:rFonts w:ascii="Arial" w:hAnsi="Arial"/>
        </w:rPr>
        <w:t>Fear fills the gap where understanding should be. Governance closes that gap.</w:t>
      </w:r>
    </w:p>
    <w:p>
      <w:r>
        <w:br w:type="page"/>
      </w:r>
    </w:p>
    <w:p>
      <w:pPr>
        <w:pStyle w:val="Heading1"/>
      </w:pPr>
      <w:r>
        <w:t>5. Applied Governance Methodology</w:t>
      </w:r>
    </w:p>
    <w:p>
      <w:r>
        <w:rPr>
          <w:rFonts w:ascii="Arial" w:hAnsi="Arial"/>
        </w:rPr>
        <w:t>The HAGF methodology provides a seven-step process for deploying high-capability analytical systems safely, predictably, and transparently.</w:t>
      </w:r>
    </w:p>
    <w:p>
      <w:pPr>
        <w:pStyle w:val="Heading3"/>
      </w:pPr>
      <w:r>
        <w:t>5.1. Step 1: System Characterization</w:t>
      </w:r>
    </w:p>
    <w:p>
      <w:r>
        <w:rPr>
          <w:rFonts w:ascii="Arial" w:hAnsi="Arial"/>
        </w:rPr>
        <w:t>Identify system capabilities, map power domains, define the operational envelope. In HUF terms: define the carrier structure, identify source elements, establish observation cadence.</w:t>
      </w:r>
    </w:p>
    <w:p>
      <w:pPr>
        <w:pStyle w:val="Heading3"/>
      </w:pPr>
      <w:r>
        <w:t>5.2. Step 2: Safety Boundary Engineering</w:t>
      </w:r>
    </w:p>
    <w:p>
      <w:r>
        <w:rPr>
          <w:rFonts w:ascii="Arial" w:hAnsi="Arial"/>
        </w:rPr>
        <w:t>Establish designed-failure points, define non-negotiable constraints, implement automatic fallback modes. In HUF terms: calibration rack (sum-to-unity), metric invariance testing, orthogonality boundary enforcement (GOV/CLS separation).</w:t>
      </w:r>
    </w:p>
    <w:p>
      <w:pPr>
        <w:pStyle w:val="Heading3"/>
      </w:pPr>
      <w:r>
        <w:t>5.3. Step 3: Drift Detection Integration</w:t>
      </w:r>
    </w:p>
    <w:p>
      <w:r>
        <w:rPr>
          <w:rFonts w:ascii="Arial" w:hAnsi="Arial"/>
        </w:rPr>
        <w:t>Baseline system behavior, implement continuous spectral monitoring, establish anomaly thresholds. In HUF terms: compute K_eff baseline, establish drift detection via velocity/peak exceedance, flag the deceptive drift pattern (complexity falling while velocity stays calm).</w:t>
      </w:r>
    </w:p>
    <w:p>
      <w:pPr>
        <w:pStyle w:val="Heading3"/>
      </w:pPr>
      <w:r>
        <w:t>5.4. Step 4: Human Interaction Design</w:t>
      </w:r>
    </w:p>
    <w:p>
      <w:r>
        <w:rPr>
          <w:rFonts w:ascii="Arial" w:hAnsi="Arial"/>
        </w:rPr>
        <w:t>Train operators, implement fear-to-trust conversion, establish clear system explanations. In HUF terms: deploy the Spectrum Analyzer with KNOB-001 vocabulary, provide domain-specific App Notes, run guided demonstrations.</w:t>
      </w:r>
    </w:p>
    <w:p>
      <w:pPr>
        <w:pStyle w:val="Heading3"/>
      </w:pPr>
      <w:r>
        <w:t>5.5. Step 5: Governance Controls</w:t>
      </w:r>
    </w:p>
    <w:p>
      <w:r>
        <w:rPr>
          <w:rFonts w:ascii="Arial" w:hAnsi="Arial"/>
        </w:rPr>
        <w:t>Layer policies, implement access controls, establish review cycles. In HUF terms: session ledgers, collective reports, headline governance rule, three-pass correction methodology.</w:t>
      </w:r>
    </w:p>
    <w:p>
      <w:pPr>
        <w:pStyle w:val="Heading3"/>
      </w:pPr>
      <w:r>
        <w:t>5.6. Step 6: Auditability Infrastructure</w:t>
      </w:r>
    </w:p>
    <w:p>
      <w:r>
        <w:rPr>
          <w:rFonts w:ascii="Arial" w:hAnsi="Arial"/>
        </w:rPr>
        <w:t>Maintain immutable logs, enable reproducible tests, support third-party verification. In HUF terms: structure catalog (STRUCT-001), version-controlled scripts, JSON output with full provenance chain.</w:t>
      </w:r>
    </w:p>
    <w:p>
      <w:pPr>
        <w:pStyle w:val="Heading3"/>
      </w:pPr>
      <w:r>
        <w:t>5.7. Step 7: Incident Response &amp; Trust Restoration</w:t>
      </w:r>
    </w:p>
    <w:p>
      <w:r>
        <w:rPr>
          <w:rFonts w:ascii="Arial" w:hAnsi="Arial"/>
        </w:rPr>
        <w:t>Rapid assessment, root-cause analysis, trust restoration protocol, system re-certification. In HUF terms: metric correction methodology (the L2/TVD correction serves as a worked example), document count reconciliation, headline downgrade protocol.</w:t>
      </w:r>
    </w:p>
    <w:p>
      <w:pPr>
        <w:pStyle w:val="Heading1"/>
      </w:pPr>
      <w:r>
        <w:t>6. The HUF Spectrum Analyzer as Universal Instrument</w:t>
      </w:r>
    </w:p>
    <w:p>
      <w:r>
        <w:rPr>
          <w:rFonts w:ascii="Arial" w:hAnsi="Arial"/>
        </w:rPr>
        <w:t>HAGF’s governance methodology requires a human-readable instrument. The HUF Spectrum Analyzer fulfills this role: a single, self-contained display that accepts any domain’s data through a standardized JSON schema and presents five readings using a fixed vocabulary.</w:t>
      </w:r>
    </w:p>
    <w:p>
      <w:pPr>
        <w:pStyle w:val="Heading2"/>
      </w:pPr>
      <w:r>
        <w:t>6.1. Five Standard Readings (KNOB-001)</w:t>
      </w:r>
    </w:p>
    <w:tbl>
      <w:tblPr>
        <w:tblStyle w:val="TableGrid"/>
        <w:tblW w:type="auto" w:w="0"/>
        <w:jc w:val="center"/>
        <w:tblLook w:firstColumn="1" w:firstRow="1" w:lastColumn="0" w:lastRow="0" w:noHBand="0" w:noVBand="1" w:val="04A0"/>
      </w:tblPr>
      <w:tblGrid>
        <w:gridCol w:w="3120"/>
        <w:gridCol w:w="3120"/>
        <w:gridCol w:w="3120"/>
      </w:tblGrid>
      <w:tr>
        <w:tc>
          <w:tcPr>
            <w:tcW w:type="dxa" w:w="1728"/>
            <w:shd w:fill="1a3a5f" w:color="auto" w:val="clear"/>
          </w:tcPr>
          <w:p>
            <w:r/>
            <w:r>
              <w:rPr>
                <w:rFonts w:ascii="Arial" w:hAnsi="Arial"/>
                <w:b/>
                <w:color w:val="FFFFFF"/>
                <w:sz w:val="18"/>
              </w:rPr>
              <w:t>Knob</w:t>
            </w:r>
          </w:p>
        </w:tc>
        <w:tc>
          <w:tcPr>
            <w:tcW w:type="dxa" w:w="3600"/>
            <w:shd w:fill="1a3a5f" w:color="auto" w:val="clear"/>
          </w:tcPr>
          <w:p>
            <w:r/>
            <w:r>
              <w:rPr>
                <w:rFonts w:ascii="Arial" w:hAnsi="Arial"/>
                <w:b/>
                <w:color w:val="FFFFFF"/>
                <w:sz w:val="18"/>
              </w:rPr>
              <w:t>What It Measures</w:t>
            </w:r>
          </w:p>
        </w:tc>
        <w:tc>
          <w:tcPr>
            <w:tcW w:type="dxa" w:w="4176"/>
            <w:shd w:fill="1a3a5f" w:color="auto" w:val="clear"/>
          </w:tcPr>
          <w:p>
            <w:r/>
            <w:r>
              <w:rPr>
                <w:rFonts w:ascii="Arial" w:hAnsi="Arial"/>
                <w:b/>
                <w:color w:val="FFFFFF"/>
                <w:sz w:val="18"/>
              </w:rPr>
              <w:t>Operator Interpretation</w:t>
            </w:r>
          </w:p>
        </w:tc>
      </w:tr>
      <w:tr>
        <w:tc>
          <w:tcPr>
            <w:tcW w:type="dxa" w:w="1728"/>
          </w:tcPr>
          <w:p>
            <w:r/>
            <w:r>
              <w:rPr>
                <w:rFonts w:ascii="Arial" w:hAnsi="Arial"/>
                <w:sz w:val="18"/>
              </w:rPr>
              <w:t>Source</w:t>
            </w:r>
          </w:p>
        </w:tc>
        <w:tc>
          <w:tcPr>
            <w:tcW w:type="dxa" w:w="3600"/>
          </w:tcPr>
          <w:p>
            <w:r/>
            <w:r>
              <w:rPr>
                <w:rFonts w:ascii="Arial" w:hAnsi="Arial"/>
                <w:sz w:val="18"/>
              </w:rPr>
              <w:t>What the carrier is built from</w:t>
            </w:r>
          </w:p>
        </w:tc>
        <w:tc>
          <w:tcPr>
            <w:tcW w:type="dxa" w:w="4176"/>
          </w:tcPr>
          <w:p>
            <w:r/>
            <w:r>
              <w:rPr>
                <w:rFonts w:ascii="Arial" w:hAnsi="Arial"/>
                <w:sz w:val="18"/>
              </w:rPr>
              <w:t>Fuel types, habitat types, GDP sectors, etc.</w:t>
            </w:r>
          </w:p>
        </w:tc>
      </w:tr>
      <w:tr>
        <w:tc>
          <w:tcPr>
            <w:tcW w:type="dxa" w:w="1728"/>
          </w:tcPr>
          <w:p>
            <w:r/>
            <w:r>
              <w:rPr>
                <w:rFonts w:ascii="Arial" w:hAnsi="Arial"/>
                <w:sz w:val="18"/>
              </w:rPr>
              <w:t>Calibration</w:t>
            </w:r>
          </w:p>
        </w:tc>
        <w:tc>
          <w:tcPr>
            <w:tcW w:type="dxa" w:w="3600"/>
          </w:tcPr>
          <w:p>
            <w:r/>
            <w:r>
              <w:rPr>
                <w:rFonts w:ascii="Arial" w:hAnsi="Arial"/>
                <w:sz w:val="18"/>
              </w:rPr>
              <w:t>Whether proportions sum to unity</w:t>
            </w:r>
          </w:p>
        </w:tc>
        <w:tc>
          <w:tcPr>
            <w:tcW w:type="dxa" w:w="4176"/>
          </w:tcPr>
          <w:p>
            <w:r/>
            <w:r>
              <w:rPr>
                <w:rFonts w:ascii="Arial" w:hAnsi="Arial"/>
                <w:sz w:val="18"/>
              </w:rPr>
              <w:t>Green = valid carrier. Red = data problem.</w:t>
            </w:r>
          </w:p>
        </w:tc>
      </w:tr>
      <w:tr>
        <w:tc>
          <w:tcPr>
            <w:tcW w:type="dxa" w:w="1728"/>
          </w:tcPr>
          <w:p>
            <w:r/>
            <w:r>
              <w:rPr>
                <w:rFonts w:ascii="Arial" w:hAnsi="Arial"/>
                <w:sz w:val="18"/>
              </w:rPr>
              <w:t>Complexity</w:t>
            </w:r>
          </w:p>
        </w:tc>
        <w:tc>
          <w:tcPr>
            <w:tcW w:type="dxa" w:w="3600"/>
          </w:tcPr>
          <w:p>
            <w:r/>
            <w:r>
              <w:rPr>
                <w:rFonts w:ascii="Arial" w:hAnsi="Arial"/>
                <w:sz w:val="18"/>
              </w:rPr>
              <w:t>K_eff — structural diversity</w:t>
            </w:r>
          </w:p>
        </w:tc>
        <w:tc>
          <w:tcPr>
            <w:tcW w:type="dxa" w:w="4176"/>
          </w:tcPr>
          <w:p>
            <w:r/>
            <w:r>
              <w:rPr>
                <w:rFonts w:ascii="Arial" w:hAnsi="Arial"/>
                <w:sz w:val="18"/>
              </w:rPr>
              <w:t>High = diverse. Low = concentrated. Falling = alert.</w:t>
            </w:r>
          </w:p>
        </w:tc>
      </w:tr>
      <w:tr>
        <w:tc>
          <w:tcPr>
            <w:tcW w:type="dxa" w:w="1728"/>
          </w:tcPr>
          <w:p>
            <w:r/>
            <w:r>
              <w:rPr>
                <w:rFonts w:ascii="Arial" w:hAnsi="Arial"/>
                <w:sz w:val="18"/>
              </w:rPr>
              <w:t>Velocity</w:t>
            </w:r>
          </w:p>
        </w:tc>
        <w:tc>
          <w:tcPr>
            <w:tcW w:type="dxa" w:w="3600"/>
          </w:tcPr>
          <w:p>
            <w:r/>
            <w:r>
              <w:rPr>
                <w:rFonts w:ascii="Arial" w:hAnsi="Arial"/>
                <w:sz w:val="18"/>
              </w:rPr>
              <w:t>TVD — total structural change</w:t>
            </w:r>
          </w:p>
        </w:tc>
        <w:tc>
          <w:tcPr>
            <w:tcW w:type="dxa" w:w="4176"/>
          </w:tcPr>
          <w:p>
            <w:r/>
            <w:r>
              <w:rPr>
                <w:rFonts w:ascii="Arial" w:hAnsi="Arial"/>
                <w:sz w:val="18"/>
              </w:rPr>
              <w:t>RMS meter. How much is everything moving?</w:t>
            </w:r>
          </w:p>
        </w:tc>
      </w:tr>
      <w:tr>
        <w:tc>
          <w:tcPr>
            <w:tcW w:type="dxa" w:w="1728"/>
          </w:tcPr>
          <w:p>
            <w:r/>
            <w:r>
              <w:rPr>
                <w:rFonts w:ascii="Arial" w:hAnsi="Arial"/>
                <w:sz w:val="18"/>
              </w:rPr>
              <w:t>Peak</w:t>
            </w:r>
          </w:p>
        </w:tc>
        <w:tc>
          <w:tcPr>
            <w:tcW w:type="dxa" w:w="3600"/>
          </w:tcPr>
          <w:p>
            <w:r/>
            <w:r>
              <w:rPr>
                <w:rFonts w:ascii="Arial" w:hAnsi="Arial"/>
                <w:sz w:val="18"/>
              </w:rPr>
              <w:t>L2 drift — dominant component change</w:t>
            </w:r>
          </w:p>
        </w:tc>
        <w:tc>
          <w:tcPr>
            <w:tcW w:type="dxa" w:w="4176"/>
          </w:tcPr>
          <w:p>
            <w:r/>
            <w:r>
              <w:rPr>
                <w:rFonts w:ascii="Arial" w:hAnsi="Arial"/>
                <w:sz w:val="18"/>
              </w:rPr>
              <w:t>Peak meter. Is one element driving the change?</w:t>
            </w:r>
          </w:p>
        </w:tc>
      </w:tr>
    </w:tbl>
    <w:p/>
    <w:p>
      <w:pPr>
        <w:pStyle w:val="Heading2"/>
      </w:pPr>
      <w:r>
        <w:t>6.2. Deployment Model</w:t>
      </w:r>
    </w:p>
    <w:p>
      <w:r>
        <w:rPr>
          <w:rFonts w:ascii="Arial" w:hAnsi="Arial"/>
        </w:rPr>
        <w:t>The analyzer is delivered as a single, self-contained HTML file with zero external dependencies. It can be emailed, hosted on an intranet, or opened from a USB drive. A domain scientist receives the HTML file and a JSON template for their domain. They populate the template with real data, drop it on the analyzer, and five readings appear in the same vocabulary used at every conference, in every domain, worldwide.</w:t>
      </w:r>
    </w:p>
    <w:p>
      <w:r>
        <w:rPr>
          <w:rFonts w:ascii="Arial" w:hAnsi="Arial"/>
        </w:rPr>
        <w:t>The JSON tells the instrument what it is looking at. The instrument never changes. One receiver, every station. The carrier format is fixed; the content riding on it is domain-specific.</w:t>
      </w:r>
    </w:p>
    <w:p>
      <w:pPr>
        <w:pStyle w:val="Heading1"/>
      </w:pPr>
      <w:r>
        <w:t>7. Domain Evidence</w:t>
      </w:r>
    </w:p>
    <w:p>
      <w:r>
        <w:rPr>
          <w:rFonts w:ascii="Arial" w:hAnsi="Arial"/>
        </w:rPr>
        <w:t>HAGF has been developed alongside active HUF-GOV analysis across multiple domains, providing empirical evidence for the framework’s principles:</w:t>
      </w:r>
    </w:p>
    <w:p>
      <w:r>
        <w:rPr>
          <w:rFonts w:ascii="Arial" w:hAnsi="Arial"/>
          <w:b/>
        </w:rPr>
        <w:t xml:space="preserve">Electricity (EMBER): </w:t>
      </w:r>
      <w:r>
        <w:rPr>
          <w:rFonts w:ascii="Arial" w:hAnsi="Arial"/>
        </w:rPr>
        <w:t>Five-country analysis (Germany, Japan, UK, France, Australia). Deceptive drift detected in Germany pre-2022 gas crisis (p=0.0016). Forward signal pattern validated.</w:t>
      </w:r>
    </w:p>
    <w:p>
      <w:r>
        <w:rPr>
          <w:rFonts w:ascii="Arial" w:hAnsi="Arial"/>
          <w:b/>
        </w:rPr>
        <w:t xml:space="preserve">GDP (World Bank): </w:t>
      </w:r>
      <w:r>
        <w:rPr>
          <w:rFonts w:ascii="Arial" w:hAnsi="Arial"/>
        </w:rPr>
        <w:t>Japan 2008 (p=0.0098) and China 2020 (p=0.0196) structural events detected. Metric invariance confirmed under both L2 and TVD.</w:t>
      </w:r>
    </w:p>
    <w:p>
      <w:r>
        <w:rPr>
          <w:rFonts w:ascii="Arial" w:hAnsi="Arial"/>
          <w:b/>
        </w:rPr>
        <w:t xml:space="preserve">Finance: </w:t>
      </w:r>
      <w:r>
        <w:rPr>
          <w:rFonts w:ascii="Arial" w:hAnsi="Arial"/>
        </w:rPr>
        <w:t>Strongest domain evidence (p&lt;0.001). Forward signal pattern independently viable.</w:t>
      </w:r>
    </w:p>
    <w:p>
      <w:r>
        <w:rPr>
          <w:rFonts w:ascii="Arial" w:hAnsi="Arial"/>
          <w:b/>
        </w:rPr>
        <w:t xml:space="preserve">Wetlands (Ramsar): </w:t>
      </w:r>
      <w:r>
        <w:rPr>
          <w:rFonts w:ascii="Arial" w:hAnsi="Arial"/>
        </w:rPr>
        <w:t>Template prepared with simulated data for two sites (Kakadu, Doñana). Demonstrates deceptive drift pattern in habitat diversity.</w:t>
      </w:r>
    </w:p>
    <w:p>
      <w:r>
        <w:rPr>
          <w:rFonts w:ascii="Arial" w:hAnsi="Arial"/>
          <w:b/>
        </w:rPr>
        <w:t xml:space="preserve">OWID Energy: </w:t>
      </w:r>
      <w:r>
        <w:rPr>
          <w:rFonts w:ascii="Arial" w:hAnsi="Arial"/>
        </w:rPr>
        <w:t>China divergence detected — TVD adds drift years that L2 misses, demonstrating why dual-metric governance matters.</w:t>
      </w:r>
    </w:p>
    <w:p>
      <w:pPr>
        <w:pStyle w:val="Heading1"/>
      </w:pPr>
      <w:r>
        <w:t>8. Standards Alignment</w:t>
      </w:r>
    </w:p>
    <w:p>
      <w:r>
        <w:rPr>
          <w:rFonts w:ascii="Arial" w:hAnsi="Arial"/>
        </w:rPr>
        <w:t>HAGF is designed to complement existing governance standards rather than replace them:</w:t>
      </w:r>
    </w:p>
    <w:p>
      <w:r>
        <w:rPr>
          <w:rFonts w:ascii="Arial" w:hAnsi="Arial"/>
          <w:b/>
        </w:rPr>
        <w:t xml:space="preserve">ISO/IEC 42001 (AI Management System) — </w:t>
      </w:r>
      <w:r>
        <w:rPr>
          <w:rFonts w:ascii="Arial" w:hAnsi="Arial"/>
        </w:rPr>
        <w:t>HAGF provides the domain-specific instrumentation layer that 42001 requires but does not specify.</w:t>
      </w:r>
    </w:p>
    <w:p>
      <w:r>
        <w:rPr>
          <w:rFonts w:ascii="Arial" w:hAnsi="Arial"/>
          <w:b/>
        </w:rPr>
        <w:t xml:space="preserve">ISO/IEC 23894 (AI Risk Management) — </w:t>
      </w:r>
      <w:r>
        <w:rPr>
          <w:rFonts w:ascii="Arial" w:hAnsi="Arial"/>
        </w:rPr>
        <w:t>HAGF’s drift detection and forward signal methodology directly operationalizes the continuous monitoring that 23894 recommends.</w:t>
      </w:r>
    </w:p>
    <w:p>
      <w:r>
        <w:rPr>
          <w:rFonts w:ascii="Arial" w:hAnsi="Arial"/>
          <w:b/>
        </w:rPr>
        <w:t xml:space="preserve">IEC 61508 (Functional Safety) — </w:t>
      </w:r>
      <w:r>
        <w:rPr>
          <w:rFonts w:ascii="Arial" w:hAnsi="Arial"/>
        </w:rPr>
        <w:t>HAGF’s Shear-Bolt Principle extends functional safety concepts from physical systems to analytical ones.</w:t>
      </w:r>
    </w:p>
    <w:p>
      <w:r>
        <w:rPr>
          <w:rFonts w:ascii="Arial" w:hAnsi="Arial"/>
          <w:b/>
        </w:rPr>
        <w:t xml:space="preserve">NIST AI RMF — </w:t>
      </w:r>
      <w:r>
        <w:rPr>
          <w:rFonts w:ascii="Arial" w:hAnsi="Arial"/>
        </w:rPr>
        <w:t>HAGF’s seven principles map to NIST’s Govern, Map, Measure, and Manage functions.</w:t>
      </w:r>
    </w:p>
    <w:p>
      <w:r>
        <w:rPr>
          <w:rFonts w:ascii="Arial" w:hAnsi="Arial"/>
        </w:rPr>
        <w:t>What HAGF adds that existing standards lack: the designed-failure principle from industrial safety, the fear-to-trust conversion cycle as psychological governance, drift detection as continuous governance rather than periodic audit, and operator-level vocabulary standardization.</w:t>
      </w:r>
    </w:p>
    <w:p>
      <w:pPr>
        <w:pStyle w:val="Heading1"/>
      </w:pPr>
      <w:r>
        <w:t>9. Training and Deployment</w:t>
      </w:r>
    </w:p>
    <w:p>
      <w:r>
        <w:rPr>
          <w:rFonts w:ascii="Arial" w:hAnsi="Arial"/>
        </w:rPr>
        <w:t>HAGF includes a structured training pathway. The module “From Fear to Mastery” consists of six modules totaling approximately four hours: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008"/>
            <w:shd w:fill="1a3a5f" w:color="auto" w:val="clear"/>
          </w:tcPr>
          <w:p>
            <w:r/>
            <w:r>
              <w:rPr>
                <w:rFonts w:ascii="Arial" w:hAnsi="Arial"/>
                <w:b/>
                <w:color w:val="FFFFFF"/>
                <w:sz w:val="18"/>
              </w:rPr>
              <w:t>Module</w:t>
            </w:r>
          </w:p>
        </w:tc>
        <w:tc>
          <w:tcPr>
            <w:tcW w:type="dxa" w:w="3168"/>
            <w:shd w:fill="1a3a5f" w:color="auto" w:val="clear"/>
          </w:tcPr>
          <w:p>
            <w:r/>
            <w:r>
              <w:rPr>
                <w:rFonts w:ascii="Arial" w:hAnsi="Arial"/>
                <w:b/>
                <w:color w:val="FFFFFF"/>
                <w:sz w:val="18"/>
              </w:rPr>
              <w:t>Title</w:t>
            </w:r>
          </w:p>
        </w:tc>
        <w:tc>
          <w:tcPr>
            <w:tcW w:type="dxa" w:w="1152"/>
            <w:shd w:fill="1a3a5f" w:color="auto" w:val="clear"/>
          </w:tcPr>
          <w:p>
            <w:r/>
            <w:r>
              <w:rPr>
                <w:rFonts w:ascii="Arial" w:hAnsi="Arial"/>
                <w:b/>
                <w:color w:val="FFFFFF"/>
                <w:sz w:val="18"/>
              </w:rPr>
              <w:t>Duration</w:t>
            </w:r>
          </w:p>
        </w:tc>
        <w:tc>
          <w:tcPr>
            <w:tcW w:type="dxa" w:w="4176"/>
            <w:shd w:fill="1a3a5f" w:color="auto" w:val="clear"/>
          </w:tcPr>
          <w:p>
            <w:r/>
            <w:r>
              <w:rPr>
                <w:rFonts w:ascii="Arial" w:hAnsi="Arial"/>
                <w:b/>
                <w:color w:val="FFFFFF"/>
                <w:sz w:val="18"/>
              </w:rPr>
              <w:t>Outcome</w:t>
            </w:r>
          </w:p>
        </w:tc>
      </w:tr>
      <w:tr>
        <w:tc>
          <w:tcPr>
            <w:tcW w:type="dxa" w:w="1008"/>
          </w:tcPr>
          <w:p>
            <w:r/>
            <w:r>
              <w:rPr>
                <w:rFonts w:ascii="Arial" w:hAnsi="Arial"/>
                <w:sz w:val="18"/>
              </w:rPr>
              <w:t>1</w:t>
            </w:r>
          </w:p>
        </w:tc>
        <w:tc>
          <w:tcPr>
            <w:tcW w:type="dxa" w:w="3168"/>
          </w:tcPr>
          <w:p>
            <w:r/>
            <w:r>
              <w:rPr>
                <w:rFonts w:ascii="Arial" w:hAnsi="Arial"/>
                <w:sz w:val="18"/>
              </w:rPr>
              <w:t>The Montreal Incident</w:t>
            </w:r>
          </w:p>
        </w:tc>
        <w:tc>
          <w:tcPr>
            <w:tcW w:type="dxa" w:w="1152"/>
          </w:tcPr>
          <w:p>
            <w:r/>
            <w:r>
              <w:rPr>
                <w:rFonts w:ascii="Arial" w:hAnsi="Arial"/>
                <w:sz w:val="18"/>
              </w:rPr>
              <w:t>30 min</w:t>
            </w:r>
          </w:p>
        </w:tc>
        <w:tc>
          <w:tcPr>
            <w:tcW w:type="dxa" w:w="4176"/>
          </w:tcPr>
          <w:p>
            <w:r/>
            <w:r>
              <w:rPr>
                <w:rFonts w:ascii="Arial" w:hAnsi="Arial"/>
                <w:sz w:val="18"/>
              </w:rPr>
              <w:t>Understand that powerful systems require governance, not fear.</w:t>
            </w:r>
          </w:p>
        </w:tc>
      </w:tr>
      <w:tr>
        <w:tc>
          <w:tcPr>
            <w:tcW w:type="dxa" w:w="1008"/>
          </w:tcPr>
          <w:p>
            <w:r/>
            <w:r>
              <w:rPr>
                <w:rFonts w:ascii="Arial" w:hAnsi="Arial"/>
                <w:sz w:val="18"/>
              </w:rPr>
              <w:t>2</w:t>
            </w:r>
          </w:p>
        </w:tc>
        <w:tc>
          <w:tcPr>
            <w:tcW w:type="dxa" w:w="3168"/>
          </w:tcPr>
          <w:p>
            <w:r/>
            <w:r>
              <w:rPr>
                <w:rFonts w:ascii="Arial" w:hAnsi="Arial"/>
                <w:sz w:val="18"/>
              </w:rPr>
              <w:t>HUF-GOV &amp; The Five Knobs</w:t>
            </w:r>
          </w:p>
        </w:tc>
        <w:tc>
          <w:tcPr>
            <w:tcW w:type="dxa" w:w="1152"/>
          </w:tcPr>
          <w:p>
            <w:r/>
            <w:r>
              <w:rPr>
                <w:rFonts w:ascii="Arial" w:hAnsi="Arial"/>
                <w:sz w:val="18"/>
              </w:rPr>
              <w:t>45 min</w:t>
            </w:r>
          </w:p>
        </w:tc>
        <w:tc>
          <w:tcPr>
            <w:tcW w:type="dxa" w:w="4176"/>
          </w:tcPr>
          <w:p>
            <w:r/>
            <w:r>
              <w:rPr>
                <w:rFonts w:ascii="Arial" w:hAnsi="Arial"/>
                <w:sz w:val="18"/>
              </w:rPr>
              <w:t>Read and interpret a HUF Spectrum Analyzer display.</w:t>
            </w:r>
          </w:p>
        </w:tc>
      </w:tr>
      <w:tr>
        <w:tc>
          <w:tcPr>
            <w:tcW w:type="dxa" w:w="1008"/>
          </w:tcPr>
          <w:p>
            <w:r/>
            <w:r>
              <w:rPr>
                <w:rFonts w:ascii="Arial" w:hAnsi="Arial"/>
                <w:sz w:val="18"/>
              </w:rPr>
              <w:t>3</w:t>
            </w:r>
          </w:p>
        </w:tc>
        <w:tc>
          <w:tcPr>
            <w:tcW w:type="dxa" w:w="3168"/>
          </w:tcPr>
          <w:p>
            <w:r/>
            <w:r>
              <w:rPr>
                <w:rFonts w:ascii="Arial" w:hAnsi="Arial"/>
                <w:sz w:val="18"/>
              </w:rPr>
              <w:t>HAGF Governance Principles</w:t>
            </w:r>
          </w:p>
        </w:tc>
        <w:tc>
          <w:tcPr>
            <w:tcW w:type="dxa" w:w="1152"/>
          </w:tcPr>
          <w:p>
            <w:r/>
            <w:r>
              <w:rPr>
                <w:rFonts w:ascii="Arial" w:hAnsi="Arial"/>
                <w:sz w:val="18"/>
              </w:rPr>
              <w:t>30 min</w:t>
            </w:r>
          </w:p>
        </w:tc>
        <w:tc>
          <w:tcPr>
            <w:tcW w:type="dxa" w:w="4176"/>
          </w:tcPr>
          <w:p>
            <w:r/>
            <w:r>
              <w:rPr>
                <w:rFonts w:ascii="Arial" w:hAnsi="Arial"/>
                <w:sz w:val="18"/>
              </w:rPr>
              <w:t>Identify which HAGF principle applies to a given scenario.</w:t>
            </w:r>
          </w:p>
        </w:tc>
      </w:tr>
      <w:tr>
        <w:tc>
          <w:tcPr>
            <w:tcW w:type="dxa" w:w="1008"/>
          </w:tcPr>
          <w:p>
            <w:r/>
            <w:r>
              <w:rPr>
                <w:rFonts w:ascii="Arial" w:hAnsi="Arial"/>
                <w:sz w:val="18"/>
              </w:rPr>
              <w:t>4</w:t>
            </w:r>
          </w:p>
        </w:tc>
        <w:tc>
          <w:tcPr>
            <w:tcW w:type="dxa" w:w="3168"/>
          </w:tcPr>
          <w:p>
            <w:r/>
            <w:r>
              <w:rPr>
                <w:rFonts w:ascii="Arial" w:hAnsi="Arial"/>
                <w:sz w:val="18"/>
              </w:rPr>
              <w:t>Drift Detection &amp; Forward Signals</w:t>
            </w:r>
          </w:p>
        </w:tc>
        <w:tc>
          <w:tcPr>
            <w:tcW w:type="dxa" w:w="1152"/>
          </w:tcPr>
          <w:p>
            <w:r/>
            <w:r>
              <w:rPr>
                <w:rFonts w:ascii="Arial" w:hAnsi="Arial"/>
                <w:sz w:val="18"/>
              </w:rPr>
              <w:t>45 min</w:t>
            </w:r>
          </w:p>
        </w:tc>
        <w:tc>
          <w:tcPr>
            <w:tcW w:type="dxa" w:w="4176"/>
          </w:tcPr>
          <w:p>
            <w:r/>
            <w:r>
              <w:rPr>
                <w:rFonts w:ascii="Arial" w:hAnsi="Arial"/>
                <w:sz w:val="18"/>
              </w:rPr>
              <w:t>Recognize deceptive drift and understand its implications.</w:t>
            </w:r>
          </w:p>
        </w:tc>
      </w:tr>
      <w:tr>
        <w:tc>
          <w:tcPr>
            <w:tcW w:type="dxa" w:w="1008"/>
          </w:tcPr>
          <w:p>
            <w:r/>
            <w:r>
              <w:rPr>
                <w:rFonts w:ascii="Arial" w:hAnsi="Arial"/>
                <w:sz w:val="18"/>
              </w:rPr>
              <w:t>5</w:t>
            </w:r>
          </w:p>
        </w:tc>
        <w:tc>
          <w:tcPr>
            <w:tcW w:type="dxa" w:w="3168"/>
          </w:tcPr>
          <w:p>
            <w:r/>
            <w:r>
              <w:rPr>
                <w:rFonts w:ascii="Arial" w:hAnsi="Arial"/>
                <w:sz w:val="18"/>
              </w:rPr>
              <w:t>Hands-On Exercises</w:t>
            </w:r>
          </w:p>
        </w:tc>
        <w:tc>
          <w:tcPr>
            <w:tcW w:type="dxa" w:w="1152"/>
          </w:tcPr>
          <w:p>
            <w:r/>
            <w:r>
              <w:rPr>
                <w:rFonts w:ascii="Arial" w:hAnsi="Arial"/>
                <w:sz w:val="18"/>
              </w:rPr>
              <w:t>60 min</w:t>
            </w:r>
          </w:p>
        </w:tc>
        <w:tc>
          <w:tcPr>
            <w:tcW w:type="dxa" w:w="4176"/>
          </w:tcPr>
          <w:p>
            <w:r/>
            <w:r>
              <w:rPr>
                <w:rFonts w:ascii="Arial" w:hAnsi="Arial"/>
                <w:sz w:val="18"/>
              </w:rPr>
              <w:t>Operate the Spectrum Analyzer independently on new domain data.</w:t>
            </w:r>
          </w:p>
        </w:tc>
      </w:tr>
      <w:tr>
        <w:tc>
          <w:tcPr>
            <w:tcW w:type="dxa" w:w="1008"/>
          </w:tcPr>
          <w:p>
            <w:r/>
            <w:r>
              <w:rPr>
                <w:rFonts w:ascii="Arial" w:hAnsi="Arial"/>
                <w:sz w:val="18"/>
              </w:rPr>
              <w:t>6</w:t>
            </w:r>
          </w:p>
        </w:tc>
        <w:tc>
          <w:tcPr>
            <w:tcW w:type="dxa" w:w="3168"/>
          </w:tcPr>
          <w:p>
            <w:r/>
            <w:r>
              <w:rPr>
                <w:rFonts w:ascii="Arial" w:hAnsi="Arial"/>
                <w:sz w:val="18"/>
              </w:rPr>
              <w:t>Incident Response Under HAGF</w:t>
            </w:r>
          </w:p>
        </w:tc>
        <w:tc>
          <w:tcPr>
            <w:tcW w:type="dxa" w:w="1152"/>
          </w:tcPr>
          <w:p>
            <w:r/>
            <w:r>
              <w:rPr>
                <w:rFonts w:ascii="Arial" w:hAnsi="Arial"/>
                <w:sz w:val="18"/>
              </w:rPr>
              <w:t>30 min</w:t>
            </w:r>
          </w:p>
        </w:tc>
        <w:tc>
          <w:tcPr>
            <w:tcW w:type="dxa" w:w="4176"/>
          </w:tcPr>
          <w:p>
            <w:r/>
            <w:r>
              <w:rPr>
                <w:rFonts w:ascii="Arial" w:hAnsi="Arial"/>
                <w:sz w:val="18"/>
              </w:rPr>
              <w:t>Handle unexpected results using HAGF methodology.</w:t>
            </w:r>
          </w:p>
        </w:tc>
      </w:tr>
    </w:tbl>
    <w:p/>
    <w:p>
      <w:r>
        <w:rPr>
          <w:rFonts w:ascii="Arial" w:hAnsi="Arial"/>
        </w:rPr>
        <w:t>Completion of all modules and a scenario-based assessment leads to an HAGF Operator Certificate.</w:t>
      </w:r>
    </w:p>
    <w:p>
      <w:pPr>
        <w:pStyle w:val="Heading1"/>
      </w:pPr>
      <w:r>
        <w:t>10. Conclusion</w:t>
      </w:r>
    </w:p>
    <w:p>
      <w:r>
        <w:rPr>
          <w:rFonts w:ascii="Arial" w:hAnsi="Arial"/>
        </w:rPr>
        <w:t>HAGF demonstrates that the governance challenge for AI and high-capability analytical systems is not new. Industrial safety solved the same problem decades ago: powerful systems, frightened operators, the need for designed failure and clear communication.</w:t>
      </w:r>
    </w:p>
    <w:p>
      <w:r>
        <w:rPr>
          <w:rFonts w:ascii="Arial" w:hAnsi="Arial"/>
        </w:rPr>
        <w:t>The framework translates that lived experience into a formal methodology: seven principles, four governance layers, a seven-step deployment process, a universal instrument, and a training pathway. It is aligned with existing standards, tested across multiple domains with conditional forward-signal evidence, and designed for institutional adoption. Full closure awaits split-sample validation of non-finance findings and real-data Ramsar engagement.</w:t>
      </w:r>
    </w:p>
    <w:p>
      <w:r>
        <w:rPr>
          <w:rFonts w:ascii="Arial" w:hAnsi="Arial"/>
          <w:b/>
          <w:i/>
        </w:rPr>
        <w:t>Respect the power. Understand the boundaries. Return to work.</w:t>
      </w:r>
    </w:p>
    <w:p>
      <w:r>
        <w:rPr>
          <w:rFonts w:ascii="Arial" w:hAnsi="Arial"/>
        </w:rPr>
        <w:t>That is HAGF. That is applied governance. The architecture is sound; the evidence is growing; the instrument is ready.</w:t>
      </w:r>
    </w:p>
    <w:p>
      <w:pPr>
        <w:spacing w:before="600"/>
      </w:pPr>
      <w:r>
        <w:rPr>
          <w:rFonts w:ascii="Arial" w:hAnsi="Arial"/>
        </w:rPr>
      </w:r>
    </w:p>
    <w:p>
      <w:pPr>
        <w:pBdr>
          <w:top w:val="single" w:sz="8" w:space="4" w:color="CCCCCC"/>
        </w:pBdr>
      </w:pPr>
      <w:r>
        <w:rPr>
          <w:rFonts w:ascii="Arial" w:hAnsi="Arial"/>
          <w:color w:val="888888"/>
          <w:sz w:val="18"/>
        </w:rPr>
        <w:t>HAGF v1.0 — DRAFT — March 22, 2026</w:t>
      </w:r>
    </w:p>
    <w:p>
      <w:r>
        <w:rPr>
          <w:rFonts w:ascii="Arial" w:hAnsi="Arial"/>
          <w:color w:val="888888"/>
          <w:sz w:val="18"/>
        </w:rPr>
        <w:t>Peter Higgins / Rogue Wave Audio — with Claude (Anthropic), Copilot (Microsoft), ChatGPT (OpenAI)</w:t>
      </w:r>
    </w:p>
    <w:p>
      <w:r>
        <w:rPr>
          <w:rFonts w:ascii="Arial" w:hAnsi="Arial"/>
          <w:i/>
          <w:color w:val="888888"/>
          <w:sz w:val="18"/>
        </w:rPr>
        <w:t>This document demonstrates HAGF Principle 5 (Human Primacy): the human directed, the systems contributed, the human decided.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1A3A5F"/>
      <w:sz w:val="36"/>
      <w:szCs w:val="28"/>
    </w:rPr>
  </w:style>
  <w:style w:type="paragraph" w:styleId="Heading2">
    <w:name w:val="heading 2"/>
    <w:basedOn w:val="Normal"/>
    <w:next w:val="Normal"/>
    <w:link w:val="Heading2Char"/>
    <w:uiPriority w:val="9"/>
    <w:unhideWhenUsed/>
    <w:qFormat/>
    <w:rsid w:val="00FC693F"/>
    <w:pPr>
      <w:keepNext/>
      <w:keepLines/>
      <w:spacing w:before="280" w:after="200"/>
      <w:outlineLvl w:val="1"/>
    </w:pPr>
    <w:rPr>
      <w:rFonts w:asciiTheme="majorHAnsi" w:eastAsiaTheme="majorEastAsia" w:hAnsiTheme="majorHAnsi" w:cstheme="majorBidi" w:ascii="Arial" w:hAnsi="Arial"/>
      <w:b/>
      <w:bCs/>
      <w:color w:val="2A5A8F"/>
      <w:sz w:val="30"/>
      <w:szCs w:val="26"/>
    </w:rPr>
  </w:style>
  <w:style w:type="paragraph" w:styleId="Heading3">
    <w:name w:val="heading 3"/>
    <w:basedOn w:val="Normal"/>
    <w:next w:val="Normal"/>
    <w:link w:val="Heading3Char"/>
    <w:uiPriority w:val="9"/>
    <w:unhideWhenUsed/>
    <w:qFormat/>
    <w:rsid w:val="00FC693F"/>
    <w:pPr>
      <w:keepNext/>
      <w:keepLines/>
      <w:spacing w:before="280" w:after="200"/>
      <w:outlineLvl w:val="2"/>
    </w:pPr>
    <w:rPr>
      <w:rFonts w:asciiTheme="majorHAnsi" w:eastAsiaTheme="majorEastAsia" w:hAnsiTheme="majorHAnsi" w:cstheme="majorBidi" w:ascii="Arial" w:hAnsi="Arial"/>
      <w:b/>
      <w:bCs/>
      <w:color w:val="3A6A9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