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color w:val="2E75B6"/>
          <w:spacing w:val="120"/>
          <w:sz w:val="20"/>
          <w:szCs w:val="20"/>
        </w:rPr>
        <w:t xml:space="preserve">HIGGINS UNITY FRAMEWORK</w:t>
      </w:r>
    </w:p>
    <w:p>
      <w:pPr>
        <w:pBdr>
          <w:bottom w:val="single" w:color="2E75B6" w:sz="6" w:space="1"/>
        </w:pBdr>
        <w:spacing w:after="0" w:before="0"/>
        <w:jc w:val="center"/>
      </w:pPr>
      <w:r>
        <w:rPr>
          <w:rFonts w:ascii="Times New Roman" w:cs="Times New Roman" w:eastAsia="Times New Roman" w:hAnsi="Times New Roman"/>
          <w:b/>
          <w:bCs/>
          <w:color w:val="1F3864"/>
          <w:sz w:val="36"/>
          <w:szCs w:val="36"/>
        </w:rPr>
        <w:t xml:space="preserve">Advanced Theory and Concepts</w:t>
      </w:r>
    </w:p>
    <w:p>
      <w:pPr>
        <w:spacing w:after="60" w:before="120"/>
        <w:jc w:val="center"/>
      </w:pPr>
      <w:r>
        <w:rPr>
          <w:rFonts w:ascii="Times New Roman" w:cs="Times New Roman" w:eastAsia="Times New Roman" w:hAnsi="Times New Roman"/>
          <w:i/>
          <w:iCs/>
          <w:color w:val="333333"/>
          <w:sz w:val="24"/>
          <w:szCs w:val="24"/>
        </w:rPr>
        <w:t xml:space="preserve">Engineering Edition — The Context Book</w:t>
      </w:r>
    </w:p>
    <w:p>
      <w:pPr>
        <w:spacing w:after="60" w:before="0"/>
        <w:jc w:val="center"/>
      </w:pPr>
      <w:r>
        <w:rPr>
          <w:rFonts w:ascii="Times New Roman" w:cs="Times New Roman" w:eastAsia="Times New Roman" w:hAnsi="Times New Roman"/>
          <w:i/>
          <w:iCs/>
          <w:color w:val="2E75B6"/>
          <w:sz w:val="20"/>
          <w:szCs w:val="20"/>
        </w:rPr>
        <w:t xml:space="preserve">Paired with: HUF Advanced Mathematics Reference — Engineering Edition (The Math Book)</w:t>
      </w:r>
    </w:p>
    <w:p>
      <w:pPr>
        <w:spacing w:after="0" w:before="60"/>
        <w:jc w:val="center"/>
      </w:pPr>
      <w:r>
        <w:rPr>
          <w:rFonts w:ascii="Times New Roman" w:cs="Times New Roman" w:eastAsia="Times New Roman" w:hAnsi="Times New Roman"/>
          <w:color w:val="666666"/>
          <w:sz w:val="18"/>
          <w:szCs w:val="18"/>
        </w:rPr>
        <w:t xml:space="preserve">Corpus Reference: HUF-CONTEXT-04  •  Date: 17 March 2026</w:t>
      </w:r>
    </w:p>
    <w:p>
      <w:pPr>
        <w:spacing w:after="300" w:before="60"/>
        <w:jc w:val="center"/>
      </w:pPr>
      <w:r>
        <w:rPr>
          <w:rFonts w:ascii="Times New Roman" w:cs="Times New Roman" w:eastAsia="Times New Roman" w:hAnsi="Times New Roman"/>
          <w:color w:val="666666"/>
          <w:sz w:val="18"/>
          <w:szCs w:val="18"/>
        </w:rPr>
        <w:t xml:space="preserve">Framework Originator: Peter Higgins  •  Narrative: Claude (Anthropic)</w:t>
      </w:r>
    </w:p>
    <w:p>
      <w:pPr>
        <w:pStyle w:val="Heading1"/>
        <w:spacing w:after="200" w:before="360"/>
      </w:pPr>
      <w:r>
        <w:rPr>
          <w:rFonts w:ascii="Times New Roman" w:cs="Times New Roman" w:eastAsia="Times New Roman" w:hAnsi="Times New Roman"/>
          <w:b/>
          <w:bCs/>
          <w:color w:val="1F3864"/>
          <w:sz w:val="28"/>
          <w:szCs w:val="28"/>
        </w:rPr>
        <w:t xml:space="preserve">Preface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book provides the conceptual narrative, engineering motivation, and operational interpretation for the Higgins Unity Framework, addressed to engineers — process, systems, control, industrial, and reliability engineers. It is one half of a pair. The companion volume — the Math Book — contains the complete formal mathematics.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is the most operationally immediate edition. The CL pipeline is a control loop; the calibration is IMC-PID; the robustness analysis uses sensitivity functions and the small-gain theorem. Engineers will find themselves on home ground throughout.</w:t>
      </w:r>
    </w:p>
    <w:p>
      <w:pPr>
        <w:spacing w:after="160" w:before="0"/>
        <w:jc w:val="both"/>
      </w:pPr>
      <w:r>
        <w:rPr>
          <w:rFonts w:ascii="Times New Roman" w:cs="Times New Roman" w:eastAsia="Times New Roman" w:hAnsi="Times New Roman"/>
          <w:b/>
          <w:bCs/>
          <w:color w:val="333333"/>
          <w:sz w:val="22"/>
          <w:szCs w:val="22"/>
        </w:rPr>
        <w:t xml:space="preserve">For the engineer: </w:t>
      </w:r>
      <w:r>
        <w:rPr>
          <w:rFonts w:ascii="Times New Roman" w:cs="Times New Roman" w:eastAsia="Times New Roman" w:hAnsi="Times New Roman"/>
          <w:color w:val="333333"/>
          <w:sz w:val="22"/>
          <w:szCs w:val="22"/>
        </w:rPr>
        <w:t xml:space="preserve">HUF monitors ratio portfolios — systems where the relevant quantities are proportional shares of a finite total. You already know these as product mix ratios in manufacturing, energy budget fractions in HVAC, resource allocation vectors in project management, and fault mode distributions in reliability analysis. The mathematical machinery (simplices, entropy, total variation) formalises what process engineers do when they track "what fraction of total output comes from each product line" or "what fraction of total downtime comes from each failure mode."</w:t>
      </w:r>
    </w:p>
    <w:p>
      <w:pPr>
        <w:spacing w:after="160" w:before="0"/>
        <w:jc w:val="both"/>
      </w:pPr>
      <w:r>
        <w:rPr>
          <w:rFonts w:ascii="Times New Roman" w:cs="Times New Roman" w:eastAsia="Times New Roman" w:hAnsi="Times New Roman"/>
          <w:b/>
          <w:bCs/>
          <w:color w:val="333333"/>
          <w:sz w:val="22"/>
          <w:szCs w:val="22"/>
        </w:rPr>
        <w:t xml:space="preserve">Reading guide: </w:t>
      </w:r>
      <w:r>
        <w:rPr>
          <w:rFonts w:ascii="Times New Roman" w:cs="Times New Roman" w:eastAsia="Times New Roman" w:hAnsi="Times New Roman"/>
          <w:color w:val="333333"/>
          <w:sz w:val="22"/>
          <w:szCs w:val="22"/>
        </w:rPr>
        <w:t xml:space="preserve">Chapter 1 introduces the carrier (ρ). Chapter 2 introduces the observable (Keff). Chapters 3–4 present the control pipeline — this is a standard feedback loop with PLL heritage. Chapter 5 covers calibration using IMC-PID, your native tuning methodology. Chapter 6 develops the amplification network. Chapter 7 synthesises and outlines the validation path.</w:t>
      </w:r>
    </w:p>
    <w:p>
      <w:pPr>
        <w:spacing w:after="160" w:before="0"/>
        <w:jc w:val="both"/>
      </w:pPr>
      <w:r>
        <w:rPr>
          <w:rFonts w:ascii="Times New Roman" w:cs="Times New Roman" w:eastAsia="Times New Roman" w:hAnsi="Times New Roman"/>
          <w:b/>
          <w:bCs/>
          <w:color w:val="333333"/>
          <w:sz w:val="22"/>
          <w:szCs w:val="22"/>
        </w:rPr>
        <w:t xml:space="preserve">Derivation note: </w:t>
      </w:r>
      <w:r>
        <w:rPr>
          <w:rFonts w:ascii="Times New Roman" w:cs="Times New Roman" w:eastAsia="Times New Roman" w:hAnsi="Times New Roman"/>
          <w:color w:val="333333"/>
          <w:sz w:val="22"/>
          <w:szCs w:val="22"/>
        </w:rPr>
        <w:t xml:space="preserve">This edition is derived from the Mathematician’s Edition by controlled subtraction: the same codebook, the same CL sequence, the same 27 formal results — but with engineering examples from process control, systems engineering, and industrial monitoring.</w:t>
      </w:r>
    </w:p>
    <w:p>
      <w:r>
        <w:br w:type="page"/>
      </w:r>
    </w:p>
    <w:p>
      <w:pPr>
        <w:pStyle w:val="Heading1"/>
        <w:spacing w:after="200" w:before="360"/>
      </w:pPr>
      <w:r>
        <w:rPr>
          <w:rFonts w:ascii="Times New Roman" w:cs="Times New Roman" w:eastAsia="Times New Roman" w:hAnsi="Times New Roman"/>
          <w:b/>
          <w:bCs/>
          <w:color w:val="1F3864"/>
          <w:sz w:val="28"/>
          <w:szCs w:val="28"/>
        </w:rPr>
        <w:t xml:space="preserve">§1  The Ratio-State Carrier</w:t>
      </w:r>
    </w:p>
    <w:p>
      <w:pPr>
        <w:spacing w:after="160" w:before="0"/>
        <w:ind w:left="480"/>
        <w:jc w:val="both"/>
      </w:pPr>
      <w:r>
        <w:rPr>
          <w:rFonts w:ascii="Times New Roman" w:cs="Times New Roman" w:eastAsia="Times New Roman" w:hAnsi="Times New Roman"/>
          <w:i/>
          <w:iCs/>
          <w:color w:val="2E75B6"/>
          <w:sz w:val="22"/>
          <w:szCs w:val="22"/>
        </w:rPr>
        <w:t xml:space="preserve">See Math Book Area A (Definitions A.1–A.2, Theorems A.3–A.7)</w:t>
      </w:r>
    </w:p>
    <w:p>
      <w:pPr>
        <w:pStyle w:val="Heading2"/>
        <w:spacing w:after="160" w:before="280"/>
      </w:pPr>
      <w:r>
        <w:rPr>
          <w:rFonts w:ascii="Times New Roman" w:cs="Times New Roman" w:eastAsia="Times New Roman" w:hAnsi="Times New Roman"/>
          <w:b/>
          <w:bCs/>
          <w:color w:val="1F3864"/>
          <w:sz w:val="24"/>
          <w:szCs w:val="24"/>
        </w:rPr>
        <w:t xml:space="preserve">1.1  The Central Design Choice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HUF’s carrier is the ratio-state vector ρ ∈ Δⁿ⁻¹ — a point on the probability simplex. For engineers, this is a normalised allocation vector: the fractional share of a total resource across n categories.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constraint Σρᵢ = 1 is a mass balance. Engineers enforce mass balances across every unit operation; HUF extends this to any proportional monitoring system. The simplex is the geometric realisation of this balance.</w:t>
      </w:r>
    </w:p>
    <w:p>
      <w:pPr>
        <w:pStyle w:val="Heading2"/>
        <w:spacing w:after="160" w:before="280"/>
      </w:pPr>
      <w:r>
        <w:rPr>
          <w:rFonts w:ascii="Times New Roman" w:cs="Times New Roman" w:eastAsia="Times New Roman" w:hAnsi="Times New Roman"/>
          <w:b/>
          <w:bCs/>
          <w:color w:val="1F3864"/>
          <w:sz w:val="24"/>
          <w:szCs w:val="24"/>
        </w:rPr>
        <w:t xml:space="preserve">1.2  Why the Simplex?</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Mass Balance Principle.  </w:t>
      </w:r>
      <w:r>
        <w:rPr>
          <w:rFonts w:ascii="Times New Roman" w:cs="Times New Roman" w:eastAsia="Times New Roman" w:hAnsi="Times New Roman"/>
          <w:color w:val="333333"/>
          <w:sz w:val="22"/>
          <w:szCs w:val="22"/>
        </w:rPr>
        <w:t xml:space="preserve">The simplex encodes a conservation law: total proportion is conserved at unity. Just as mass balance constrains flows through a process, proportion conservation constrains ratio states. HUF operations are simplex-preserving — they respect closure automatically.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Scale invariance (Theorem A.7): if total throughput doubles but the product mix stays the same, ρ is unchanged. TV ∈ [0, 1] gives drift measurements a natural, dimensionless scale.</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Product Mix.  </w:t>
      </w:r>
      <w:r>
        <w:rPr>
          <w:rFonts w:ascii="Times New Roman" w:cs="Times New Roman" w:eastAsia="Times New Roman" w:hAnsi="Times New Roman"/>
          <w:color w:val="333333"/>
          <w:sz w:val="22"/>
          <w:szCs w:val="22"/>
        </w:rPr>
        <w:t xml:space="preserve">A refinery producing n products: ρᵢ = volume_i/total_volume is the fractional output of product i. The ρ vector on the simplex captures the product slate. Shifts in ρ signal changes in feedstock quality, catalyst condition, or operating conditions.</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Downtime Allocation.  </w:t>
      </w:r>
      <w:r>
        <w:rPr>
          <w:rFonts w:ascii="Times New Roman" w:cs="Times New Roman" w:eastAsia="Times New Roman" w:hAnsi="Times New Roman"/>
          <w:color w:val="333333"/>
          <w:sz w:val="22"/>
          <w:szCs w:val="22"/>
        </w:rPr>
        <w:t xml:space="preserve">A manufacturing line with n failure modes: ρᵢ = downtime_i/total_downtime. The simplex captures the failure mode profile. When a new failure mode emerges or an existing one is mitigated, ρ moves.</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Energy Budget.  </w:t>
      </w:r>
      <w:r>
        <w:rPr>
          <w:rFonts w:ascii="Times New Roman" w:cs="Times New Roman" w:eastAsia="Times New Roman" w:hAnsi="Times New Roman"/>
          <w:color w:val="333333"/>
          <w:sz w:val="22"/>
          <w:szCs w:val="22"/>
        </w:rPr>
        <w:t xml:space="preserve">An HVAC system with n energy sinks: ρᵢ = energy_i/total_energy. The simplex captures the energy distribution. Efficiency improvements in one subsystem appear as a shift in ρ — necessarily affecting other components’ shares.</w:t>
      </w:r>
    </w:p>
    <w:p>
      <w:pPr>
        <w:pStyle w:val="Heading2"/>
        <w:spacing w:after="160" w:before="280"/>
      </w:pPr>
      <w:r>
        <w:rPr>
          <w:rFonts w:ascii="Times New Roman" w:cs="Times New Roman" w:eastAsia="Times New Roman" w:hAnsi="Times New Roman"/>
          <w:b/>
          <w:bCs/>
          <w:color w:val="1F3864"/>
          <w:sz w:val="24"/>
          <w:szCs w:val="24"/>
        </w:rPr>
        <w:t xml:space="preserve">1.3  CL-01 as Admissibility Gate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CL-01 enforces Σρᵢ = 1 — the input validator. Raw plant data rarely sums exactly. Instrument drift, unmeasured streams, or rounding errors leave a gap. CL-01 forces explicit handling: renormalise with documented correction, add an "unaccounted" category, or reject the dataset.</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Material Balance.  </w:t>
      </w:r>
      <w:r>
        <w:rPr>
          <w:rFonts w:ascii="Times New Roman" w:cs="Times New Roman" w:eastAsia="Times New Roman" w:hAnsi="Times New Roman"/>
          <w:color w:val="333333"/>
          <w:sz w:val="22"/>
          <w:szCs w:val="22"/>
        </w:rPr>
        <w:t xml:space="preserve">A distillation column material balance closes at 97.3% (2.7% unaccounted). CL-01 flags this. The engineer must decide: attribute the 2.7% to measurement uncertainty (renormalise), add an "unaccounted losses" component (expand simplex), or investigate a leak. CL-01 forces this decision to be documented rather than silently absorbed.</w:t>
      </w:r>
    </w:p>
    <w:p>
      <w:pPr>
        <w:pStyle w:val="Heading2"/>
        <w:spacing w:after="160" w:before="280"/>
      </w:pPr>
      <w:r>
        <w:rPr>
          <w:rFonts w:ascii="Times New Roman" w:cs="Times New Roman" w:eastAsia="Times New Roman" w:hAnsi="Times New Roman"/>
          <w:b/>
          <w:bCs/>
          <w:color w:val="1F3864"/>
          <w:sz w:val="24"/>
          <w:szCs w:val="24"/>
        </w:rPr>
        <w:t xml:space="preserve">1.4  The Tangent Space and CL-05</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CL-05 corrections live in the tangent space TₚΔ = {v : Σvᵢ = 0} (Theorem A.4). Every correction is zero-sum: increasing one component’s share requires decreasing others. This is the mathematical expression of the mass balance constraint on corrections.</w:t>
      </w:r>
    </w:p>
    <w:p>
      <w:pPr>
        <w:pStyle w:val="Heading2"/>
        <w:spacing w:after="160" w:before="280"/>
      </w:pPr>
      <w:r>
        <w:rPr>
          <w:rFonts w:ascii="Times New Roman" w:cs="Times New Roman" w:eastAsia="Times New Roman" w:hAnsi="Times New Roman"/>
          <w:b/>
          <w:bCs/>
          <w:color w:val="1F3864"/>
          <w:sz w:val="24"/>
          <w:szCs w:val="24"/>
        </w:rPr>
        <w:t xml:space="preserve">1.5  Total Variation as House Default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TV(ρ, ρ′) = ½Σ|ρᵢ − ρᵢ′|. Bounded in [0,1], metric (Theorem A.6), and interpretable as the maximum total proportion that has shifted between categories. Engineers accustomed to CUSUM or EWMA charts can think of TV as a multivariate composition-shift detector.</w:t>
      </w:r>
    </w:p>
    <w:p>
      <w:r>
        <w:br w:type="page"/>
      </w:r>
    </w:p>
    <w:p>
      <w:pPr>
        <w:pStyle w:val="Heading1"/>
        <w:spacing w:after="200" w:before="360"/>
      </w:pPr>
      <w:r>
        <w:rPr>
          <w:rFonts w:ascii="Times New Roman" w:cs="Times New Roman" w:eastAsia="Times New Roman" w:hAnsi="Times New Roman"/>
          <w:b/>
          <w:bCs/>
          <w:color w:val="1F3864"/>
          <w:sz w:val="28"/>
          <w:szCs w:val="28"/>
        </w:rPr>
        <w:t xml:space="preserve">§2  Effective Complexity as Observable</w:t>
      </w:r>
    </w:p>
    <w:p>
      <w:pPr>
        <w:spacing w:after="160" w:before="0"/>
        <w:ind w:left="480"/>
        <w:jc w:val="both"/>
      </w:pPr>
      <w:r>
        <w:rPr>
          <w:rFonts w:ascii="Times New Roman" w:cs="Times New Roman" w:eastAsia="Times New Roman" w:hAnsi="Times New Roman"/>
          <w:i/>
          <w:iCs/>
          <w:color w:val="2E75B6"/>
          <w:sz w:val="22"/>
          <w:szCs w:val="22"/>
        </w:rPr>
        <w:t xml:space="preserve">See Math Book Area B (Definitions B.1–B.3, Theorems B.4–B.6)</w:t>
      </w:r>
    </w:p>
    <w:p>
      <w:pPr>
        <w:pStyle w:val="Heading2"/>
        <w:spacing w:after="160" w:before="280"/>
      </w:pPr>
      <w:r>
        <w:rPr>
          <w:rFonts w:ascii="Times New Roman" w:cs="Times New Roman" w:eastAsia="Times New Roman" w:hAnsi="Times New Roman"/>
          <w:b/>
          <w:bCs/>
          <w:color w:val="1F3864"/>
          <w:sz w:val="24"/>
          <w:szCs w:val="24"/>
        </w:rPr>
        <w:t xml:space="preserve">2.1  Demodulation: Extracting a Scalar</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Keff = exp(H(ρ)) gives the effective number of active components. For a product mix: Keff is the effective number of products being made in significant volume. For a failure mode profile: Keff is the effective number of distinct failure modes contributing to downtime.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carrier/observable distinction (Theorem B.6) is the FM demodulation analogy: the carrier is the modulated signal (ρ); Keff is the demodulated output. Engineers who understand FM receivers already understand this architecture.</w:t>
      </w:r>
    </w:p>
    <w:p>
      <w:pPr>
        <w:pStyle w:val="Heading2"/>
        <w:spacing w:after="160" w:before="280"/>
      </w:pPr>
      <w:r>
        <w:rPr>
          <w:rFonts w:ascii="Times New Roman" w:cs="Times New Roman" w:eastAsia="Times New Roman" w:hAnsi="Times New Roman"/>
          <w:b/>
          <w:bCs/>
          <w:color w:val="1F3864"/>
          <w:sz w:val="24"/>
          <w:szCs w:val="24"/>
        </w:rPr>
        <w:t xml:space="preserve">2.2  Shannon vs Herfindahl</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Keff(S) = exp(H) counts effective components with sensitivity to all components. Keff(H) = 1/Σρᵢ² (inverse Herfindahl) is more conservative, emphasising dominant components. Keff(H) ≤ Keff(S) always (Theorem B.4).</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Supplier Concentration.  </w:t>
      </w:r>
      <w:r>
        <w:rPr>
          <w:rFonts w:ascii="Times New Roman" w:cs="Times New Roman" w:eastAsia="Times New Roman" w:hAnsi="Times New Roman"/>
          <w:color w:val="333333"/>
          <w:sz w:val="22"/>
          <w:szCs w:val="22"/>
        </w:rPr>
        <w:t xml:space="preserve">A supply chain with 12 suppliers, one providing 50% of total: Keff(H) ≈ 3.5, Keff(S) ≈ 5.2. The Herfindahl measure captures the concentration risk better. If the dominant supplier reduces share from 50% to 30%, Keff(H) rises, signalling reduced concentration risk.</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Failure Mode Diversity.  </w:t>
      </w:r>
      <w:r>
        <w:rPr>
          <w:rFonts w:ascii="Times New Roman" w:cs="Times New Roman" w:eastAsia="Times New Roman" w:hAnsi="Times New Roman"/>
          <w:color w:val="333333"/>
          <w:sz w:val="22"/>
          <w:szCs w:val="22"/>
        </w:rPr>
        <w:t xml:space="preserve">A production line with 8 failure modes, one accounting for 40% of downtime: Keff(H) ≈ 4.1. After a targeted reliability improvement that reduces the dominant mode to 20%, Keff(H) rises to ≈ 5.8 — a more diversified failure profile, meaning no single point of failure dominates.</w:t>
      </w:r>
    </w:p>
    <w:p>
      <w:pPr>
        <w:pStyle w:val="Heading2"/>
        <w:spacing w:after="160" w:before="280"/>
      </w:pPr>
      <w:r>
        <w:rPr>
          <w:rFonts w:ascii="Times New Roman" w:cs="Times New Roman" w:eastAsia="Times New Roman" w:hAnsi="Times New Roman"/>
          <w:b/>
          <w:bCs/>
          <w:color w:val="1F3864"/>
          <w:sz w:val="24"/>
          <w:szCs w:val="24"/>
        </w:rPr>
        <w:t xml:space="preserve">2.3  The Unique Maximum</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Keff is maximised at the uniform distribution (Theorem B.5). In engineering terms: maximum diversity means no single component dominates. Declining Keff signals increasing concentration; rising Keff signals diversification. CL-02 uses this polarity for trend detection.</w:t>
      </w:r>
    </w:p>
    <w:p>
      <w:pPr>
        <w:pStyle w:val="Heading2"/>
        <w:spacing w:after="160" w:before="280"/>
      </w:pPr>
      <w:r>
        <w:rPr>
          <w:rFonts w:ascii="Times New Roman" w:cs="Times New Roman" w:eastAsia="Times New Roman" w:hAnsi="Times New Roman"/>
          <w:b/>
          <w:bCs/>
          <w:color w:val="1F3864"/>
          <w:sz w:val="24"/>
          <w:szCs w:val="24"/>
        </w:rPr>
        <w:t xml:space="preserve">2.4  Carrier vs Observable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Two systems can have identical Keff but completely different ρ. A refinery making 60% gasoline + 40% diesel (Keff ≈ 1.9) and a refinery making 60% jet fuel + 40% naphtha (Keff ≈ 1.9) have the same effective product count but entirely different product slates. Never confuse diversity with composition.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§3  The Control Pipeline</w:t>
      </w:r>
    </w:p>
    <w:p>
      <w:pPr>
        <w:spacing w:after="160" w:before="0"/>
        <w:ind w:left="480"/>
        <w:jc w:val="both"/>
      </w:pPr>
      <w:r>
        <w:rPr>
          <w:rFonts w:ascii="Times New Roman" w:cs="Times New Roman" w:eastAsia="Times New Roman" w:hAnsi="Times New Roman"/>
          <w:i/>
          <w:iCs/>
          <w:color w:val="2E75B6"/>
          <w:sz w:val="22"/>
          <w:szCs w:val="22"/>
        </w:rPr>
        <w:t xml:space="preserve">See Math Book Area D (Definitions D.1–D.2, Theorem D.3)</w:t>
      </w:r>
    </w:p>
    <w:p>
      <w:pPr>
        <w:pStyle w:val="Heading2"/>
        <w:spacing w:after="160" w:before="280"/>
      </w:pPr>
      <w:r>
        <w:rPr>
          <w:rFonts w:ascii="Times New Roman" w:cs="Times New Roman" w:eastAsia="Times New Roman" w:hAnsi="Times New Roman"/>
          <w:b/>
          <w:bCs/>
          <w:color w:val="1F3864"/>
          <w:sz w:val="24"/>
          <w:szCs w:val="24"/>
        </w:rPr>
        <w:t xml:space="preserve">3.1  The PLL Homomorphism</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CL pipeline is structurally homomorphic to a phase-locked loop (Theorem D.3). For control engineers, this is the single most useful result: the entire CL architecture inherits PLL stability theory, design rules, and failure mode taxonomy. If you can design a PLL, you can design a CL pipeline.</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Homomorphism Scope.  </w:t>
      </w:r>
      <w:r>
        <w:rPr>
          <w:rFonts w:ascii="Times New Roman" w:cs="Times New Roman" w:eastAsia="Times New Roman" w:hAnsi="Times New Roman"/>
          <w:color w:val="333333"/>
          <w:sz w:val="22"/>
          <w:szCs w:val="22"/>
        </w:rPr>
        <w:t xml:space="preserve">The PLL→CL homomorphism maps architecture, control topology, failure modes, and tuning intuition. It does not transfer parameter values — those require domain calibration. The homomorphism tells you the structure; calibration fills in the numbers.</w:t>
      </w:r>
    </w:p>
    <w:p>
      <w:pPr>
        <w:pStyle w:val="Heading2"/>
        <w:spacing w:after="160" w:before="280"/>
      </w:pPr>
      <w:r>
        <w:rPr>
          <w:rFonts w:ascii="Times New Roman" w:cs="Times New Roman" w:eastAsia="Times New Roman" w:hAnsi="Times New Roman"/>
          <w:b/>
          <w:bCs/>
          <w:color w:val="1F3864"/>
          <w:sz w:val="24"/>
          <w:szCs w:val="24"/>
        </w:rPr>
        <w:t xml:space="preserve">3.2  The Five Stages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CL-01 (Validity) = Feedback Divider. Input validation — ensures the corrected state is on the simplex.</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CL-02 (Drift Trigger) = Phase Detector. Error computation — measures TV distance from reference.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CL-03 (Complexity Gauge) = Loop Filter / FM Discriminator. Signal extraction — computes Keff from ρ.</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CL-04 (Verdict Logic) = Lock Detector / AGC. Classification — GREEN/AMBER/RED verdict.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CL-05 (Restorative Control) = VCO. Correction — applies zero-sum adjustment. Currently STORE (requires human authorisation).</w:t>
      </w:r>
    </w:p>
    <w:p>
      <w:pPr>
        <w:pStyle w:val="Heading2"/>
        <w:spacing w:after="160" w:before="280"/>
      </w:pPr>
      <w:r>
        <w:rPr>
          <w:rFonts w:ascii="Times New Roman" w:cs="Times New Roman" w:eastAsia="Times New Roman" w:hAnsi="Times New Roman"/>
          <w:b/>
          <w:bCs/>
          <w:color w:val="1F3864"/>
          <w:sz w:val="24"/>
          <w:szCs w:val="24"/>
        </w:rPr>
        <w:t xml:space="preserve">3.3  What the Homomorphism Buys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Four preserved properties: composition order, feedback topology, stability conditions (Barkhausen → CL damping ζ &gt; 0.707), and the bandwidth-robustness trade-off. If the loop oscillates, add damping. If it’s too slow, reduce λ. If it locks onto the wrong state, check for false lock. Standard PLL diagnostics apply directly.</w:t>
      </w:r>
    </w:p>
    <w:p>
      <w:r>
        <w:br w:type="page"/>
      </w:r>
    </w:p>
    <w:p>
      <w:pPr>
        <w:pStyle w:val="Heading1"/>
        <w:spacing w:after="200" w:before="360"/>
      </w:pPr>
      <w:r>
        <w:rPr>
          <w:rFonts w:ascii="Times New Roman" w:cs="Times New Roman" w:eastAsia="Times New Roman" w:hAnsi="Times New Roman"/>
          <w:b/>
          <w:bCs/>
          <w:color w:val="1F3864"/>
          <w:sz w:val="28"/>
          <w:szCs w:val="28"/>
        </w:rPr>
        <w:t xml:space="preserve">§4  Failure Modes and Engineering Lineage</w:t>
      </w:r>
    </w:p>
    <w:p>
      <w:pPr>
        <w:spacing w:after="160" w:before="0"/>
        <w:ind w:left="480"/>
        <w:jc w:val="both"/>
      </w:pPr>
      <w:r>
        <w:rPr>
          <w:rFonts w:ascii="Times New Roman" w:cs="Times New Roman" w:eastAsia="Times New Roman" w:hAnsi="Times New Roman"/>
          <w:i/>
          <w:iCs/>
          <w:color w:val="2E75B6"/>
          <w:sz w:val="22"/>
          <w:szCs w:val="22"/>
        </w:rPr>
        <w:t xml:space="preserve">See Math Book Area D (Theorems D.3–D.4, D.6; Definition D.5)</w:t>
      </w:r>
    </w:p>
    <w:p>
      <w:pPr>
        <w:pStyle w:val="Heading2"/>
        <w:spacing w:after="160" w:before="280"/>
      </w:pPr>
      <w:r>
        <w:rPr>
          <w:rFonts w:ascii="Times New Roman" w:cs="Times New Roman" w:eastAsia="Times New Roman" w:hAnsi="Times New Roman"/>
          <w:b/>
          <w:bCs/>
          <w:color w:val="1F3864"/>
          <w:sz w:val="24"/>
          <w:szCs w:val="24"/>
        </w:rPr>
        <w:t xml:space="preserve">4.1  Inherited Failure Modes</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Cycle Slipping → Keff Overshoot.  </w:t>
      </w:r>
      <w:r>
        <w:rPr>
          <w:rFonts w:ascii="Times New Roman" w:cs="Times New Roman" w:eastAsia="Times New Roman" w:hAnsi="Times New Roman"/>
          <w:color w:val="333333"/>
          <w:sz w:val="22"/>
          <w:szCs w:val="22"/>
        </w:rPr>
        <w:t xml:space="preserve">The PLL phase error wraps around 2π. In CL: correction overshoots — ρ jumps to a new basin. In process terms: an over-aggressive setpoint change causes the process to ring. Mitigation: increase damping (larger λ).</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False Lock → Local Keff Optimum.  </w:t>
      </w:r>
      <w:r>
        <w:rPr>
          <w:rFonts w:ascii="Times New Roman" w:cs="Times New Roman" w:eastAsia="Times New Roman" w:hAnsi="Times New Roman"/>
          <w:color w:val="333333"/>
          <w:sz w:val="22"/>
          <w:szCs w:val="22"/>
        </w:rPr>
        <w:t xml:space="preserve">PLL locks onto a harmonic. In CL: the pipeline converges to a state satisfying CL-04 but not matching the target. In process terms: a process stabilises at an unintended operating point. Mitigation: full-state comparison, not just Keff.</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Loss of Lock → System Shock.  </w:t>
      </w:r>
      <w:r>
        <w:rPr>
          <w:rFonts w:ascii="Times New Roman" w:cs="Times New Roman" w:eastAsia="Times New Roman" w:hAnsi="Times New Roman"/>
          <w:color w:val="333333"/>
          <w:sz w:val="22"/>
          <w:szCs w:val="22"/>
        </w:rPr>
        <w:t xml:space="preserve">PLL input exceeds lock range. In CL: an external shock pushes ρ beyond correctable range. In process terms: a major upset (feedstock change, equipment failure) that overwhelms the control system. Mitigation: CL-05 enters STORE and waits for operator assessment.</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Jitter → Keff Variance Growth.  </w:t>
      </w:r>
      <w:r>
        <w:rPr>
          <w:rFonts w:ascii="Times New Roman" w:cs="Times New Roman" w:eastAsia="Times New Roman" w:hAnsi="Times New Roman"/>
          <w:color w:val="333333"/>
          <w:sz w:val="22"/>
          <w:szCs w:val="22"/>
        </w:rPr>
        <w:t xml:space="preserve">Residual PLL phase noise accumulates. In CL: below-threshold drifts cause Keff variance to grow. In process terms: instrument drift between calibrations. Mitigation: recalibrate at intervals shorter than drift accumulation.</w:t>
      </w:r>
    </w:p>
    <w:p>
      <w:pPr>
        <w:pStyle w:val="Heading2"/>
        <w:spacing w:after="160" w:before="280"/>
      </w:pPr>
      <w:r>
        <w:rPr>
          <w:rFonts w:ascii="Times New Roman" w:cs="Times New Roman" w:eastAsia="Times New Roman" w:hAnsi="Times New Roman"/>
          <w:b/>
          <w:bCs/>
          <w:color w:val="1F3864"/>
          <w:sz w:val="24"/>
          <w:szCs w:val="24"/>
        </w:rPr>
        <w:t xml:space="preserve">4.2  Engineering Lineage</w:t>
      </w:r>
    </w:p>
    <w:p>
      <w:pPr>
        <w:spacing w:after="160" w:before="120"/>
        <w:jc w:val="both"/>
      </w:pPr>
      <w:r>
        <w:rPr>
          <w:rFonts w:ascii="Times New Roman" w:cs="Times New Roman" w:eastAsia="Times New Roman" w:hAnsi="Times New Roman"/>
          <w:b/>
          <w:bCs/>
          <w:color w:val="333333"/>
          <w:sz w:val="22"/>
          <w:szCs w:val="22"/>
        </w:rPr>
        <w:t xml:space="preserve">Table 1 — Engineering Lineage of CL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800"/>
        <w:gridCol w:w="2760"/>
      </w:tblGrid>
      <w:t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 Stage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Component</w:t>
            </w:r>
          </w:p>
        </w:tc>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Process Analogue</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HUF Function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CL-01</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Feedback Divider</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Mass balance check</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Admissibility gate</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CL-02</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Phase Detector</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SPC / CUSUM chart</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TV drift trigger</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CL-03</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Loop Filter</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KPI computation</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Keff complexity gauge</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CL-04</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Lock Detector</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Alarm management</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Verdict logic</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CL-05</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VCO</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Setpoint adjustment</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Restorative control</w:t>
            </w:r>
          </w:p>
        </w:tc>
      </w:tr>
    </w:tbl>
    <w:p>
      <w:pPr>
        <w:pStyle w:val="Heading2"/>
        <w:spacing w:after="160" w:before="280"/>
      </w:pPr>
      <w:r>
        <w:rPr>
          <w:rFonts w:ascii="Times New Roman" w:cs="Times New Roman" w:eastAsia="Times New Roman" w:hAnsi="Times New Roman"/>
          <w:b/>
          <w:bCs/>
          <w:color w:val="1F3864"/>
          <w:sz w:val="24"/>
          <w:szCs w:val="24"/>
        </w:rPr>
        <w:t xml:space="preserve">4.3  Hysteresis: Preventing Alarm Chatter</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D.5; Theorem D.6</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process variable hovering near an alarm threshold causes nuisance alarms — the industrial equivalent of verdict jitter. The hysteresis protocol (Definition D.5) eliminates this: escalation guard η and persistence count m.</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Alarm Management.  </w:t>
      </w:r>
      <w:r>
        <w:rPr>
          <w:rFonts w:ascii="Times New Roman" w:cs="Times New Roman" w:eastAsia="Times New Roman" w:hAnsi="Times New Roman"/>
          <w:color w:val="333333"/>
          <w:sz w:val="22"/>
          <w:szCs w:val="22"/>
        </w:rPr>
        <w:t xml:space="preserve">A refinery alarm point for product mix deviation chatters at the threshold during normal process variation. Setting η = 2σ and m = 5 (five consecutive samples above threshold + guard) reduces false alarm rate by exp(−2)/5 ≈ 97%. This is standard ISA-18.2 alarm management practice; Theorem D.6 gives the mathematical guarantee.</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SPC Chart.  </w:t>
      </w:r>
      <w:r>
        <w:rPr>
          <w:rFonts w:ascii="Times New Roman" w:cs="Times New Roman" w:eastAsia="Times New Roman" w:hAnsi="Times New Roman"/>
          <w:color w:val="333333"/>
          <w:sz w:val="22"/>
          <w:szCs w:val="22"/>
        </w:rPr>
        <w:t xml:space="preserve">A multivariate SPC chart monitoring composition triggers on noise. Hysteresis with m = 3 (three consecutive out-of-control points) aligns with Western Electric Run Rules. The HUF formulation unifies these ad hoc rules under a single mathematical framework.</w:t>
      </w:r>
    </w:p>
    <w:p>
      <w:r>
        <w:br w:type="page"/>
      </w:r>
    </w:p>
    <w:p>
      <w:pPr>
        <w:pStyle w:val="Heading1"/>
        <w:spacing w:after="200" w:before="360"/>
      </w:pPr>
      <w:r>
        <w:rPr>
          <w:rFonts w:ascii="Times New Roman" w:cs="Times New Roman" w:eastAsia="Times New Roman" w:hAnsi="Times New Roman"/>
          <w:b/>
          <w:bCs/>
          <w:color w:val="1F3864"/>
          <w:sz w:val="28"/>
          <w:szCs w:val="28"/>
        </w:rPr>
        <w:t xml:space="preserve">§5  Calibration Philosophy</w:t>
      </w:r>
    </w:p>
    <w:p>
      <w:pPr>
        <w:spacing w:after="160" w:before="0"/>
        <w:ind w:left="480"/>
        <w:jc w:val="both"/>
      </w:pPr>
      <w:r>
        <w:rPr>
          <w:rFonts w:ascii="Times New Roman" w:cs="Times New Roman" w:eastAsia="Times New Roman" w:hAnsi="Times New Roman"/>
          <w:i/>
          <w:iCs/>
          <w:color w:val="2E75B6"/>
          <w:sz w:val="22"/>
          <w:szCs w:val="22"/>
        </w:rPr>
        <w:t xml:space="preserve">See Math Book Area E (Definitions E.1–E.2, E.6, E.8, E.10; Theorems E.3–E.5, E.7, E.9, E.11)</w:t>
      </w:r>
    </w:p>
    <w:p>
      <w:pPr>
        <w:pStyle w:val="Heading2"/>
        <w:spacing w:after="160" w:before="280"/>
      </w:pPr>
      <w:r>
        <w:rPr>
          <w:rFonts w:ascii="Times New Roman" w:cs="Times New Roman" w:eastAsia="Times New Roman" w:hAnsi="Times New Roman"/>
          <w:b/>
          <w:bCs/>
          <w:color w:val="1F3864"/>
          <w:sz w:val="24"/>
          <w:szCs w:val="24"/>
        </w:rPr>
        <w:t xml:space="preserve">5.1  Why IMC-PID?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is your native tuning methodology. IMC-PID is the industry standard for a reason: single tuning parameter λ, closed-form gains from three measurable parameters (Kₚ, τ, θ), guaranteed stability for λ ≥ θ, and no iterative optimisation required.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λ parameter controls the speed-robustness trade-off. For process engineers: λ is your closed-loop time constant. Smaller λ = faster response but tighter tolerance to model error. Larger λ = slower but more forgiving. The house default λ ≥ θ is the minimal robustness condition.</w:t>
      </w:r>
    </w:p>
    <w:p>
      <w:pPr>
        <w:pStyle w:val="Heading2"/>
        <w:spacing w:after="160" w:before="280"/>
      </w:pPr>
      <w:r>
        <w:rPr>
          <w:rFonts w:ascii="Times New Roman" w:cs="Times New Roman" w:eastAsia="Times New Roman" w:hAnsi="Times New Roman"/>
          <w:b/>
          <w:bCs/>
          <w:color w:val="1F3864"/>
          <w:sz w:val="24"/>
          <w:szCs w:val="24"/>
        </w:rPr>
        <w:t xml:space="preserve">5.2  FOPDT Parameter Identification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FOPDT model G(s) = Kₚ e⁻ᶽs / (τs + 1) is identified from step-response data — the standard bump test:</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Process Gain Kₚ.  </w:t>
      </w:r>
      <w:r>
        <w:rPr>
          <w:rFonts w:ascii="Times New Roman" w:cs="Times New Roman" w:eastAsia="Times New Roman" w:hAnsi="Times New Roman"/>
          <w:color w:val="333333"/>
          <w:sz w:val="22"/>
          <w:szCs w:val="22"/>
        </w:rPr>
        <w:t xml:space="preserve">Make a step change in the manipulated variable (e.g., adjust feedstock blend ratio by 5%). Measure the steady-state change in ρ. Kₚ = Δρ/ΔMV. For a blending process, Kₚ is typically in the range 0.5–2.0 per unit MV change.</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Time Constant τ.  </w:t>
      </w:r>
      <w:r>
        <w:rPr>
          <w:rFonts w:ascii="Times New Roman" w:cs="Times New Roman" w:eastAsia="Times New Roman" w:hAnsi="Times New Roman"/>
          <w:color w:val="333333"/>
          <w:sz w:val="22"/>
          <w:szCs w:val="22"/>
        </w:rPr>
        <w:t xml:space="preserve">From the step response, τ is the time to reach 63.2% of the steady-state change. For a blending tank: τ ≈ V/F (tank volume / flow rate). For a catalytic process: τ relates to catalyst space velocity. For supply chain composition: τ ≈ inventory turnover period.</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Dead Time θ.  </w:t>
      </w:r>
      <w:r>
        <w:rPr>
          <w:rFonts w:ascii="Times New Roman" w:cs="Times New Roman" w:eastAsia="Times New Roman" w:hAnsi="Times New Roman"/>
          <w:color w:val="333333"/>
          <w:sz w:val="22"/>
          <w:szCs w:val="22"/>
        </w:rPr>
        <w:t xml:space="preserve">The delay between the step change and the first observable response. For a blending system: θ ≈ transport delay (pipe length / velocity). For an analytical measurement: θ = sample transport + analysis time. For a supply chain: θ = order lead time.</w:t>
      </w:r>
    </w:p>
    <w:p>
      <w:pPr>
        <w:pStyle w:val="Heading2"/>
        <w:spacing w:after="160" w:before="280"/>
      </w:pPr>
      <w:r>
        <w:rPr>
          <w:rFonts w:ascii="Times New Roman" w:cs="Times New Roman" w:eastAsia="Times New Roman" w:hAnsi="Times New Roman"/>
          <w:b/>
          <w:bCs/>
          <w:color w:val="1F3864"/>
          <w:sz w:val="24"/>
          <w:szCs w:val="24"/>
        </w:rPr>
        <w:t xml:space="preserve">5.3  Robustness Margins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At the house default λ = θ, the robustness margin μ &gt; 2.25 (Theorem E.7). This means the controller tolerates ±50% simultaneous mismatch in all parameters. For process engineers accustomed to quoting gain margin and phase margin, μ &gt; 2.25 corresponds to gain margin &gt; 7 dB.</w:t>
      </w:r>
    </w:p>
    <w:p>
      <w:pPr>
        <w:spacing w:after="160" w:before="120"/>
        <w:jc w:val="both"/>
      </w:pPr>
      <w:r>
        <w:rPr>
          <w:rFonts w:ascii="Times New Roman" w:cs="Times New Roman" w:eastAsia="Times New Roman" w:hAnsi="Times New Roman"/>
          <w:b/>
          <w:bCs/>
          <w:color w:val="333333"/>
          <w:sz w:val="22"/>
          <w:szCs w:val="22"/>
        </w:rPr>
        <w:t xml:space="preserve">Table 2 — Robustness Margins for Engineering Applications (r ≈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000"/>
        <w:gridCol w:w="2000"/>
        <w:gridCol w:w="2160"/>
      </w:tblGrid>
      <w:tr>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k = λ/θ</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λ</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μ (r≈2)</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Tolerance</w:t>
            </w:r>
          </w:p>
        </w:tc>
        <w:tc>
          <w:tcPr>
            <w:tcW w:type="dxa" w:w="2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Application</w:t>
            </w:r>
          </w:p>
        </w:tc>
      </w:tr>
      <w:tr>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1.0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θ</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2.55</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±51%</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Fast processes (blending)</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1.5</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1.5θ</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≈3.0</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±60%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Standard process control</w:t>
            </w:r>
          </w:p>
        </w:tc>
      </w:tr>
      <w:tr>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2.0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2θ</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3.49</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±70%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Conservative (batch)</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3.0</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3θ</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≈4.5</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±78%</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High-uncertainty systems</w:t>
            </w:r>
          </w:p>
        </w:tc>
      </w:tr>
    </w:tbl>
    <w:p>
      <w:pPr>
        <w:pStyle w:val="Heading2"/>
        <w:spacing w:after="160" w:before="280"/>
      </w:pPr>
      <w:r>
        <w:rPr>
          <w:rFonts w:ascii="Times New Roman" w:cs="Times New Roman" w:eastAsia="Times New Roman" w:hAnsi="Times New Roman"/>
          <w:b/>
          <w:bCs/>
          <w:color w:val="1F3864"/>
          <w:sz w:val="24"/>
          <w:szCs w:val="24"/>
        </w:rPr>
        <w:t xml:space="preserve">5.4  Reference Update Protocols</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E.8; Theorem E.9</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Three canonical protocols: declared baseline (fixed at commissioning), epoch baseline (resets each production campaign), exponential baseline (α-EMA tracking).</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Batch vs Continuous.  </w:t>
      </w:r>
      <w:r>
        <w:rPr>
          <w:rFonts w:ascii="Times New Roman" w:cs="Times New Roman" w:eastAsia="Times New Roman" w:hAnsi="Times New Roman"/>
          <w:color w:val="333333"/>
          <w:sz w:val="22"/>
          <w:szCs w:val="22"/>
        </w:rPr>
        <w:t xml:space="preserve">Continuous process: use declared baseline to track cumulative drift from commissioned state. Batch process: use epoch baseline resetting each batch to detect within-batch deviation. Campaign process: use exponential baseline to track slow changes while allowing for planned grade transitions.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Theorem E.9 quantifies the trade-off: declared baseline captures true cumulative drift; exponential baseline underestimates it by (1−α)ᵀ. For regulatory compliance (where total drift from a reference matters), use declared baseline.</w:t>
      </w:r>
    </w:p>
    <w:p>
      <w:pPr>
        <w:pStyle w:val="Heading2"/>
        <w:spacing w:after="160" w:before="280"/>
      </w:pPr>
      <w:r>
        <w:rPr>
          <w:rFonts w:ascii="Times New Roman" w:cs="Times New Roman" w:eastAsia="Times New Roman" w:hAnsi="Times New Roman"/>
          <w:b/>
          <w:bCs/>
          <w:color w:val="1F3864"/>
          <w:sz w:val="24"/>
          <w:szCs w:val="24"/>
        </w:rPr>
        <w:t xml:space="preserve">5.5  FOPDT Limitations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Seven limitations: linearity, single time constant, fixed dead time, no oscillatory dynamics, step-response assumption, parameter drift, and lumped model. In engineering practice, the most common failures are:</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Nonlinearity.  </w:t>
      </w:r>
      <w:r>
        <w:rPr>
          <w:rFonts w:ascii="Times New Roman" w:cs="Times New Roman" w:eastAsia="Times New Roman" w:hAnsi="Times New Roman"/>
          <w:color w:val="333333"/>
          <w:sz w:val="22"/>
          <w:szCs w:val="22"/>
        </w:rPr>
        <w:t xml:space="preserve">Valve characteristics, heat exchanger fouling, and reaction kinetics are all nonlinear. FOPDT works near the operating point but fails for large excursions.</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Multiple Time Constants.  </w:t>
      </w:r>
      <w:r>
        <w:rPr>
          <w:rFonts w:ascii="Times New Roman" w:cs="Times New Roman" w:eastAsia="Times New Roman" w:hAnsi="Times New Roman"/>
          <w:color w:val="333333"/>
          <w:sz w:val="22"/>
          <w:szCs w:val="22"/>
        </w:rPr>
        <w:t xml:space="preserve">Cascade systems (e.g., reactor + separator), heat exchangers with both tube-side and shell-side dynamics, and any process with fast and slow modes.</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Parameter Drift.  </w:t>
      </w:r>
      <w:r>
        <w:rPr>
          <w:rFonts w:ascii="Times New Roman" w:cs="Times New Roman" w:eastAsia="Times New Roman" w:hAnsi="Times New Roman"/>
          <w:color w:val="333333"/>
          <w:sz w:val="22"/>
          <w:szCs w:val="22"/>
        </w:rPr>
        <w:t xml:space="preserve">Catalyst deactivation, fouling, and seasonal changes all cause Kₚ, τ, and θ to drift. Periodic re-identification is required.</w:t>
      </w:r>
    </w:p>
    <w:p>
      <w:pPr>
        <w:pStyle w:val="Heading2"/>
        <w:spacing w:after="160" w:before="280"/>
      </w:pPr>
      <w:r>
        <w:rPr>
          <w:rFonts w:ascii="Times New Roman" w:cs="Times New Roman" w:eastAsia="Times New Roman" w:hAnsi="Times New Roman"/>
          <w:b/>
          <w:bCs/>
          <w:color w:val="1F3864"/>
          <w:sz w:val="24"/>
          <w:szCs w:val="24"/>
        </w:rPr>
        <w:t xml:space="preserve">5.6  The SOPDT Upgrade Path</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E.10; Theorem E.11</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When FOPDT leaves systematic residuals, SOPDT adds a second time constant with closed-form gains (Theorem E.11). The derivative term τD provides anticipatory correction.</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Cascade Process.  </w:t>
      </w:r>
      <w:r>
        <w:rPr>
          <w:rFonts w:ascii="Times New Roman" w:cs="Times New Roman" w:eastAsia="Times New Roman" w:hAnsi="Times New Roman"/>
          <w:color w:val="333333"/>
          <w:sz w:val="22"/>
          <w:szCs w:val="22"/>
        </w:rPr>
        <w:t xml:space="preserve">A reactor-separator cascade with fast reactor dynamics (τ₁ ≈ minutes) and slow separator dynamics (τ₂ ≈ hours): the SOPDT model captures both. FOPDT with the slow time constant misses the fast initial response, leading to sluggish correction. SOPDT with derivative action anticipates the slow component.</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Heat Exchanger.  </w:t>
      </w:r>
      <w:r>
        <w:rPr>
          <w:rFonts w:ascii="Times New Roman" w:cs="Times New Roman" w:eastAsia="Times New Roman" w:hAnsi="Times New Roman"/>
          <w:color w:val="333333"/>
          <w:sz w:val="22"/>
          <w:szCs w:val="22"/>
        </w:rPr>
        <w:t xml:space="preserve">A shell-and-tube exchanger with fast tube-side response (τ₁) and slow shell-side response (τ₂): SOPDT resolves both thermal time constants. The derivative term prevents overshoot during load changes.</w:t>
      </w:r>
    </w:p>
    <w:p>
      <w:r>
        <w:br w:type="page"/>
      </w:r>
    </w:p>
    <w:p>
      <w:pPr>
        <w:pStyle w:val="Heading1"/>
        <w:spacing w:after="200" w:before="360"/>
      </w:pPr>
      <w:r>
        <w:rPr>
          <w:rFonts w:ascii="Times New Roman" w:cs="Times New Roman" w:eastAsia="Times New Roman" w:hAnsi="Times New Roman"/>
          <w:b/>
          <w:bCs/>
          <w:color w:val="1F3864"/>
          <w:sz w:val="28"/>
          <w:szCs w:val="28"/>
        </w:rPr>
        <w:t xml:space="preserve">§6  The Amplification Network</w:t>
      </w:r>
    </w:p>
    <w:p>
      <w:pPr>
        <w:spacing w:after="160" w:before="0"/>
        <w:ind w:left="480"/>
        <w:jc w:val="both"/>
      </w:pPr>
      <w:r>
        <w:rPr>
          <w:rFonts w:ascii="Times New Roman" w:cs="Times New Roman" w:eastAsia="Times New Roman" w:hAnsi="Times New Roman"/>
          <w:i/>
          <w:iCs/>
          <w:color w:val="2E75B6"/>
          <w:sz w:val="22"/>
          <w:szCs w:val="22"/>
        </w:rPr>
        <w:t xml:space="preserve">See Math Book Areas C and F (Theorems C.3–C.7, F.3–F.5)</w:t>
      </w:r>
    </w:p>
    <w:p>
      <w:pPr>
        <w:pStyle w:val="Heading2"/>
        <w:spacing w:after="160" w:before="280"/>
      </w:pPr>
      <w:r>
        <w:rPr>
          <w:rFonts w:ascii="Times New Roman" w:cs="Times New Roman" w:eastAsia="Times New Roman" w:hAnsi="Times New Roman"/>
          <w:b/>
          <w:bCs/>
          <w:color w:val="1F3864"/>
          <w:sz w:val="24"/>
          <w:szCs w:val="24"/>
        </w:rPr>
        <w:t xml:space="preserve">6.1  Supermodularity and Complementarity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HUF’s knowledge function is supermodular (Theorem C.7): adding a monitoring domain to the network is more valuable when more domains exist. For engineers: this is the mathematical justification for integrated plant-wide monitoring. Each additional data source creates cross-links (via theorem transport F.3) with all existing sources.</w:t>
      </w:r>
    </w:p>
    <w:p>
      <w:pPr>
        <w:pStyle w:val="Heading2"/>
        <w:spacing w:after="160" w:before="280"/>
      </w:pPr>
      <w:r>
        <w:rPr>
          <w:rFonts w:ascii="Times New Roman" w:cs="Times New Roman" w:eastAsia="Times New Roman" w:hAnsi="Times New Roman"/>
          <w:b/>
          <w:bCs/>
          <w:color w:val="1F3864"/>
          <w:sz w:val="24"/>
          <w:szCs w:val="24"/>
        </w:rPr>
        <w:t xml:space="preserve">6.2  The Scaling Law</w:t>
      </w:r>
    </w:p>
    <w:p>
      <w:pPr>
        <w:spacing w:after="160" w:before="0"/>
        <w:jc w:val="center"/>
      </w:pPr>
      <w:r>
        <w:rPr>
          <w:rFonts w:ascii="Times New Roman" w:cs="Times New Roman" w:eastAsia="Times New Roman" w:hAnsi="Times New Roman"/>
          <w:b/>
          <w:bCs/>
          <w:i w:val="false"/>
          <w:iCs w:val="false"/>
          <w:color w:val="333333"/>
          <w:sz w:val="22"/>
          <w:szCs w:val="22"/>
        </w:rPr>
        <w:t xml:space="preserve">K_total = Σaᵢ + β · [n(n−1)/2] · ∏aᵢ</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Additive term: individual domain value. Multiplicative term: pairwise cross-links. The product ∏aᵢ means one weak domain collapses the network — the weakest-link property. [CONJECTURE] pending measurement.</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Plant-Wide Monitoring.  </w:t>
      </w:r>
      <w:r>
        <w:rPr>
          <w:rFonts w:ascii="Times New Roman" w:cs="Times New Roman" w:eastAsia="Times New Roman" w:hAnsi="Times New Roman"/>
          <w:color w:val="333333"/>
          <w:sz w:val="22"/>
          <w:szCs w:val="22"/>
        </w:rPr>
        <w:t xml:space="preserve">Monitoring product mix (ρ₁), energy budget (ρ₂), failure modes (ρ₃), and supply chain (ρ₄) gives 4·3/2 = 6 cross-link channels. A proof that "Keff collapse in product mix precedes alarm in failure modes" discovered in one plant transfers to any plant with the same CL structure.</w:t>
      </w:r>
    </w:p>
    <w:p>
      <w:pPr>
        <w:pStyle w:val="Heading2"/>
        <w:spacing w:after="160" w:before="280"/>
      </w:pPr>
      <w:r>
        <w:rPr>
          <w:rFonts w:ascii="Times New Roman" w:cs="Times New Roman" w:eastAsia="Times New Roman" w:hAnsi="Times New Roman"/>
          <w:b/>
          <w:bCs/>
          <w:color w:val="1F3864"/>
          <w:sz w:val="24"/>
          <w:szCs w:val="24"/>
        </w:rPr>
        <w:t xml:space="preserve">6.3  Theorem Transport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Structural results proved in one domain hold in any HUF-isomorphic domain (Theorem F.3). An alarm correlation discovered between product mix and energy budget in Plant A transfers to Plant B if both use the same CL architecture. Only the interpretation Φ changes.</w:t>
      </w:r>
    </w:p>
    <w:p>
      <w:pPr>
        <w:pStyle w:val="Heading2"/>
        <w:spacing w:after="160" w:before="280"/>
      </w:pPr>
      <w:r>
        <w:rPr>
          <w:rFonts w:ascii="Times New Roman" w:cs="Times New Roman" w:eastAsia="Times New Roman" w:hAnsi="Times New Roman"/>
          <w:b/>
          <w:bCs/>
          <w:color w:val="1F3864"/>
          <w:sz w:val="24"/>
          <w:szCs w:val="24"/>
        </w:rPr>
        <w:t xml:space="preserve">6.4  Self-Training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CL-01–CL-04 are label-free (Theorem F.5). An engineer trained on product mix monitoring can apply the same pipeline to energy budgets, failure modes, or supply chain composition by learning only the new interpretation. The mathematical operations are identical.</w:t>
      </w:r>
    </w:p>
    <w:p>
      <w:r>
        <w:br w:type="page"/>
      </w:r>
    </w:p>
    <w:p>
      <w:pPr>
        <w:pStyle w:val="Heading1"/>
        <w:spacing w:after="200" w:before="360"/>
      </w:pPr>
      <w:r>
        <w:rPr>
          <w:rFonts w:ascii="Times New Roman" w:cs="Times New Roman" w:eastAsia="Times New Roman" w:hAnsi="Times New Roman"/>
          <w:b/>
          <w:bCs/>
          <w:color w:val="1F3864"/>
          <w:sz w:val="28"/>
          <w:szCs w:val="28"/>
        </w:rPr>
        <w:t xml:space="preserve">§7  Synthesis: From Theory to Implementation</w:t>
      </w:r>
    </w:p>
    <w:p>
      <w:pPr>
        <w:pStyle w:val="Heading2"/>
        <w:spacing w:after="160" w:before="280"/>
      </w:pPr>
      <w:r>
        <w:rPr>
          <w:rFonts w:ascii="Times New Roman" w:cs="Times New Roman" w:eastAsia="Times New Roman" w:hAnsi="Times New Roman"/>
          <w:b/>
          <w:bCs/>
          <w:color w:val="1F3864"/>
          <w:sz w:val="24"/>
          <w:szCs w:val="24"/>
        </w:rPr>
        <w:t xml:space="preserve">7.1  What Has Been Established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complete monitoring and control architecture for ratio-state systems: normalised carrier on the simplex, Keff observable, TV metric, CL pipeline with PLL heritage, IMC-PID calibration with quantified robustness, and supermodular amplification across domains.</w:t>
      </w:r>
    </w:p>
    <w:p>
      <w:pPr>
        <w:pStyle w:val="Heading2"/>
        <w:spacing w:after="160" w:before="280"/>
      </w:pPr>
      <w:r>
        <w:rPr>
          <w:rFonts w:ascii="Times New Roman" w:cs="Times New Roman" w:eastAsia="Times New Roman" w:hAnsi="Times New Roman"/>
          <w:b/>
          <w:bCs/>
          <w:color w:val="1F3864"/>
          <w:sz w:val="24"/>
          <w:szCs w:val="24"/>
        </w:rPr>
        <w:t xml:space="preserve">7.2  What Has Not Been Established</w:t>
      </w:r>
    </w:p>
    <w:p>
      <w:pPr>
        <w:spacing w:after="160" w:before="0"/>
        <w:jc w:val="both"/>
      </w:pPr>
      <w:r>
        <w:rPr>
          <w:rFonts w:ascii="Times New Roman" w:cs="Times New Roman" w:eastAsia="Times New Roman" w:hAnsi="Times New Roman"/>
          <w:b/>
          <w:bCs/>
          <w:color w:val="333333"/>
          <w:sz w:val="22"/>
          <w:szCs w:val="22"/>
        </w:rPr>
        <w:t xml:space="preserve">The hard gate: </w:t>
      </w:r>
      <w:r>
        <w:rPr>
          <w:rFonts w:ascii="Times New Roman" w:cs="Times New Roman" w:eastAsia="Times New Roman" w:hAnsi="Times New Roman"/>
          <w:color w:val="333333"/>
          <w:sz w:val="22"/>
          <w:szCs w:val="22"/>
        </w:rPr>
        <w:t xml:space="preserve">No real-data Keff validation on an actual process. CL-03 is ADD*; CL-05 is STORE. The scaling law (F.4) is [CONJECTURE].</w:t>
      </w:r>
    </w:p>
    <w:p>
      <w:pPr>
        <w:pStyle w:val="Heading2"/>
        <w:spacing w:after="160" w:before="280"/>
      </w:pPr>
      <w:r>
        <w:rPr>
          <w:rFonts w:ascii="Times New Roman" w:cs="Times New Roman" w:eastAsia="Times New Roman" w:hAnsi="Times New Roman"/>
          <w:b/>
          <w:bCs/>
          <w:color w:val="1F3864"/>
          <w:sz w:val="24"/>
          <w:szCs w:val="24"/>
        </w:rPr>
        <w:t xml:space="preserve">7.3  Implementation Path</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simplest validation: take a well-instrumented process with known composition changes (e.g., a blending system with documented grade transitions, or a reliability database with known maintenance interventions), compute the Keff time series, and run CL-01–CL-04. If verdicts correlate with known process events, the hard gate is passed.</w:t>
      </w:r>
    </w:p>
    <w:p>
      <w:pPr>
        <w:pBdr>
          <w:left w:val="single" w:color="37474F" w:sz="12"/>
        </w:pBdr>
        <w:spacing w:after="120" w:before="120"/>
        <w:ind w:left="480" w:right="360"/>
      </w:pPr>
      <w:r>
        <w:rPr>
          <w:rFonts w:ascii="Times New Roman" w:cs="Times New Roman" w:eastAsia="Times New Roman" w:hAnsi="Times New Roman"/>
          <w:b/>
          <w:bCs/>
          <w:color w:val="263238"/>
          <w:sz w:val="22"/>
          <w:szCs w:val="22"/>
        </w:rPr>
        <w:t xml:space="preserve">Pilot Implementation.  </w:t>
      </w:r>
      <w:r>
        <w:rPr>
          <w:rFonts w:ascii="Times New Roman" w:cs="Times New Roman" w:eastAsia="Times New Roman" w:hAnsi="Times New Roman"/>
          <w:color w:val="333333"/>
          <w:sz w:val="22"/>
          <w:szCs w:val="22"/>
        </w:rPr>
        <w:t xml:space="preserve">Candidate: a refinery product slate with ≥12 months of hourly composition data and documented process changes. Protocol: (1) normalise to ρ(t), (2) compute Keff(t), (3) run CL-01–CL-04 with declared baseline at commissioning, (4) compare verdict timeline against documented events (catalyst changes, feedstock switches, upsets). Success criterion: verdicts align with known events.</w:t>
      </w:r>
    </w:p>
    <w:p>
      <w:r>
        <w:br w:type="page"/>
      </w:r>
    </w:p>
    <w:p>
      <w:pPr>
        <w:pStyle w:val="Heading1"/>
        <w:spacing w:after="200" w:before="360"/>
      </w:pPr>
      <w:r>
        <w:rPr>
          <w:rFonts w:ascii="Times New Roman" w:cs="Times New Roman" w:eastAsia="Times New Roman" w:hAnsi="Times New Roman"/>
          <w:b/>
          <w:bCs/>
          <w:color w:val="1F3864"/>
          <w:sz w:val="28"/>
          <w:szCs w:val="28"/>
        </w:rPr>
        <w:t xml:space="preserve">Cross-Reference Table</w:t>
      </w:r>
    </w:p>
    <w:p>
      <w:pPr>
        <w:spacing w:after="160" w:before="0"/>
        <w:jc w:val="both"/>
      </w:pPr>
      <w:r>
        <w:rPr>
          <w:rFonts w:ascii="Times New Roman" w:cs="Times New Roman" w:eastAsia="Times New Roman" w:hAnsi="Times New Roman"/>
          <w:b w:val="false"/>
          <w:bCs w:val="false"/>
          <w:i/>
          <w:iCs/>
          <w:color w:val="333333"/>
          <w:sz w:val="22"/>
          <w:szCs w:val="22"/>
        </w:rPr>
        <w:t xml:space="preserve">Maps each Context Book chapter to the corresponding Math Book area and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00"/>
        <w:gridCol w:w="2360"/>
      </w:tblGrid>
      <w:tr>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Chapter</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Title</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Math Book Area</w:t>
            </w:r>
          </w:p>
        </w:tc>
        <w:tc>
          <w:tcPr>
            <w:tcW w:type="dxa" w:w="2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Key Results</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§1</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The Ratio-State Carrier</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A</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A.1–A.7</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§2</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Effective Complexity</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B</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B.1–B.6</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§3</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The Control Pipeline</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D</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D.1–D.3</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§4</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Failure Modes + Hysteresis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D</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D.4–D.6</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§5</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Calibration + FOPDT Limits + SOPDT</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E</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E.1–E.11</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§6</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Amplification Network</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Areas C + F</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C.1–C.7, F.1–F.5</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§7</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Synthesis</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All</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All</w:t>
            </w:r>
          </w:p>
        </w:tc>
      </w:tr>
    </w:tbl>
    <w:p>
      <w:pPr>
        <w:spacing w:after="160" w:before="120"/>
        <w:jc w:val="both"/>
      </w:pPr>
      <w:r>
        <w:rPr>
          <w:rFonts w:ascii="Times New Roman" w:cs="Times New Roman" w:eastAsia="Times New Roman" w:hAnsi="Times New Roman"/>
          <w:b w:val="false"/>
          <w:bCs w:val="false"/>
          <w:i/>
          <w:iCs/>
          <w:color w:val="333333"/>
          <w:sz w:val="22"/>
          <w:szCs w:val="22"/>
        </w:rPr>
        <w:t xml:space="preserve">7 chapters mapping to 6 Math Book areas. The two books together provide the complete Engineering Edition of the Higgins Unity Framework.</w:t>
      </w:r>
    </w:p>
    <w:p>
      <w:r>
        <w:br w:type="page"/>
      </w:r>
    </w:p>
    <w:p>
      <w:pPr>
        <w:pBdr>
          <w:top w:val="single" w:color="2E75B6" w:sz="4" w:space="1"/>
        </w:pBdr>
        <w:spacing w:after="0" w:before="0"/>
      </w:pPr>
    </w:p>
    <w:p>
      <w:pPr>
        <w:spacing w:after="160" w:before="0"/>
        <w:jc w:val="both"/>
      </w:pPr>
      <w:r>
        <w:rPr>
          <w:rFonts w:ascii="Times New Roman" w:cs="Times New Roman" w:eastAsia="Times New Roman" w:hAnsi="Times New Roman"/>
          <w:b w:val="false"/>
          <w:bCs w:val="false"/>
          <w:i/>
          <w:iCs/>
          <w:color w:val="666666"/>
          <w:sz w:val="22"/>
          <w:szCs w:val="22"/>
        </w:rPr>
        <w:t xml:space="preserve">Framework originator and operator directive: Peter Higgins</w:t>
      </w:r>
    </w:p>
    <w:p>
      <w:pPr>
        <w:spacing w:after="160" w:before="0"/>
        <w:jc w:val="both"/>
      </w:pPr>
      <w:r>
        <w:rPr>
          <w:rFonts w:ascii="Times New Roman" w:cs="Times New Roman" w:eastAsia="Times New Roman" w:hAnsi="Times New Roman"/>
          <w:b w:val="false"/>
          <w:bCs w:val="false"/>
          <w:i/>
          <w:iCs/>
          <w:color w:val="666666"/>
          <w:sz w:val="22"/>
          <w:szCs w:val="22"/>
        </w:rPr>
        <w:t xml:space="preserve">Narrative and document production: Claude (Anthropic)</w:t>
      </w:r>
    </w:p>
    <w:p>
      <w:pPr>
        <w:spacing w:after="160" w:before="0"/>
        <w:jc w:val="both"/>
      </w:pPr>
      <w:r>
        <w:rPr>
          <w:rFonts w:ascii="Times New Roman" w:cs="Times New Roman" w:eastAsia="Times New Roman" w:hAnsi="Times New Roman"/>
          <w:b w:val="false"/>
          <w:bCs w:val="false"/>
          <w:i/>
          <w:iCs/>
          <w:color w:val="666666"/>
          <w:sz w:val="22"/>
          <w:szCs w:val="22"/>
        </w:rPr>
        <w:t xml:space="preserve">Collective review contributions: ChatGPT (OpenAI), Grok (xAI), Gemini (Google), Copilot (Microsoft)</w:t>
      </w:r>
    </w:p>
    <w:p>
      <w:pPr>
        <w:spacing w:after="160" w:before="0"/>
        <w:jc w:val="both"/>
      </w:pPr>
      <w:r>
        <w:rPr>
          <w:rFonts w:ascii="Times New Roman" w:cs="Times New Roman" w:eastAsia="Times New Roman" w:hAnsi="Times New Roman"/>
          <w:b/>
          <w:bCs/>
          <w:i/>
          <w:iCs/>
          <w:color w:val="666666"/>
          <w:sz w:val="22"/>
          <w:szCs w:val="22"/>
        </w:rPr>
        <w:t xml:space="preserve">Evidentiary note: </w:t>
      </w:r>
      <w:r>
        <w:rPr>
          <w:rFonts w:ascii="Times New Roman" w:cs="Times New Roman" w:eastAsia="Times New Roman" w:hAnsi="Times New Roman"/>
          <w:i/>
          <w:iCs/>
          <w:color w:val="666666"/>
          <w:sz w:val="22"/>
          <w:szCs w:val="22"/>
        </w:rPr>
        <w:t xml:space="preserve">This edition is derived from the Mathematician’s Edition (HUF-CONTEXT-01) via controlled subtraction. The same 27 formal results are referenced. Evidentiary tiers unchanged: CL-03 ADD*, CL-05 STORE, F.4 [CONJECTURE]. All domain examples are illustrative; none constitute empirical validation.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0"/>
    </w:pPr>
    <w:r>
      <w:rPr>
        <w:rFonts w:ascii="Times New Roman" w:cs="Times New Roman" w:eastAsia="Times New Roman" w:hAnsi="Times New Roman"/>
        <w:color w:val="999999"/>
        <w:sz w:val="16"/>
        <w:szCs w:val="16"/>
      </w:rPr>
      <w:t xml:space="preserve">HUF Advanced Theory and Concepts — Engineering Edition</w:t>
    </w:r>
    <w:r>
      <w:rPr>
        <w:rFonts w:ascii="Times New Roman" w:cs="Times New Roman" w:eastAsia="Times New Roman" w:hAnsi="Times New Roman"/>
        <w:color w:val="999999"/>
        <w:sz w:val="16"/>
        <w:szCs w:val="16"/>
      </w:rPr>
      <w:t xml:space="preserve">	HUF-CONTEXT-04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2026-03-17T06:08:27.295Z</dcterms:created>
  <dcterms:modified xsi:type="dcterms:W3CDTF">2026-03-17T06:08:27.295Z</dcterms:modified>
</cp:coreProperties>
</file>

<file path=docProps/custom.xml><?xml version="1.0" encoding="utf-8"?>
<Properties xmlns="http://schemas.openxmlformats.org/officeDocument/2006/custom-properties" xmlns:vt="http://schemas.openxmlformats.org/officeDocument/2006/docPropsVTypes"/>
</file>