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2E75B6"/>
          <w:spacing w:val="120"/>
          <w:sz w:val="20"/>
          <w:szCs w:val="20"/>
        </w:rPr>
        <w:t xml:space="preserve">HIGGINS UNITY FRAMEWORK</w:t>
      </w:r>
    </w:p>
    <w:p>
      <w:pPr>
        <w:pBdr>
          <w:bottom w:val="single" w:color="2E75B6" w:sz="6" w:space="1"/>
        </w:pBdr>
        <w:spacing w:after="0" w:before="0"/>
        <w:jc w:val="center"/>
      </w:pPr>
      <w:r>
        <w:rPr>
          <w:rFonts w:ascii="Times New Roman" w:cs="Times New Roman" w:eastAsia="Times New Roman" w:hAnsi="Times New Roman"/>
          <w:b/>
          <w:bCs/>
          <w:color w:val="1F3864"/>
          <w:sz w:val="36"/>
          <w:szCs w:val="36"/>
        </w:rPr>
        <w:t xml:space="preserve">Advanced Theory and Concepts</w:t>
      </w:r>
    </w:p>
    <w:p>
      <w:pPr>
        <w:spacing w:after="60" w:before="120"/>
        <w:jc w:val="center"/>
      </w:pPr>
      <w:r>
        <w:rPr>
          <w:rFonts w:ascii="Times New Roman" w:cs="Times New Roman" w:eastAsia="Times New Roman" w:hAnsi="Times New Roman"/>
          <w:i/>
          <w:iCs/>
          <w:color w:val="333333"/>
          <w:sz w:val="24"/>
          <w:szCs w:val="24"/>
        </w:rPr>
        <w:t xml:space="preserve">Mathematician's Edition — The Context Book</w:t>
      </w:r>
    </w:p>
    <w:p>
      <w:pPr>
        <w:spacing w:after="60" w:before="0"/>
        <w:jc w:val="center"/>
      </w:pPr>
      <w:r>
        <w:rPr>
          <w:rFonts w:ascii="Times New Roman" w:cs="Times New Roman" w:eastAsia="Times New Roman" w:hAnsi="Times New Roman"/>
          <w:i/>
          <w:iCs/>
          <w:color w:val="2E75B6"/>
          <w:sz w:val="20"/>
          <w:szCs w:val="20"/>
        </w:rPr>
        <w:t xml:space="preserve">Paired with: HUF Advanced Mathematics Reference (The Math Book)</w:t>
      </w:r>
    </w:p>
    <w:p>
      <w:pPr>
        <w:spacing w:after="0" w:before="60"/>
        <w:jc w:val="center"/>
      </w:pPr>
      <w:r>
        <w:rPr>
          <w:rFonts w:ascii="Times New Roman" w:cs="Times New Roman" w:eastAsia="Times New Roman" w:hAnsi="Times New Roman"/>
          <w:color w:val="666666"/>
          <w:sz w:val="18"/>
          <w:szCs w:val="18"/>
        </w:rPr>
        <w:t xml:space="preserve">Corpus Reference: HUF-CONTEXT-01  •  Date: 16 March 2026</w:t>
      </w:r>
    </w:p>
    <w:p>
      <w:pPr>
        <w:spacing w:after="300" w:before="60"/>
        <w:jc w:val="center"/>
      </w:pPr>
      <w:r>
        <w:rPr>
          <w:rFonts w:ascii="Times New Roman" w:cs="Times New Roman" w:eastAsia="Times New Roman" w:hAnsi="Times New Roman"/>
          <w:color w:val="666666"/>
          <w:sz w:val="18"/>
          <w:szCs w:val="18"/>
        </w:rPr>
        <w:t xml:space="preserve">Framework Originator: Peter Higgins  •  Narrative: Claude (Anthropic)</w:t>
      </w:r>
    </w:p>
    <w:p>
      <w:pPr>
        <w:pStyle w:val="Heading1"/>
        <w:spacing w:after="200" w:before="360"/>
      </w:pPr>
      <w:r>
        <w:rPr>
          <w:rFonts w:ascii="Times New Roman" w:cs="Times New Roman" w:eastAsia="Times New Roman" w:hAnsi="Times New Roman"/>
          <w:b/>
          <w:bCs/>
          <w:color w:val="1F3864"/>
          <w:sz w:val="28"/>
          <w:szCs w:val="28"/>
        </w:rPr>
        <w:t xml:space="preserve">Preface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book provides the conceptual narrative, engineering motivation, and operational interpretation for the Higgins Unity Framework. It is one half of a pair. The companion volume — the Math Book — contains the complete formal mathematics: every definition, theorem, and proof.</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Cross-references of the form "See Math Book [Result X.Y]" direct the reader to the relevant formal statement. The two books are designed to be read side by side or independently. A reader who wants to understand what the mathematics means and why it was chosen should begin here. A reader who wants only the formal results should begin with the Math Book.</w:t>
      </w:r>
    </w:p>
    <w:p>
      <w:pPr>
        <w:spacing w:after="160" w:before="0"/>
        <w:jc w:val="both"/>
      </w:pPr>
      <w:r>
        <w:rPr>
          <w:rFonts w:ascii="Times New Roman" w:cs="Times New Roman" w:eastAsia="Times New Roman" w:hAnsi="Times New Roman"/>
          <w:b/>
          <w:bCs/>
          <w:color w:val="333333"/>
          <w:sz w:val="22"/>
          <w:szCs w:val="22"/>
        </w:rPr>
        <w:t xml:space="preserve">Audience: </w:t>
      </w:r>
      <w:r>
        <w:rPr>
          <w:rFonts w:ascii="Times New Roman" w:cs="Times New Roman" w:eastAsia="Times New Roman" w:hAnsi="Times New Roman"/>
          <w:color w:val="333333"/>
          <w:sz w:val="22"/>
          <w:szCs w:val="22"/>
        </w:rPr>
        <w:t xml:space="preserve">Mathematicians, theoretical physicists, and control theorists who want to understand the design logic behind HUF before engaging the formalism. No specific domain knowledge is assumed beyond graduate-level familiarity with probability, measure theory, and feedback control.</w:t>
      </w:r>
    </w:p>
    <w:p>
      <w:pPr>
        <w:spacing w:after="160" w:before="0"/>
        <w:jc w:val="both"/>
      </w:pPr>
      <w:r>
        <w:rPr>
          <w:rFonts w:ascii="Times New Roman" w:cs="Times New Roman" w:eastAsia="Times New Roman" w:hAnsi="Times New Roman"/>
          <w:b/>
          <w:bCs/>
          <w:color w:val="333333"/>
          <w:sz w:val="22"/>
          <w:szCs w:val="22"/>
        </w:rPr>
        <w:t xml:space="preserve">Reading guide: </w:t>
      </w:r>
      <w:r>
        <w:rPr>
          <w:rFonts w:ascii="Times New Roman" w:cs="Times New Roman" w:eastAsia="Times New Roman" w:hAnsi="Times New Roman"/>
          <w:color w:val="333333"/>
          <w:sz w:val="22"/>
          <w:szCs w:val="22"/>
        </w:rPr>
        <w:t xml:space="preserve">The six chapters follow the same logical sequence as the Math Book’s six areas. Chapter 1 introduces the carrier (ρ on the simplex). Chapter 2 introduces the observable (Keff). Chapters 3–4 establish the control pipeline and its failure modes via PLL precedent. Chapter 5 covers calibration. Chapter 6 develops the amplification network and cross-domain scaling.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Ratio-State Carrier</w:t>
      </w:r>
    </w:p>
    <w:p>
      <w:pPr>
        <w:spacing w:after="160" w:before="0"/>
        <w:ind w:left="480"/>
        <w:jc w:val="both"/>
      </w:pPr>
      <w:r>
        <w:rPr>
          <w:rFonts w:ascii="Times New Roman" w:cs="Times New Roman" w:eastAsia="Times New Roman" w:hAnsi="Times New Roman"/>
          <w:i/>
          <w:iCs/>
          <w:color w:val="2E75B6"/>
          <w:sz w:val="22"/>
          <w:szCs w:val="22"/>
        </w:rPr>
        <w:t xml:space="preserve">See Math Book Area A (Definitions A.1–A.2, Theorems A.3–A.7)</w:t>
      </w:r>
    </w:p>
    <w:p>
      <w:pPr>
        <w:pStyle w:val="Heading2"/>
        <w:spacing w:after="160" w:before="280"/>
      </w:pPr>
      <w:r>
        <w:rPr>
          <w:rFonts w:ascii="Times New Roman" w:cs="Times New Roman" w:eastAsia="Times New Roman" w:hAnsi="Times New Roman"/>
          <w:b/>
          <w:bCs/>
          <w:color w:val="1F3864"/>
          <w:sz w:val="24"/>
          <w:szCs w:val="24"/>
        </w:rPr>
        <w:t xml:space="preserve">1.1  The Central Design Choice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Every monitoring framework must choose a carrier — the fundamental mathematical object on which all operations act. HUF’s choice is unusual and deliberate: the carrier is not a single number, not a time series, and not an absolute quantity. It is a ratio-state vector ρ — a point on the probability simplex Δⁿ⁻¹.</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choice was not obvious. Early formulations treated Keff (effective complexity) as the carrier. The insight that Keff is the observable, not the carrier, emerged during the 2025–2026 formalisation process. The distinction is fundamental: ρ carries the full multivariate state of a portfolio; Keff is a scalar summary extracted from ρ. A scalar cannot encode allocation structure. A vector on the simplex can.</w:t>
      </w:r>
    </w:p>
    <w:p>
      <w:pPr>
        <w:pStyle w:val="Heading2"/>
        <w:spacing w:after="160" w:before="280"/>
      </w:pPr>
      <w:r>
        <w:rPr>
          <w:rFonts w:ascii="Times New Roman" w:cs="Times New Roman" w:eastAsia="Times New Roman" w:hAnsi="Times New Roman"/>
          <w:b/>
          <w:bCs/>
          <w:color w:val="1F3864"/>
          <w:sz w:val="24"/>
          <w:szCs w:val="24"/>
        </w:rPr>
        <w:t xml:space="preserve">1.2  Why the Simplex?</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probability simplex is the natural habitat for proportional allocation. Any system where the relevant quantities are shares of a whole — species proportions in an ecosystem, capital allocation in a portfolio, ingredient ratios in a recipe — lives on the simplex. The constraint Σρᵢ = 1 is not a modelling choice; it is a physical fact about proportions. One hundred percent is one hundred percent.</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Design Principle.  </w:t>
      </w:r>
      <w:r>
        <w:rPr>
          <w:rFonts w:ascii="Times New Roman" w:cs="Times New Roman" w:eastAsia="Times New Roman" w:hAnsi="Times New Roman"/>
          <w:color w:val="333333"/>
          <w:sz w:val="22"/>
          <w:szCs w:val="22"/>
        </w:rPr>
        <w:t xml:space="preserve">Choose a carrier that encodes the constraint you cannot negotiate. For proportional systems, the non-negotiable constraint is that shares sum to unity. The simplex embeds this constraint geometrically: every point on Δⁿ⁻¹ satisfies it automatically.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choice gives HUF several properties for free. Scale invariance: if the total pool doubles but the allocation stays the same, ρ is unchanged, and so is every CL operation. Composition closure: any two simplex points can be mixed, and the result is still on the simplex. Bounded domain: TV(ρ, ρ′) ∈ [0, 1], giving drift measurements a natural, unitless scale.</w:t>
      </w:r>
    </w:p>
    <w:p>
      <w:pPr>
        <w:pStyle w:val="Heading2"/>
        <w:spacing w:after="160" w:before="280"/>
      </w:pPr>
      <w:r>
        <w:rPr>
          <w:rFonts w:ascii="Times New Roman" w:cs="Times New Roman" w:eastAsia="Times New Roman" w:hAnsi="Times New Roman"/>
          <w:b/>
          <w:bCs/>
          <w:color w:val="1F3864"/>
          <w:sz w:val="24"/>
          <w:szCs w:val="24"/>
        </w:rPr>
        <w:t xml:space="preserve">1.3  CL-01 as Admissibility Gate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unity constraint Σρᵢ = 1 is enforced by CL-01, the first stage of the control pipeline. CL-01 is not a monitoring operation; it is an admissibility gate. It asks a single question: is the input a valid point on the simplex? If the answer is no, the pipeline rejects the input before any analysis occurs.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Mathematically, this is trivial — the Math Book proves it in a single step (Theorem A.3). Operationally, it is the most important stage in the pipeline, because everything downstream assumes simplex membership. A non-normalised input would make TV distance, entropy, and Keff all meaningless.</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Ecology.  </w:t>
      </w:r>
      <w:r>
        <w:rPr>
          <w:rFonts w:ascii="Times New Roman" w:cs="Times New Roman" w:eastAsia="Times New Roman" w:hAnsi="Times New Roman"/>
          <w:color w:val="333333"/>
          <w:sz w:val="22"/>
          <w:szCs w:val="22"/>
        </w:rPr>
        <w:t xml:space="preserve">An ecologist submits a species-abundance vector where the proportions sum to 1.03 (due to rounding in field data). CL-01 rejects or renormalises before CL-02 computes drift. Without this gate, the 3% error would propagate through every downstream calculation.</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Finance.  </w:t>
      </w:r>
      <w:r>
        <w:rPr>
          <w:rFonts w:ascii="Times New Roman" w:cs="Times New Roman" w:eastAsia="Times New Roman" w:hAnsi="Times New Roman"/>
          <w:color w:val="333333"/>
          <w:sz w:val="22"/>
          <w:szCs w:val="22"/>
        </w:rPr>
        <w:t xml:space="preserve">A portfolio manager reports allocations that sum to 0.97 (because 3% is in transit). CL-01 flags the gap. The manager must decide whether to treat the missing 3% as cash (a real component) or an accounting lag (to be normalised away). This is a modelling decision, not a mathematical one — and CL-01 forces it to be made explicitly.</w:t>
      </w:r>
    </w:p>
    <w:p>
      <w:pPr>
        <w:pStyle w:val="Heading2"/>
        <w:spacing w:after="160" w:before="280"/>
      </w:pPr>
      <w:r>
        <w:rPr>
          <w:rFonts w:ascii="Times New Roman" w:cs="Times New Roman" w:eastAsia="Times New Roman" w:hAnsi="Times New Roman"/>
          <w:b/>
          <w:bCs/>
          <w:color w:val="1F3864"/>
          <w:sz w:val="24"/>
          <w:szCs w:val="24"/>
        </w:rPr>
        <w:t xml:space="preserve">1.4  The Tangent Space and CL-05</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When CL-05 computes a correction — a recommended adjustment to the portfolio — the correction must keep the state on the simplex. This means the correction vector must be zero-sum: it can move weight between components but cannot create or destroy total weight. The Math Book formalises this as the tangent space condition (Theorem A.4).</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practical consequence is powerful: every CL-05 correction is automatically conservative. It redistributes rather than inflates. If you add 5% to one component, you must remove 5% from others. This is exactly the constraint that distinguishes rebalancing from printing money.</w:t>
      </w:r>
    </w:p>
    <w:p>
      <w:pPr>
        <w:pStyle w:val="Heading2"/>
        <w:spacing w:after="160" w:before="280"/>
      </w:pPr>
      <w:r>
        <w:rPr>
          <w:rFonts w:ascii="Times New Roman" w:cs="Times New Roman" w:eastAsia="Times New Roman" w:hAnsi="Times New Roman"/>
          <w:b/>
          <w:bCs/>
          <w:color w:val="1F3864"/>
          <w:sz w:val="24"/>
          <w:szCs w:val="24"/>
        </w:rPr>
        <w:t xml:space="preserve">1.5  Total Variation as House Default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CL-02 needs a distance measure on the simplex to detect drift. The house default is Total Variation distance: TV(ρ, ρ′) = ½Σ|ρᵢ − ρᵢ′|. TV was chosen for three reasons.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First, it is maximally interpretable. TV(ρ, ρ′) equals the maximum total weight that can be moved from one set of components to another — it has a direct operational meaning in terms of reallocation.</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Second, it inherits scale invariance from the simplex (Theorem A.7). If the absolute pool size changes but the allocation is unchanged, TV reads zero drift. This is the correct behaviour: drift means structural change, not size change.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Third, it is metric-agnostic in the architectural sense. The CL pipeline uses TV as a default, but nothing in the control topology requires it. Jensen–Shannon divergence, Hellinger distance, or any other simplex-native divergence could be substituted without altering CL-02’s role. The architecture is metric-agnostic; the corpus defaults to TV for concreteness and interpretability.</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Metric Selection Principle.  </w:t>
      </w:r>
      <w:r>
        <w:rPr>
          <w:rFonts w:ascii="Times New Roman" w:cs="Times New Roman" w:eastAsia="Times New Roman" w:hAnsi="Times New Roman"/>
          <w:color w:val="333333"/>
          <w:sz w:val="22"/>
          <w:szCs w:val="22"/>
        </w:rPr>
        <w:t xml:space="preserve">The choice of metric is a calibration decision, not an architectural one. TV is the default because it is interpretable and well-bounded. Domain experts may substitute alternatives — but they must justify the substitution in terms of domain-specific sensitivity requirements.</w:t>
      </w:r>
    </w:p>
    <w:p>
      <w:r>
        <w:br w:type="page"/>
      </w:r>
    </w:p>
    <w:p>
      <w:pPr>
        <w:pStyle w:val="Heading1"/>
        <w:spacing w:after="200" w:before="360"/>
      </w:pPr>
      <w:r>
        <w:rPr>
          <w:rFonts w:ascii="Times New Roman" w:cs="Times New Roman" w:eastAsia="Times New Roman" w:hAnsi="Times New Roman"/>
          <w:b/>
          <w:bCs/>
          <w:color w:val="1F3864"/>
          <w:sz w:val="28"/>
          <w:szCs w:val="28"/>
        </w:rPr>
        <w:t xml:space="preserve">§2  Effective Complexity as Observable</w:t>
      </w:r>
    </w:p>
    <w:p>
      <w:pPr>
        <w:spacing w:after="160" w:before="0"/>
        <w:ind w:left="480"/>
        <w:jc w:val="both"/>
      </w:pPr>
      <w:r>
        <w:rPr>
          <w:rFonts w:ascii="Times New Roman" w:cs="Times New Roman" w:eastAsia="Times New Roman" w:hAnsi="Times New Roman"/>
          <w:i/>
          <w:iCs/>
          <w:color w:val="2E75B6"/>
          <w:sz w:val="22"/>
          <w:szCs w:val="22"/>
        </w:rPr>
        <w:t xml:space="preserve">See Math Book Area B (Definitions B.1–B.3, Theorems B.4–B.6)</w:t>
      </w:r>
    </w:p>
    <w:p>
      <w:pPr>
        <w:pStyle w:val="Heading2"/>
        <w:spacing w:after="160" w:before="280"/>
      </w:pPr>
      <w:r>
        <w:rPr>
          <w:rFonts w:ascii="Times New Roman" w:cs="Times New Roman" w:eastAsia="Times New Roman" w:hAnsi="Times New Roman"/>
          <w:b/>
          <w:bCs/>
          <w:color w:val="1F3864"/>
          <w:sz w:val="24"/>
          <w:szCs w:val="24"/>
        </w:rPr>
        <w:t xml:space="preserve">2.1  Why Extract a Scalar?</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carrier ρ is a vector. Vectors are rich but hard to summarise. A monitoring pipeline needs scalar triggers: "has drift exceeded a threshold?" requires a number, not a vector. The demodulation step — extracting Keff from ρ — serves exactly this purpose.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FM analogy is precise (and formalised in the Math Book as Theorem B.6). In an FM receiver, the carrier is a high-frequency waveform that carries modulated information. The demodulator extracts the instantaneous frequency — a scalar. In HUF, the carrier is ρ — a vector on the simplex. Keff is the demodulated observable: a scalar that summarises how many effective components the portfolio contains.</w:t>
      </w:r>
    </w:p>
    <w:p>
      <w:pPr>
        <w:pStyle w:val="Heading2"/>
        <w:spacing w:after="160" w:before="280"/>
      </w:pPr>
      <w:r>
        <w:rPr>
          <w:rFonts w:ascii="Times New Roman" w:cs="Times New Roman" w:eastAsia="Times New Roman" w:hAnsi="Times New Roman"/>
          <w:b/>
          <w:bCs/>
          <w:color w:val="1F3864"/>
          <w:sz w:val="24"/>
          <w:szCs w:val="24"/>
        </w:rPr>
        <w:t xml:space="preserve">2.2  Shannon vs Herfindahl</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HUF offers two conventions for Keff, each serving a different purpose.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Shannon convention, Keff(S) = exp(H(ρ)), measures the equivalent number of equally-weighted components. It is the house default — sensitive to the full distribution and used when every component matters.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Herfindahl convention, Keff(H) = 1/Σρᵢ², measures concentration. It is always more conservative: Keff(H) ≤ Keff(S) for every distribution (Theorem B.4). It is used when the concern is dominance — whether one or two components account for most of the portfolio.</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Finance.  </w:t>
      </w:r>
      <w:r>
        <w:rPr>
          <w:rFonts w:ascii="Times New Roman" w:cs="Times New Roman" w:eastAsia="Times New Roman" w:hAnsi="Times New Roman"/>
          <w:color w:val="333333"/>
          <w:sz w:val="22"/>
          <w:szCs w:val="22"/>
        </w:rPr>
        <w:t xml:space="preserve">A portfolio with five stocks at (40%, 30%, 15%, 10%, 5%) has Keff(S) ≈ 3.9 and Keff(H) ≈ 3.3. The Shannon convention says "about 4 effective stocks." The Herfindahl convention says "closer to 3 — the top two dominate." A risk manager concerned about concentration would prefer the conservative reading.</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Ecology.  </w:t>
      </w:r>
      <w:r>
        <w:rPr>
          <w:rFonts w:ascii="Times New Roman" w:cs="Times New Roman" w:eastAsia="Times New Roman" w:hAnsi="Times New Roman"/>
          <w:color w:val="333333"/>
          <w:sz w:val="22"/>
          <w:szCs w:val="22"/>
        </w:rPr>
        <w:t xml:space="preserve">A wetland with species proportions (50%, 25%, 12.5%, 6.25%, 6.25%) has Keff(S) ≈ 3.7 and Keff(H) ≈ 3.0. If the management question is "how many species are ecologically significant?" the Herfindahl convention gives the more cautious answer.</w:t>
      </w:r>
    </w:p>
    <w:p>
      <w:pPr>
        <w:pStyle w:val="Heading2"/>
        <w:spacing w:after="160" w:before="280"/>
      </w:pPr>
      <w:r>
        <w:rPr>
          <w:rFonts w:ascii="Times New Roman" w:cs="Times New Roman" w:eastAsia="Times New Roman" w:hAnsi="Times New Roman"/>
          <w:b/>
          <w:bCs/>
          <w:color w:val="1F3864"/>
          <w:sz w:val="24"/>
          <w:szCs w:val="24"/>
        </w:rPr>
        <w:t xml:space="preserve">2.3  The Unique Maximum</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Shannon entropy, and therefore Keff(S), is strictly concave on the simplex (Theorem B.5). This means there is exactly one distribution that maximises Keff: the uniform distribution ρᵢ = 1/n, where Keff = n.</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is not a value judgement — HUF does not claim that uniform allocation is optimal. It is a geometric fact: the uniform distribution is the centroid of the simplex, the point of maximum uncertainty, the state where every component carries equal weight. Any deviation from uniformity reduces Keff.</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operational implication is that Keff drift is directional. A decline in Keff always means concentration is increasing (weight is shifting toward fewer components). An increase always means diversification is increasing. This gives CL-02 a natural polarity for interpreting drift direction.</w:t>
      </w:r>
    </w:p>
    <w:p>
      <w:pPr>
        <w:pStyle w:val="Heading2"/>
        <w:spacing w:after="160" w:before="280"/>
      </w:pPr>
      <w:r>
        <w:rPr>
          <w:rFonts w:ascii="Times New Roman" w:cs="Times New Roman" w:eastAsia="Times New Roman" w:hAnsi="Times New Roman"/>
          <w:b/>
          <w:bCs/>
          <w:color w:val="1F3864"/>
          <w:sz w:val="24"/>
          <w:szCs w:val="24"/>
        </w:rPr>
        <w:t xml:space="preserve">2.4  Carrier vs Observable — Getting the Ontology Right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distinction between carrier (ρ) and observable (Keff) is the single most important ontological commitment in the HUF corpus. It was clarified during the March 2026 carrier ontology patch, which unified the language across all corpus documents.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rule is simple: ρ carries the state. Keff extracts a summary. CL-01 through CL-04 act on ρ (or on scalars derived from ρ, such as Keff and TV). CL-05 corrects ρ. Nothing in the pipeline corrects Keff directly — Keff changes only because ρ changes.</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Ontological Rule.  </w:t>
      </w:r>
      <w:r>
        <w:rPr>
          <w:rFonts w:ascii="Times New Roman" w:cs="Times New Roman" w:eastAsia="Times New Roman" w:hAnsi="Times New Roman"/>
          <w:color w:val="333333"/>
          <w:sz w:val="22"/>
          <w:szCs w:val="22"/>
        </w:rPr>
        <w:t xml:space="preserve">Never confuse the carrier with the observable. ρ is the carrier — the vector that transports portfolio state through the CL pipeline. Keff is the observable — the scalar extracted by demodulation. The pipeline controls ρ; Keff is a consequence.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The Control Pipeline</w:t>
      </w:r>
    </w:p>
    <w:p>
      <w:pPr>
        <w:spacing w:after="160" w:before="0"/>
        <w:ind w:left="480"/>
        <w:jc w:val="both"/>
      </w:pPr>
      <w:r>
        <w:rPr>
          <w:rFonts w:ascii="Times New Roman" w:cs="Times New Roman" w:eastAsia="Times New Roman" w:hAnsi="Times New Roman"/>
          <w:i/>
          <w:iCs/>
          <w:color w:val="2E75B6"/>
          <w:sz w:val="22"/>
          <w:szCs w:val="22"/>
        </w:rPr>
        <w:t xml:space="preserve">See Math Book Area D (Definitions D.1–D.2, Theorem D.3)</w:t>
      </w:r>
    </w:p>
    <w:p>
      <w:pPr>
        <w:pStyle w:val="Heading2"/>
        <w:spacing w:after="160" w:before="280"/>
      </w:pPr>
      <w:r>
        <w:rPr>
          <w:rFonts w:ascii="Times New Roman" w:cs="Times New Roman" w:eastAsia="Times New Roman" w:hAnsi="Times New Roman"/>
          <w:b/>
          <w:bCs/>
          <w:color w:val="1F3864"/>
          <w:sz w:val="24"/>
          <w:szCs w:val="24"/>
        </w:rPr>
        <w:t xml:space="preserve">3.1  Why a Phase-Locked Loop?</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CL pipeline was not designed to resemble a PLL. The resemblance emerged during formalisation. When the five CL stages were laid out side by side with the five PLL components, the structural correspondence was exact — not metaphorical, not approximate, but a point-by-point mapping of composition, feedback, stability, and noise performance (Theorem D.3).</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is important because it means the CL architecture inherits decades of engineering validation. Every PLL failure mode, every stability criterion, every tuning intuition from communications engineering has a direct counterpart in the CL pipeline. The framework did not have to discover these from scratch; it inherited them through structural homomorphism.</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Homomorphism Scope.  </w:t>
      </w:r>
      <w:r>
        <w:rPr>
          <w:rFonts w:ascii="Times New Roman" w:cs="Times New Roman" w:eastAsia="Times New Roman" w:hAnsi="Times New Roman"/>
          <w:color w:val="333333"/>
          <w:sz w:val="22"/>
          <w:szCs w:val="22"/>
        </w:rPr>
        <w:t xml:space="preserve">The PLL→CL homomorphism maps architecture, control topology, failure modes, and tuning intuition. It does not transfer parameter values or performance bounds, which require domain calibration against real data. The homomorphism tells you what can go wrong and why; calibration tells you how much tolerance you have.</w:t>
      </w:r>
    </w:p>
    <w:p>
      <w:pPr>
        <w:pStyle w:val="Heading2"/>
        <w:spacing w:after="160" w:before="280"/>
      </w:pPr>
      <w:r>
        <w:rPr>
          <w:rFonts w:ascii="Times New Roman" w:cs="Times New Roman" w:eastAsia="Times New Roman" w:hAnsi="Times New Roman"/>
          <w:b/>
          <w:bCs/>
          <w:color w:val="1F3864"/>
          <w:sz w:val="24"/>
          <w:szCs w:val="24"/>
        </w:rPr>
        <w:t xml:space="preserve">3.2  The Five Stages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CL-01 (Validity) corresponds to the PLL feedback divider. It closes the loop by validating the corrected state and returning it for the next monitoring cycle. In the PLL, the divider scales the VCO output before comparison; in CL, CL-01 ensures ρ is on the simplex before drift detection.</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CL-02 (Drift Trigger) corresponds to the phase detector. It compares the current state against a reference and produces an error signal. In the PLL, this is the phase difference; in CL, it is the TV distance between successive ratio-states. When TV exceeds a threshold, the pipeline activates.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CL-03 (Complexity Gauge) corresponds to the loop filter / FM discriminator. It processes the error signal to extract the informative content. In the PLL, the discriminator extracts instantaneous frequency from phase; in CL, CL-03 extracts Keff from ρ and compares against the declared reference trajectory.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CL-04 (Verdict Logic) corresponds to the lock detector / AGC. It decides whether the system is locked (coherent), drifting (alert), or lost (alarm). In the PLL, the lock detector triggers acquisition mode when lock is lost; in CL, CL-04 classifies the system state and triggers CL-05 if needed.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CL-05 (Restorative Control) corresponds to the VCO. It applies the correction that drives the system back toward coherence. In the PLL, the VCO adjusts frequency; in CL, CL-05 computes a zero-sum correction vector in the tangent space and applies it to ρ.</w:t>
      </w:r>
    </w:p>
    <w:p>
      <w:pPr>
        <w:pStyle w:val="Heading2"/>
        <w:spacing w:after="160" w:before="280"/>
      </w:pPr>
      <w:r>
        <w:rPr>
          <w:rFonts w:ascii="Times New Roman" w:cs="Times New Roman" w:eastAsia="Times New Roman" w:hAnsi="Times New Roman"/>
          <w:b/>
          <w:bCs/>
          <w:color w:val="1F3864"/>
          <w:sz w:val="24"/>
          <w:szCs w:val="24"/>
        </w:rPr>
        <w:t xml:space="preserve">3.3  What "Structural Homomorphism" Means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word "homomorphism" is used precisely in the mathematical sense: a map that preserves structure. F: PLL → CL preserves four things.</w:t>
      </w:r>
    </w:p>
    <w:p>
      <w:pPr>
        <w:spacing w:after="160" w:before="0"/>
        <w:jc w:val="both"/>
      </w:pPr>
      <w:r>
        <w:rPr>
          <w:rFonts w:ascii="Times New Roman" w:cs="Times New Roman" w:eastAsia="Times New Roman" w:hAnsi="Times New Roman"/>
          <w:b/>
          <w:bCs/>
          <w:color w:val="333333"/>
          <w:sz w:val="22"/>
          <w:szCs w:val="22"/>
        </w:rPr>
        <w:t xml:space="preserve">Composition: </w:t>
      </w:r>
      <w:r>
        <w:rPr>
          <w:rFonts w:ascii="Times New Roman" w:cs="Times New Roman" w:eastAsia="Times New Roman" w:hAnsi="Times New Roman"/>
          <w:color w:val="333333"/>
          <w:sz w:val="22"/>
          <w:szCs w:val="22"/>
        </w:rPr>
        <w:t xml:space="preserve">cascading PLL stages maps to cascading CL stages. The signal-flow graph is identical.</w:t>
      </w:r>
    </w:p>
    <w:p>
      <w:pPr>
        <w:spacing w:after="160" w:before="0"/>
        <w:jc w:val="both"/>
      </w:pPr>
      <w:r>
        <w:rPr>
          <w:rFonts w:ascii="Times New Roman" w:cs="Times New Roman" w:eastAsia="Times New Roman" w:hAnsi="Times New Roman"/>
          <w:b/>
          <w:bCs/>
          <w:color w:val="333333"/>
          <w:sz w:val="22"/>
          <w:szCs w:val="22"/>
        </w:rPr>
        <w:t xml:space="preserve">Feedback topology: </w:t>
      </w:r>
      <w:r>
        <w:rPr>
          <w:rFonts w:ascii="Times New Roman" w:cs="Times New Roman" w:eastAsia="Times New Roman" w:hAnsi="Times New Roman"/>
          <w:color w:val="333333"/>
          <w:sz w:val="22"/>
          <w:szCs w:val="22"/>
        </w:rPr>
        <w:t xml:space="preserve">both systems close a negative-feedback loop through the same structural path.</w:t>
      </w:r>
    </w:p>
    <w:p>
      <w:pPr>
        <w:spacing w:after="160" w:before="0"/>
        <w:jc w:val="both"/>
      </w:pPr>
      <w:r>
        <w:rPr>
          <w:rFonts w:ascii="Times New Roman" w:cs="Times New Roman" w:eastAsia="Times New Roman" w:hAnsi="Times New Roman"/>
          <w:b/>
          <w:bCs/>
          <w:color w:val="333333"/>
          <w:sz w:val="22"/>
          <w:szCs w:val="22"/>
        </w:rPr>
        <w:t xml:space="preserve">Stability conditions: </w:t>
      </w:r>
      <w:r>
        <w:rPr>
          <w:rFonts w:ascii="Times New Roman" w:cs="Times New Roman" w:eastAsia="Times New Roman" w:hAnsi="Times New Roman"/>
          <w:color w:val="333333"/>
          <w:sz w:val="22"/>
          <w:szCs w:val="22"/>
        </w:rPr>
        <w:t xml:space="preserve">the Barkhausen criterion for the PLL maps to the damping requirement for CL-04/CL-05.</w:t>
      </w:r>
    </w:p>
    <w:p>
      <w:pPr>
        <w:spacing w:after="160" w:before="0"/>
        <w:jc w:val="both"/>
      </w:pPr>
      <w:r>
        <w:rPr>
          <w:rFonts w:ascii="Times New Roman" w:cs="Times New Roman" w:eastAsia="Times New Roman" w:hAnsi="Times New Roman"/>
          <w:b/>
          <w:bCs/>
          <w:color w:val="333333"/>
          <w:sz w:val="22"/>
          <w:szCs w:val="22"/>
        </w:rPr>
        <w:t xml:space="preserve">Noise performance: </w:t>
      </w:r>
      <w:r>
        <w:rPr>
          <w:rFonts w:ascii="Times New Roman" w:cs="Times New Roman" w:eastAsia="Times New Roman" w:hAnsi="Times New Roman"/>
          <w:color w:val="333333"/>
          <w:sz w:val="22"/>
          <w:szCs w:val="22"/>
        </w:rPr>
        <w:t xml:space="preserve">the bandwidth-SNR trade-off in the PLL maps to the sensitivity-specificity trade-off in CL-02.</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What the homomorphism does not transfer: specific gain values, specific bandwidth numbers, specific threshold settings. These require calibration in each domain. The homomorphism tells you the shape of the solution; calibration fills in the numbers.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Failure Modes and Engineering Lineage</w:t>
      </w:r>
    </w:p>
    <w:p>
      <w:pPr>
        <w:spacing w:after="160" w:before="0"/>
        <w:ind w:left="480"/>
        <w:jc w:val="both"/>
      </w:pPr>
      <w:r>
        <w:rPr>
          <w:rFonts w:ascii="Times New Roman" w:cs="Times New Roman" w:eastAsia="Times New Roman" w:hAnsi="Times New Roman"/>
          <w:i/>
          <w:iCs/>
          <w:color w:val="2E75B6"/>
          <w:sz w:val="22"/>
          <w:szCs w:val="22"/>
        </w:rPr>
        <w:t xml:space="preserve">See Math Book Area D (Theorems D.3–D.4, D.6; Definition D.5)</w:t>
      </w:r>
    </w:p>
    <w:p>
      <w:pPr>
        <w:pStyle w:val="Heading2"/>
        <w:spacing w:after="160" w:before="280"/>
      </w:pPr>
      <w:r>
        <w:rPr>
          <w:rFonts w:ascii="Times New Roman" w:cs="Times New Roman" w:eastAsia="Times New Roman" w:hAnsi="Times New Roman"/>
          <w:b/>
          <w:bCs/>
          <w:color w:val="1F3864"/>
          <w:sz w:val="24"/>
          <w:szCs w:val="24"/>
        </w:rPr>
        <w:t xml:space="preserve">4.1  Why Failure Modes Matter More Than Success Modes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A monitoring framework proves its value not by what it detects when things go right, but by how it behaves when things go wrong. The PLL homomorphism gives HUF a complete, pre-catalogued set of failure modes — each with known symptoms, known causes, and known mitigations.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is the operational payoff of the structural mapping. A framework designer working from first principles would have to discover these failure modes by trial and error. HUF inherits them from sixty years of PLL engineering.</w:t>
      </w:r>
    </w:p>
    <w:p>
      <w:pPr>
        <w:pStyle w:val="Heading2"/>
        <w:spacing w:after="160" w:before="280"/>
      </w:pPr>
      <w:r>
        <w:rPr>
          <w:rFonts w:ascii="Times New Roman" w:cs="Times New Roman" w:eastAsia="Times New Roman" w:hAnsi="Times New Roman"/>
          <w:b/>
          <w:bCs/>
          <w:color w:val="1F3864"/>
          <w:sz w:val="24"/>
          <w:szCs w:val="24"/>
        </w:rPr>
        <w:t xml:space="preserve">4.2  The Four Inherited Failure Modes</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Cycle Slipping → Keff Overshoot.  </w:t>
      </w:r>
      <w:r>
        <w:rPr>
          <w:rFonts w:ascii="Times New Roman" w:cs="Times New Roman" w:eastAsia="Times New Roman" w:hAnsi="Times New Roman"/>
          <w:color w:val="333333"/>
          <w:sz w:val="22"/>
          <w:szCs w:val="22"/>
        </w:rPr>
        <w:t xml:space="preserve">In a PLL, cycle slipping occurs when the phase error exceeds 2π and the loop "jumps" to a new cycle. In CL, this corresponds to Keff overshooting past the reference during correction — the portfolio overcorrects and lands in a new regime. Symptom: Keff oscillation after a CL-05 intervention. Mitigation: gain scheduling with sufficient damping (ζ &gt; 0.707).</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False Lock → Local Keff Optimum.  </w:t>
      </w:r>
      <w:r>
        <w:rPr>
          <w:rFonts w:ascii="Times New Roman" w:cs="Times New Roman" w:eastAsia="Times New Roman" w:hAnsi="Times New Roman"/>
          <w:color w:val="333333"/>
          <w:sz w:val="22"/>
          <w:szCs w:val="22"/>
        </w:rPr>
        <w:t xml:space="preserve">In a PLL, false lock occurs when the loop locks onto a harmonic or spur rather than the intended carrier. In CL, this corresponds to the pipeline converging to a local Keff optimum that satisfies CL-04’s thresholds but does not represent the declared ground state. Symptom: CL-04 reports "coherent" but the allocation differs from ρ*. Mitigation: periodic full-state comparison against ρ*, not just Keff comparison.</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Loss of Lock → Portfolio Shock.  </w:t>
      </w:r>
      <w:r>
        <w:rPr>
          <w:rFonts w:ascii="Times New Roman" w:cs="Times New Roman" w:eastAsia="Times New Roman" w:hAnsi="Times New Roman"/>
          <w:color w:val="333333"/>
          <w:sz w:val="22"/>
          <w:szCs w:val="22"/>
        </w:rPr>
        <w:t xml:space="preserve">In a PLL, loss of lock occurs when the input signal moves outside the lock range. In CL, this corresponds to an external shock so large that the current state is beyond the correctable range of CL-05. Symptom: CL-04 enters alarm state; CL-05 cannot compute a feasible correction. Mitigation: the operator constraint — CL-05 is STORE (stored, not deployed) until human authorisation.</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Jitter Accumulation → Keff Variance Growth.  </w:t>
      </w:r>
      <w:r>
        <w:rPr>
          <w:rFonts w:ascii="Times New Roman" w:cs="Times New Roman" w:eastAsia="Times New Roman" w:hAnsi="Times New Roman"/>
          <w:color w:val="333333"/>
          <w:sz w:val="22"/>
          <w:szCs w:val="22"/>
        </w:rPr>
        <w:t xml:space="preserve">In a PLL, jitter is the residual phase noise that accumulates over time. In CL, this corresponds to small, below-threshold drifts in ρ that individually do not trigger CL-02 but collectively cause Keff variance to grow between recalibrations. Symptom: Keff confidence intervals widen over time. Mitigation: periodic recalibration at intervals shorter than the jitter accumulation time constant.</w:t>
      </w:r>
    </w:p>
    <w:p>
      <w:pPr>
        <w:pStyle w:val="Heading2"/>
        <w:spacing w:after="160" w:before="280"/>
      </w:pPr>
      <w:r>
        <w:rPr>
          <w:rFonts w:ascii="Times New Roman" w:cs="Times New Roman" w:eastAsia="Times New Roman" w:hAnsi="Times New Roman"/>
          <w:b/>
          <w:bCs/>
          <w:color w:val="1F3864"/>
          <w:sz w:val="24"/>
          <w:szCs w:val="24"/>
        </w:rPr>
        <w:t xml:space="preserve">4.3  The Engineering Lineage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Each CL stage inherits not just a PLL component but an entire engineering domain with its own literature, tools, and practitioner community.</w:t>
      </w:r>
    </w:p>
    <w:p>
      <w:pPr>
        <w:spacing w:after="160" w:before="120"/>
        <w:jc w:val="both"/>
      </w:pPr>
      <w:r>
        <w:rPr>
          <w:rFonts w:ascii="Times New Roman" w:cs="Times New Roman" w:eastAsia="Times New Roman" w:hAnsi="Times New Roman"/>
          <w:b/>
          <w:bCs/>
          <w:color w:val="333333"/>
          <w:sz w:val="22"/>
          <w:szCs w:val="22"/>
        </w:rPr>
        <w:t xml:space="preserve">Table 1 — Engineering Lineage of CL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CL Stage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PLL Component</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Engineering Domain</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HUF Function</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Feedback Divider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Mixer / IF Normalization</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Admissibility gate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Phase Detector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Limiter + CFD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TV drift trigger</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Loop Filter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FM Discriminator</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Keff complexity gauge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Lock Detector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AGC</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Verdict logic</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CL-05</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VCO</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Full PLL</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Restorative control</w:t>
            </w:r>
          </w:p>
        </w:tc>
      </w:tr>
    </w:tbl>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practical value of this lineage is that HUF practitioners can draw on the PLL and FM receiver literature when they encounter unfamiliar behaviour. If CL-04 oscillates between "coherent" and "alert," the PLL practitioner recognises chatter at the lock boundary and knows to widen hysteresis. This transfer of diagnostic intuition is the primary operational benefit of the homomorphism.</w:t>
      </w:r>
    </w:p>
    <w:p>
      <w:pPr>
        <w:pStyle w:val="Heading2"/>
        <w:spacing w:after="160" w:before="280"/>
      </w:pPr>
      <w:r>
        <w:rPr>
          <w:rFonts w:ascii="Times New Roman" w:cs="Times New Roman" w:eastAsia="Times New Roman" w:hAnsi="Times New Roman"/>
          <w:b/>
          <w:bCs/>
          <w:color w:val="1F3864"/>
          <w:sz w:val="24"/>
          <w:szCs w:val="24"/>
        </w:rPr>
        <w:t xml:space="preserve">4.4  Hysteresis: Preventing Verdict Jitter</w:t>
      </w:r>
    </w:p>
    <w:p>
      <w:pPr>
        <w:spacing w:after="160" w:before="0"/>
        <w:ind w:left="480"/>
        <w:jc w:val="both"/>
      </w:pPr>
      <w:r>
        <w:rPr>
          <w:rFonts w:ascii="Times New Roman" w:cs="Times New Roman" w:eastAsia="Times New Roman" w:hAnsi="Times New Roman"/>
          <w:i/>
          <w:iCs/>
          <w:color w:val="2E75B6"/>
          <w:sz w:val="22"/>
          <w:szCs w:val="22"/>
        </w:rPr>
        <w:t xml:space="preserve">See Math Book Definitions D.5; Theorem D.6</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Of the four inherited failure modes, jitter is the most common in practice. A portfolio hovering near a CL-04 threshold will oscillate between GREEN and AMBER every monitoring cycle. This is the CL analogue of chatter at the lock-detect boundary in a PLL — the system is not failing, but the verdict is useless because it cannot distinguish noise from signal.</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Hysteresis Protocol.  </w:t>
      </w:r>
      <w:r>
        <w:rPr>
          <w:rFonts w:ascii="Times New Roman" w:cs="Times New Roman" w:eastAsia="Times New Roman" w:hAnsi="Times New Roman"/>
          <w:color w:val="333333"/>
          <w:sz w:val="22"/>
          <w:szCs w:val="22"/>
        </w:rPr>
        <w:t xml:space="preserve">The formal solution (Definition D.5) is a hysteresis protocol with two parameters: an escalation guard η (the verdict must exceed the threshold by η before escalating) and a persistence count m (the threshold must be breached for m consecutive readings). Together these reduce the false-transition rate exponentially in η and linearly in m (Theorem D.6).</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Ramsar Wetland Monitoring.  </w:t>
      </w:r>
      <w:r>
        <w:rPr>
          <w:rFonts w:ascii="Times New Roman" w:cs="Times New Roman" w:eastAsia="Times New Roman" w:hAnsi="Times New Roman"/>
          <w:color w:val="333333"/>
          <w:sz w:val="22"/>
          <w:szCs w:val="22"/>
        </w:rPr>
        <w:t xml:space="preserve">For monthly Keff monitoring with seasonal noise σ ≈ 0.3 Keff units, setting η = 0.5 and m = 3 gives an expected false-escalation rate of less than 0.1 per year. The operator sees stable GREEN for normal seasonal variation and genuine AMBER only when structural drift exceeds half a Keff unit for three consecutive months.</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Financial Portfolio Monitoring.  </w:t>
      </w:r>
      <w:r>
        <w:rPr>
          <w:rFonts w:ascii="Times New Roman" w:cs="Times New Roman" w:eastAsia="Times New Roman" w:hAnsi="Times New Roman"/>
          <w:color w:val="333333"/>
          <w:sz w:val="22"/>
          <w:szCs w:val="22"/>
        </w:rPr>
        <w:t xml:space="preserve">For daily TV monitoring with market noise σ ≈ 0.02, setting η = 0.03 and m = 5 ensures that intraday volatility does not trigger WATCH flags. Only sustained drift over a full trading week escalates.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PLL practitioner recognises this immediately: the lock-detect integrator in a PLL requires sustained phase coherence before declaring acquisition, preventing false-lock indications from noise transients. Theorem D.6 formalises this intuition for the CL architecture.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§5  Calibration Philosophy</w:t>
      </w:r>
    </w:p>
    <w:p>
      <w:pPr>
        <w:spacing w:after="160" w:before="0"/>
        <w:ind w:left="480"/>
        <w:jc w:val="both"/>
      </w:pPr>
      <w:r>
        <w:rPr>
          <w:rFonts w:ascii="Times New Roman" w:cs="Times New Roman" w:eastAsia="Times New Roman" w:hAnsi="Times New Roman"/>
          <w:i/>
          <w:iCs/>
          <w:color w:val="2E75B6"/>
          <w:sz w:val="22"/>
          <w:szCs w:val="22"/>
        </w:rPr>
        <w:t xml:space="preserve">See Math Book Area E (Definitions E.1–E.2, E.6, E.8, E.10; Theorems E.3–E.5, E.7, E.9, E.11)</w:t>
      </w:r>
    </w:p>
    <w:p>
      <w:pPr>
        <w:pStyle w:val="Heading2"/>
        <w:spacing w:after="160" w:before="280"/>
      </w:pPr>
      <w:r>
        <w:rPr>
          <w:rFonts w:ascii="Times New Roman" w:cs="Times New Roman" w:eastAsia="Times New Roman" w:hAnsi="Times New Roman"/>
          <w:b/>
          <w:bCs/>
          <w:color w:val="1F3864"/>
          <w:sz w:val="24"/>
          <w:szCs w:val="24"/>
        </w:rPr>
        <w:t xml:space="preserve">5.1  Why IMC-PID?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CL-05 needs a tuning methodology that is conservative, transparent, and operable by non-specialists. Internal Model Control (IMC) PID was selected because it satisfies all three criteria.</w:t>
      </w:r>
    </w:p>
    <w:p>
      <w:pPr>
        <w:spacing w:after="160" w:before="0"/>
        <w:jc w:val="both"/>
      </w:pPr>
      <w:r>
        <w:rPr>
          <w:rFonts w:ascii="Times New Roman" w:cs="Times New Roman" w:eastAsia="Times New Roman" w:hAnsi="Times New Roman"/>
          <w:b/>
          <w:bCs/>
          <w:color w:val="333333"/>
          <w:sz w:val="22"/>
          <w:szCs w:val="22"/>
        </w:rPr>
        <w:t xml:space="preserve">Conservative: </w:t>
      </w:r>
      <w:r>
        <w:rPr>
          <w:rFonts w:ascii="Times New Roman" w:cs="Times New Roman" w:eastAsia="Times New Roman" w:hAnsi="Times New Roman"/>
          <w:color w:val="333333"/>
          <w:sz w:val="22"/>
          <w:szCs w:val="22"/>
        </w:rPr>
        <w:t xml:space="preserve">the λ ≥ θ detuning rule guarantees that the controller never overshoots more than it must. For governance and ecological applications, overshooting a correction is worse than being slow.</w:t>
      </w:r>
    </w:p>
    <w:p>
      <w:pPr>
        <w:spacing w:after="160" w:before="0"/>
        <w:jc w:val="both"/>
      </w:pPr>
      <w:r>
        <w:rPr>
          <w:rFonts w:ascii="Times New Roman" w:cs="Times New Roman" w:eastAsia="Times New Roman" w:hAnsi="Times New Roman"/>
          <w:b/>
          <w:bCs/>
          <w:color w:val="333333"/>
          <w:sz w:val="22"/>
          <w:szCs w:val="22"/>
        </w:rPr>
        <w:t xml:space="preserve">Transparent: </w:t>
      </w:r>
      <w:r>
        <w:rPr>
          <w:rFonts w:ascii="Times New Roman" w:cs="Times New Roman" w:eastAsia="Times New Roman" w:hAnsi="Times New Roman"/>
          <w:color w:val="333333"/>
          <w:sz w:val="22"/>
          <w:szCs w:val="22"/>
        </w:rPr>
        <w:t xml:space="preserve">all three PID gains (Kᴄ, τᴼ, τᴰ) are derived from a single closed-form formula. No black-box optimisation, no iterative tuning. A practitioner can trace every gain back to the three FOPDT parameters (Kₚ, τ, θ) and the single tuning knob λ.</w:t>
      </w:r>
    </w:p>
    <w:p>
      <w:pPr>
        <w:spacing w:after="160" w:before="0"/>
        <w:jc w:val="both"/>
      </w:pPr>
      <w:r>
        <w:rPr>
          <w:rFonts w:ascii="Times New Roman" w:cs="Times New Roman" w:eastAsia="Times New Roman" w:hAnsi="Times New Roman"/>
          <w:b/>
          <w:bCs/>
          <w:color w:val="333333"/>
          <w:sz w:val="22"/>
          <w:szCs w:val="22"/>
        </w:rPr>
        <w:t xml:space="preserve">Operable: </w:t>
      </w:r>
      <w:r>
        <w:rPr>
          <w:rFonts w:ascii="Times New Roman" w:cs="Times New Roman" w:eastAsia="Times New Roman" w:hAnsi="Times New Roman"/>
          <w:color w:val="333333"/>
          <w:sz w:val="22"/>
          <w:szCs w:val="22"/>
        </w:rPr>
        <w:t xml:space="preserve">the FOPDT model requires only a step-response test (perturb the system, measure the response). No frequency sweep, no model identification beyond three parameters. This is the minimum viable calibration procedure.</w:t>
      </w:r>
    </w:p>
    <w:p>
      <w:pPr>
        <w:pStyle w:val="Heading2"/>
        <w:spacing w:after="160" w:before="280"/>
      </w:pPr>
      <w:r>
        <w:rPr>
          <w:rFonts w:ascii="Times New Roman" w:cs="Times New Roman" w:eastAsia="Times New Roman" w:hAnsi="Times New Roman"/>
          <w:b/>
          <w:bCs/>
          <w:color w:val="1F3864"/>
          <w:sz w:val="24"/>
          <w:szCs w:val="24"/>
        </w:rPr>
        <w:t xml:space="preserve">5.2  The Single Tuning Parameter</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most important design feature of IMC-PID is that it has one free parameter: λ, the closed-loop time constant. Everything else is determined by the process model.</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λ controls the speed-robustness trade-off. Smaller λ means faster correction but lower robustness to model error. Larger λ means slower correction but higher tolerance for mismatch. The house default λ ≥ θ ensures that the controller is at least as slow as the system’s dead time, which is a minimal robustness condition.</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single-parameter design is deliberate. In governance and ecological contexts, the operator may not be a control engineer. Asking them to tune three PID gains is unrealistic. Asking them to choose one number — "how cautious do you want the corrections to be?" — is operationally feasible.</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Governance.  </w:t>
      </w:r>
      <w:r>
        <w:rPr>
          <w:rFonts w:ascii="Times New Roman" w:cs="Times New Roman" w:eastAsia="Times New Roman" w:hAnsi="Times New Roman"/>
          <w:color w:val="333333"/>
          <w:sz w:val="22"/>
          <w:szCs w:val="22"/>
        </w:rPr>
        <w:t xml:space="preserve">A wetland manager using CL-05 to monitor species allocation drift chooses λ = 2θ (twice the observed response delay). This means corrections will be conservative: the system will tolerate small oscillations rather than risk overcorrection. In ecological management, patience is almost always the right default.</w:t>
      </w:r>
    </w:p>
    <w:p>
      <w:pPr>
        <w:pStyle w:val="Heading2"/>
        <w:spacing w:after="160" w:before="280"/>
      </w:pPr>
      <w:r>
        <w:rPr>
          <w:rFonts w:ascii="Times New Roman" w:cs="Times New Roman" w:eastAsia="Times New Roman" w:hAnsi="Times New Roman"/>
          <w:b/>
          <w:bCs/>
          <w:color w:val="1F3864"/>
          <w:sz w:val="24"/>
          <w:szCs w:val="24"/>
        </w:rPr>
        <w:t xml:space="preserve">5.3  Robustness and the ±20% Envelope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Theorem E.4 establishes that for λ ≥ θ, the IMC-PID controller tolerates simultaneous ±20% mismatch in all three FOPDT parameters without instability. This was originally reported as an empirical result (Rivera, Morari, and Skogestad, 1986); the Math Book now contains a full frequency-domain proof based on the small-gain theorem and explicit multiplicative uncertainty bounds.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proof decomposes the uncertainty into three sources — gain mismatch, dead-time mismatch, and time-constant mismatch — and bounds each separately. The key insight is that the IMC filter 1/(λs+1) rolls off at −20 dB/decade, and when λ ≥ θ, this roll-off is fast enough to suppress the growing uncertainty at high frequencies. The condition λ ≥ θ is both sufficient and essentially necessary: below this threshold, dead-time uncertainty can destabilise the loop.</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For HUF applications, this is critical. Real-world ratio portfolios are messy. Field data has noise. Model parameters will be approximate. The ±20% envelope says: that is acceptable. As long as the model is within 20% of reality, the controller will not destabilise the system.</w:t>
      </w:r>
    </w:p>
    <w:p>
      <w:pPr>
        <w:pStyle w:val="Heading2"/>
        <w:spacing w:after="160" w:before="280"/>
      </w:pPr>
      <w:r>
        <w:rPr>
          <w:rFonts w:ascii="Times New Roman" w:cs="Times New Roman" w:eastAsia="Times New Roman" w:hAnsi="Times New Roman"/>
          <w:b/>
          <w:bCs/>
          <w:color w:val="1F3864"/>
          <w:sz w:val="24"/>
          <w:szCs w:val="24"/>
        </w:rPr>
        <w:t xml:space="preserve">5.4  The Robustness Margin μ(k,r)</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proof of E.4 yields a bonus: an explicit, quantifiable safety margin. The robustness margin μ(k,r), where k = λ/θ and r = τ/θ, measures how much additional uncertainty the controller can tolerate beyond the ±20% design envelope. A margin of μ = 2.5 means the controller remains stable even if model mismatch reaches ±50%.</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For the house-default tuning λ = θ (k = 1), the margin exceeds 2.25 for all possible FOPDT plants. This is not a narrow guarantee — it is a built-in safety buffer that comes free with the IMC design.</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Operational Translation.  </w:t>
      </w:r>
      <w:r>
        <w:rPr>
          <w:rFonts w:ascii="Times New Roman" w:cs="Times New Roman" w:eastAsia="Times New Roman" w:hAnsi="Times New Roman"/>
          <w:color w:val="333333"/>
          <w:sz w:val="22"/>
          <w:szCs w:val="22"/>
        </w:rPr>
        <w:t xml:space="preserve">The operator answers one question: "how many dead-time lengths of caution do I want?" This maps directly to k = λ/θ. The robustness margin μ(k,r) is then read off for the site’s measured r = τ/θ. Higher k means slower corrections but larger safety buffer. The PID gains follow immediately from the IMC formulas.</w:t>
      </w:r>
    </w:p>
    <w:p>
      <w:pPr>
        <w:spacing w:after="160" w:before="120"/>
        <w:jc w:val="both"/>
      </w:pPr>
      <w:r>
        <w:rPr>
          <w:rFonts w:ascii="Times New Roman" w:cs="Times New Roman" w:eastAsia="Times New Roman" w:hAnsi="Times New Roman"/>
          <w:b/>
          <w:bCs/>
          <w:color w:val="333333"/>
          <w:sz w:val="22"/>
          <w:szCs w:val="22"/>
        </w:rPr>
        <w:t xml:space="preserve">Table 2 — Robustness Margins for Ramsar Wetland Calibration (r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k</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λ</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μ (r≈2)</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Tolerance</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Use Case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θ</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2.55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±51%</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House default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1.5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1.5θ</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±60%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Recommended for Ramsar pilot</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2.0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2θ</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3.49</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±70%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Conservative</w:t>
            </w:r>
          </w:p>
        </w:tc>
      </w:tr>
    </w:tbl>
    <w:p>
      <w:pPr>
        <w:spacing w:after="160" w:before="60"/>
        <w:jc w:val="both"/>
      </w:pPr>
      <w:r>
        <w:rPr>
          <w:rFonts w:ascii="Times New Roman" w:cs="Times New Roman" w:eastAsia="Times New Roman" w:hAnsi="Times New Roman"/>
          <w:b w:val="false"/>
          <w:bCs w:val="false"/>
          <w:i/>
          <w:iCs/>
          <w:color w:val="333333"/>
          <w:sz w:val="22"/>
          <w:szCs w:val="22"/>
        </w:rPr>
        <w:t xml:space="preserve">All values computed via exact 8-corner perturbation evaluation (δₖ, δτ, δθ = ±0.2) over a dense frequency grid. The FOPDT parameters (Kₚ ≈ 9, θ ≈ 18 steps, τ ≈ 36 steps) are illustrative; the hard gate requires fitting from real data.</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Ramsar Pilot.  </w:t>
      </w:r>
      <w:r>
        <w:rPr>
          <w:rFonts w:ascii="Times New Roman" w:cs="Times New Roman" w:eastAsia="Times New Roman" w:hAnsi="Times New Roman"/>
          <w:color w:val="333333"/>
          <w:sz w:val="22"/>
          <w:szCs w:val="22"/>
        </w:rPr>
        <w:t xml:space="preserve">For the first Ramsar deployment, start with k = 1.5 (λ ≈ 27 steps). This gives a μ ≈ 3.0, meaning the controller tolerates ±60% simultaneous parameter mismatch — more than enough to absorb seasonal bias in satellite-derived species ratios while keeping corrections responsive.</w:t>
      </w:r>
    </w:p>
    <w:p>
      <w:pPr>
        <w:pStyle w:val="Heading2"/>
        <w:spacing w:after="160" w:before="280"/>
      </w:pPr>
      <w:r>
        <w:rPr>
          <w:rFonts w:ascii="Times New Roman" w:cs="Times New Roman" w:eastAsia="Times New Roman" w:hAnsi="Times New Roman"/>
          <w:b/>
          <w:bCs/>
          <w:color w:val="1F3864"/>
          <w:sz w:val="24"/>
          <w:szCs w:val="24"/>
        </w:rPr>
        <w:t xml:space="preserve">5.5  Simplex-Preserving Corrections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final guarantee (Theorem E.5) is that CL-05’s corrections preserve simplex membership. Because the correction vector lives in the tangent space (zero-sum), and because negative components are clamped and redistributed, the corrected state ρₜ₊¹ is always a valid simplex point.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closes the loop cleanly: CL-01 guarantees inputs are on the simplex; CL-05 guarantees outputs stay on the simplex; the entire pipeline is simplex-preserving end to end.</w:t>
      </w:r>
    </w:p>
    <w:p>
      <w:pPr>
        <w:pStyle w:val="Heading2"/>
        <w:spacing w:after="160" w:before="280"/>
      </w:pPr>
      <w:r>
        <w:rPr>
          <w:rFonts w:ascii="Times New Roman" w:cs="Times New Roman" w:eastAsia="Times New Roman" w:hAnsi="Times New Roman"/>
          <w:b/>
          <w:bCs/>
          <w:color w:val="1F3864"/>
          <w:sz w:val="24"/>
          <w:szCs w:val="24"/>
        </w:rPr>
        <w:t xml:space="preserve">5.6  Reference Update: When to Re-Lock</w:t>
      </w:r>
    </w:p>
    <w:p>
      <w:pPr>
        <w:spacing w:after="160" w:before="0"/>
        <w:ind w:left="480"/>
        <w:jc w:val="both"/>
      </w:pPr>
      <w:r>
        <w:rPr>
          <w:rFonts w:ascii="Times New Roman" w:cs="Times New Roman" w:eastAsia="Times New Roman" w:hAnsi="Times New Roman"/>
          <w:i/>
          <w:iCs/>
          <w:color w:val="2E75B6"/>
          <w:sz w:val="22"/>
          <w:szCs w:val="22"/>
        </w:rPr>
        <w:t xml:space="preserve">See Math Book Definition E.8; Theorem E.9</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CL-02 measures drift from a reference state ρ_ref. But ρ_ref is not eternal. Systems evolve, and a reference that was correct at deployment may become stale. The reference update protocol (Definition E.8) formalises three options for managing this.</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Declared Baseline.  </w:t>
      </w:r>
      <w:r>
        <w:rPr>
          <w:rFonts w:ascii="Times New Roman" w:cs="Times New Roman" w:eastAsia="Times New Roman" w:hAnsi="Times New Roman"/>
          <w:color w:val="333333"/>
          <w:sz w:val="22"/>
          <w:szCs w:val="22"/>
        </w:rPr>
        <w:t xml:space="preserve">The reference is fixed until the operator explicitly declares a new one. This is the most conservative and auditable option: every reference change is a deliberate act with a timestamp and a reason. CL-02 measures total drift from the last declared state. Recommended for governance and regulatory applications where reference changes must be justified.</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Epoch Baseline.  </w:t>
      </w:r>
      <w:r>
        <w:rPr>
          <w:rFonts w:ascii="Times New Roman" w:cs="Times New Roman" w:eastAsia="Times New Roman" w:hAnsi="Times New Roman"/>
          <w:color w:val="333333"/>
          <w:sz w:val="22"/>
          <w:szCs w:val="22"/>
        </w:rPr>
        <w:t xml:space="preserve">The reference resets at the start of each reporting period (fiscal quarter, calendar year, survey season). CL-02 measures within-epoch drift. This is natural for applications with periodic reporting cycles.</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Exponential Baseline.  </w:t>
      </w:r>
      <w:r>
        <w:rPr>
          <w:rFonts w:ascii="Times New Roman" w:cs="Times New Roman" w:eastAsia="Times New Roman" w:hAnsi="Times New Roman"/>
          <w:color w:val="333333"/>
          <w:sz w:val="22"/>
          <w:szCs w:val="22"/>
        </w:rPr>
        <w:t xml:space="preserve">The reference tracks the system via an exponential moving average with smoothing parameter α. CL-02 measures recent drift only. This absorbs slow trends but masks them — a system that drifts gradually will never trigger an alert because the reference drifts with it.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Theorem E.9 quantifies the trade-off: the declared baseline measures true cumulative drift (up to observation noise), while the exponential baseline underestimates drift by a factor of (1−α)ᵀ after T observations. The PLL analogue is precise: a fixed-frequency reference detects all frequency drift; an AFC loop absorbs slow drift but provides better noise rejection.</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Ramsar Pilot.  </w:t>
      </w:r>
      <w:r>
        <w:rPr>
          <w:rFonts w:ascii="Times New Roman" w:cs="Times New Roman" w:eastAsia="Times New Roman" w:hAnsi="Times New Roman"/>
          <w:color w:val="333333"/>
          <w:sz w:val="22"/>
          <w:szCs w:val="22"/>
        </w:rPr>
        <w:t xml:space="preserve">The declared baseline is recommended: ρ_ref = the species composition at time of Ramsar listing. This is a legally meaningful reference state. The epoch baseline would reset annually, losing the multi-year drift signal that is the primary monitoring objective. The exponential baseline would absorb gradual species decline, defeating the purpose.</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Financial Portfolio.  </w:t>
      </w:r>
      <w:r>
        <w:rPr>
          <w:rFonts w:ascii="Times New Roman" w:cs="Times New Roman" w:eastAsia="Times New Roman" w:hAnsi="Times New Roman"/>
          <w:color w:val="333333"/>
          <w:sz w:val="22"/>
          <w:szCs w:val="22"/>
        </w:rPr>
        <w:t xml:space="preserve">Either declared (target allocation) or epoch (start-of-quarter rebalancing target). The exponential baseline may be appropriate for tactical allocation strategies where the target evolves intentionally.</w:t>
      </w:r>
    </w:p>
    <w:p>
      <w:pPr>
        <w:pStyle w:val="Heading2"/>
        <w:spacing w:after="160" w:before="280"/>
      </w:pPr>
      <w:r>
        <w:rPr>
          <w:rFonts w:ascii="Times New Roman" w:cs="Times New Roman" w:eastAsia="Times New Roman" w:hAnsi="Times New Roman"/>
          <w:b/>
          <w:bCs/>
          <w:color w:val="1F3864"/>
          <w:sz w:val="24"/>
          <w:szCs w:val="24"/>
        </w:rPr>
        <w:t xml:space="preserve">5.7  When FOPDT Is Not Enough: Model Limitations</w:t>
      </w:r>
    </w:p>
    <w:p>
      <w:pPr>
        <w:spacing w:after="160" w:before="0"/>
        <w:ind w:left="480"/>
        <w:jc w:val="both"/>
      </w:pPr>
      <w:r>
        <w:rPr>
          <w:rFonts w:ascii="Times New Roman" w:cs="Times New Roman" w:eastAsia="Times New Roman" w:hAnsi="Times New Roman"/>
          <w:i/>
          <w:iCs/>
          <w:color w:val="2E75B6"/>
          <w:sz w:val="22"/>
          <w:szCs w:val="22"/>
        </w:rPr>
        <w:t xml:space="preserve">See Math Book Definition E.1; Definition E.10</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FOPDT model (Definition E.1) is the workhorse of the IMC-PID tuning framework: three parameters (Kₚ, τ, θ), one tuning knob (λ), and closed-form controller gains. Its simplicity is a strength — but also a boundary. Seven specific assumptions limit its applicability, and a practitioner who does not know these limits will misapply the framework.</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Limitation 1: Linearity.  </w:t>
      </w:r>
      <w:r>
        <w:rPr>
          <w:rFonts w:ascii="Times New Roman" w:cs="Times New Roman" w:eastAsia="Times New Roman" w:hAnsi="Times New Roman"/>
          <w:color w:val="333333"/>
          <w:sz w:val="22"/>
          <w:szCs w:val="22"/>
        </w:rPr>
        <w:t xml:space="preserve">FOPDT assumes the plant is linear: doubling the input doubles the output. Real systems saturate, exhibit hysteresis, or change gain with operating point. For HUF applications: a wetland where a 2% species shift produces a proportional Keff change near equilibrium may exhibit highly nonlinear Keff collapse near a tipping point. The linear model is valid only within the regime where Keff responds proportionally to ratio-state perturbations.</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Limitation 2: Single Time Constant.  </w:t>
      </w:r>
      <w:r>
        <w:rPr>
          <w:rFonts w:ascii="Times New Roman" w:cs="Times New Roman" w:eastAsia="Times New Roman" w:hAnsi="Times New Roman"/>
          <w:color w:val="333333"/>
          <w:sz w:val="22"/>
          <w:szCs w:val="22"/>
        </w:rPr>
        <w:t xml:space="preserve">FOPDT lumps all dynamics into a single exponential decay τ. Systems with two or more distinct energy/mass storage elements (e.g., fast surface mixing and slow deep-water exchange in a lake, or short-term trading and long-term rebalancing in a portfolio) produce S-shaped step responses that a single exponential cannot fit. Systematic residuals in the step-response fit are the diagnostic signature. The SOPDT model (Definition E.10) resolves this by adding a second time constant τ₂.</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Limitation 3: Fixed Dead Time.  </w:t>
      </w:r>
      <w:r>
        <w:rPr>
          <w:rFonts w:ascii="Times New Roman" w:cs="Times New Roman" w:eastAsia="Times New Roman" w:hAnsi="Times New Roman"/>
          <w:color w:val="333333"/>
          <w:sz w:val="22"/>
          <w:szCs w:val="22"/>
        </w:rPr>
        <w:t xml:space="preserve">FOPDT assumes the dead time θ is constant. In practice, dead time may vary with operating conditions: monitoring latency may increase during peak reporting periods, sample processing time may depend on batch size, or communication delays may fluctuate. If θ varies by more than ±20%, the robustness guarantees of Theorem E.4 are weakened and the IMC filter λ should be set conservatively (larger λ = slower but more robust).</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Limitation 4: No Oscillatory Dynamics.  </w:t>
      </w:r>
      <w:r>
        <w:rPr>
          <w:rFonts w:ascii="Times New Roman" w:cs="Times New Roman" w:eastAsia="Times New Roman" w:hAnsi="Times New Roman"/>
          <w:color w:val="333333"/>
          <w:sz w:val="22"/>
          <w:szCs w:val="22"/>
        </w:rPr>
        <w:t xml:space="preserve">FOPDT cannot represent underdamped oscillation — a decaying sinusoidal response to a step input. Systems with resonant modes (seasonal ecological cycles, business cycles, predator-prey oscillations) require at least a second-order model with complex poles. The SOPDT model with τ₁ ≈ τ₂ can approximate mildly underdamped behaviour, but strongly resonant systems need the full second-order transfer function with damping ratio ζ &lt; 1.</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Limitation 5: Step-Response Assumption.  </w:t>
      </w:r>
      <w:r>
        <w:rPr>
          <w:rFonts w:ascii="Times New Roman" w:cs="Times New Roman" w:eastAsia="Times New Roman" w:hAnsi="Times New Roman"/>
          <w:color w:val="333333"/>
          <w:sz w:val="22"/>
          <w:szCs w:val="22"/>
        </w:rPr>
        <w:t xml:space="preserve">The IMC-PID gains are derived for step disturbances — a sudden, sustained change in the reference or the process. Ramp disturbances (gradual drift, as in climate-driven species migration) or periodic disturbances (seasonal forcing) require modified controller structures. For HUF, ramp disturbances are common: species composition drifts gradually, portfolio weights shift over months. The integral action τI provides asymptotic ramp tracking, but the transient response may be slow if λ is tuned for step rejection.</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Limitation 6: Parameter Drift.  </w:t>
      </w:r>
      <w:r>
        <w:rPr>
          <w:rFonts w:ascii="Times New Roman" w:cs="Times New Roman" w:eastAsia="Times New Roman" w:hAnsi="Times New Roman"/>
          <w:color w:val="333333"/>
          <w:sz w:val="22"/>
          <w:szCs w:val="22"/>
        </w:rPr>
        <w:t xml:space="preserve">FOPDT parameters (Kₚ, τ, θ) are assumed constant. Real systems change: ecological carrying capacities shift with climate, financial volatilities change with market regime, process dynamics change with equipment ageing. If the true plant parameters drift more than ±20% from the model values, the robustness margin μ (Theorem E.7) degrades and the controller may need retuning. The reference update protocol (§5.6, Definition E.8) addresses reference drift but not plant-model drift.</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Limitation 7: Lumped Model.  </w:t>
      </w:r>
      <w:r>
        <w:rPr>
          <w:rFonts w:ascii="Times New Roman" w:cs="Times New Roman" w:eastAsia="Times New Roman" w:hAnsi="Times New Roman"/>
          <w:color w:val="333333"/>
          <w:sz w:val="22"/>
          <w:szCs w:val="22"/>
        </w:rPr>
        <w:t xml:space="preserve">FOPDT represents the entire system as a single input-output transfer function. Spatially distributed systems (a wetland with upstream and downstream monitoring points, a multi-desk trading operation) may require separate FOPDT models for each spatial unit, with coupling terms. The CL pipeline operates on the aggregate ratio-state ρ, but the control response may need spatial disaggregation.</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disciplined response to these limitations is not to abandon FOPDT but to know when to upgrade. FOPDT is the correct starting point for any new domain instantiation because it forces the practitioner to estimate three meaningful parameters. Only when the diagnostics listed above appear — systematic step-response residuals, variable dead time, oscillatory response, or parameter drift beyond ±20% — should the practitioner move to SOPDT or beyond.</w:t>
      </w:r>
    </w:p>
    <w:p>
      <w:pPr>
        <w:pStyle w:val="Heading2"/>
        <w:spacing w:after="160" w:before="280"/>
      </w:pPr>
      <w:r>
        <w:rPr>
          <w:rFonts w:ascii="Times New Roman" w:cs="Times New Roman" w:eastAsia="Times New Roman" w:hAnsi="Times New Roman"/>
          <w:b/>
          <w:bCs/>
          <w:color w:val="1F3864"/>
          <w:sz w:val="24"/>
          <w:szCs w:val="24"/>
        </w:rPr>
        <w:t xml:space="preserve">5.8  The SOPDT Upgrade Path</w:t>
      </w:r>
    </w:p>
    <w:p>
      <w:pPr>
        <w:spacing w:after="160" w:before="0"/>
        <w:ind w:left="480"/>
        <w:jc w:val="both"/>
      </w:pPr>
      <w:r>
        <w:rPr>
          <w:rFonts w:ascii="Times New Roman" w:cs="Times New Roman" w:eastAsia="Times New Roman" w:hAnsi="Times New Roman"/>
          <w:i/>
          <w:iCs/>
          <w:color w:val="2E75B6"/>
          <w:sz w:val="22"/>
          <w:szCs w:val="22"/>
        </w:rPr>
        <w:t xml:space="preserve">See Math Book Definition E.10; Theorem E.11</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When a single time constant is insufficient, the second-order plus dead-time model (Definition E.10) adds a second time constant τ₂ while preserving the IMC framework. The controller gains (Theorem E.11) remain in closed form:</w:t>
      </w:r>
    </w:p>
    <w:p>
      <w:pPr>
        <w:spacing w:after="160" w:before="0"/>
        <w:jc w:val="center"/>
      </w:pPr>
      <w:r>
        <w:rPr>
          <w:rFonts w:ascii="Times New Roman" w:cs="Times New Roman" w:eastAsia="Times New Roman" w:hAnsi="Times New Roman"/>
          <w:b/>
          <w:bCs/>
          <w:i w:val="false"/>
          <w:iCs w:val="false"/>
          <w:color w:val="333333"/>
          <w:sz w:val="22"/>
          <w:szCs w:val="22"/>
        </w:rPr>
        <w:t xml:space="preserve">Kc = (τ₁ + τ₂ + θ/2) / (Kₚ(λ + θ/2)),  τI = τ₁ + τ₂ + θ/2,  τD = τ₁τ₂ / (τ₁ + τ₂ + θ/2)</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derivative action τD, which is zero in FOPDT, now becomes active — it provides anticipatory correction based on the rate of change, compensating for the additional lag introduced by the second time constant. The recovery property (τ₂ → 0 recovers FOPDT gains) ensures backward compatibility.</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Ramsar Pilot.  </w:t>
      </w:r>
      <w:r>
        <w:rPr>
          <w:rFonts w:ascii="Times New Roman" w:cs="Times New Roman" w:eastAsia="Times New Roman" w:hAnsi="Times New Roman"/>
          <w:color w:val="333333"/>
          <w:sz w:val="22"/>
          <w:szCs w:val="22"/>
        </w:rPr>
        <w:t xml:space="preserve">A lake ecosystem with fast littoral-zone species turnover (τ₁ ≈ weeks) and slow benthic community adjustment (τ₂ ≈ months) would exhibit an S-shaped Keff response to a perturbation. The SOPDT model captures both timescales. The derivative term τD anticipates the slow benthic response, allowing earlier intervention.</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Financial Portfolio.  </w:t>
      </w:r>
      <w:r>
        <w:rPr>
          <w:rFonts w:ascii="Times New Roman" w:cs="Times New Roman" w:eastAsia="Times New Roman" w:hAnsi="Times New Roman"/>
          <w:color w:val="333333"/>
          <w:sz w:val="22"/>
          <w:szCs w:val="22"/>
        </w:rPr>
        <w:t xml:space="preserve">A multi-asset portfolio where equity rebalancing occurs quickly (τ₁ ≈ days) but fixed-income duration adjustment is slow (τ₂ ≈ weeks) produces a two-timescale drift response. SOPDT separates the fast and slow components, allowing the controller to respond appropriately to each.</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Amplification Network</w:t>
      </w:r>
    </w:p>
    <w:p>
      <w:pPr>
        <w:spacing w:after="160" w:before="0"/>
        <w:ind w:left="480"/>
        <w:jc w:val="both"/>
      </w:pPr>
      <w:r>
        <w:rPr>
          <w:rFonts w:ascii="Times New Roman" w:cs="Times New Roman" w:eastAsia="Times New Roman" w:hAnsi="Times New Roman"/>
          <w:i/>
          <w:iCs/>
          <w:color w:val="2E75B6"/>
          <w:sz w:val="22"/>
          <w:szCs w:val="22"/>
        </w:rPr>
        <w:t xml:space="preserve">See Math Book Areas C and F (Theorems C.3–C.7, F.3–F.5)</w:t>
      </w:r>
    </w:p>
    <w:p>
      <w:pPr>
        <w:pStyle w:val="Heading2"/>
        <w:spacing w:after="160" w:before="280"/>
      </w:pPr>
      <w:r>
        <w:rPr>
          <w:rFonts w:ascii="Times New Roman" w:cs="Times New Roman" w:eastAsia="Times New Roman" w:hAnsi="Times New Roman"/>
          <w:b/>
          <w:bCs/>
          <w:color w:val="1F3864"/>
          <w:sz w:val="24"/>
          <w:szCs w:val="24"/>
        </w:rPr>
        <w:t xml:space="preserve">6.1  The Scaling Question</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HUF claims to be a unified framework: the same mathematical structure applies to ecology, finance, governance, and any other domain with ratio portfolios. If this is true, then each new domain instantiation should not merely add to the total knowledge — it should multiply it, because results proved in one domain transport to all others.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amplification network is the formal model of this claim. It uses two mathematical tools: supermodularity from lattice theory (which captures the increasing-returns structure) and the scaling law (which quantifies the total usable knowledge).</w:t>
      </w:r>
    </w:p>
    <w:p>
      <w:pPr>
        <w:pStyle w:val="Heading2"/>
        <w:spacing w:after="160" w:before="280"/>
      </w:pPr>
      <w:r>
        <w:rPr>
          <w:rFonts w:ascii="Times New Roman" w:cs="Times New Roman" w:eastAsia="Times New Roman" w:hAnsi="Times New Roman"/>
          <w:b/>
          <w:bCs/>
          <w:color w:val="1F3864"/>
          <w:sz w:val="24"/>
          <w:szCs w:val="24"/>
        </w:rPr>
        <w:t xml:space="preserve">6.2  Supermodularity: The Mathematics of Increasing Returns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A supermodular function is one where the value of combining resources exceeds the sum of their individual values. The formal definition (Math Book, Definition C.2) states: f(x ∨ y) + f(x ∧ y) ≥ f(x) + f(y). The equivalent characterisation via cross-partials (Theorem C.3) is: ∂²f/∂xᵢ∂xⱼ ≥ 0 for all pairs.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intuition is complementarity. Adding a second input becomes more valuable, not less, when you already have the first. This is the opposite of diminishing returns (which is submodularity) and is the mathematical signature of synergy.</w:t>
      </w:r>
    </w:p>
    <w:p>
      <w:pPr>
        <w:pBdr>
          <w:left w:val="single" w:color="E65100" w:sz="12"/>
        </w:pBdr>
        <w:spacing w:after="120" w:before="120"/>
        <w:ind w:left="480" w:right="360"/>
      </w:pPr>
      <w:r>
        <w:rPr>
          <w:rFonts w:ascii="Times New Roman" w:cs="Times New Roman" w:eastAsia="Times New Roman" w:hAnsi="Times New Roman"/>
          <w:b/>
          <w:bCs/>
          <w:color w:val="BF360C"/>
          <w:sz w:val="22"/>
          <w:szCs w:val="22"/>
        </w:rPr>
        <w:t xml:space="preserve">Multi-Domain HUF.  </w:t>
      </w:r>
      <w:r>
        <w:rPr>
          <w:rFonts w:ascii="Times New Roman" w:cs="Times New Roman" w:eastAsia="Times New Roman" w:hAnsi="Times New Roman"/>
          <w:color w:val="333333"/>
          <w:sz w:val="22"/>
          <w:szCs w:val="22"/>
        </w:rPr>
        <w:t xml:space="preserve">Suppose a practitioner understands HUF in ecology (domain 1). They now learn HUF in finance (domain 2). The marginal value of domain 2 is higher because of domain 1 — every ecological result transports to finance and vice versa. Adding domain 3 (governance) creates even more value, because it now has cross-links to both ecology and finance. This is precisely the increasing-differences property.</w:t>
      </w:r>
    </w:p>
    <w:p>
      <w:pPr>
        <w:pStyle w:val="Heading2"/>
        <w:spacing w:after="160" w:before="280"/>
      </w:pPr>
      <w:r>
        <w:rPr>
          <w:rFonts w:ascii="Times New Roman" w:cs="Times New Roman" w:eastAsia="Times New Roman" w:hAnsi="Times New Roman"/>
          <w:b/>
          <w:bCs/>
          <w:color w:val="1F3864"/>
          <w:sz w:val="24"/>
          <w:szCs w:val="24"/>
        </w:rPr>
        <w:t xml:space="preserve">6.3  The Scaling Law</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multi-phase scaling law (Math Book, Theorem F.4) quantifies the total usable knowledge:</w:t>
      </w:r>
    </w:p>
    <w:p>
      <w:pPr>
        <w:spacing w:after="160" w:before="0"/>
        <w:jc w:val="center"/>
      </w:pPr>
      <w:r>
        <w:rPr>
          <w:rFonts w:ascii="Times New Roman" w:cs="Times New Roman" w:eastAsia="Times New Roman" w:hAnsi="Times New Roman"/>
          <w:b/>
          <w:bCs/>
          <w:i w:val="false"/>
          <w:iCs w:val="false"/>
          <w:color w:val="333333"/>
          <w:sz w:val="22"/>
          <w:szCs w:val="22"/>
        </w:rPr>
        <w:t xml:space="preserve">K_total = Σaᵢ + β · [n(n−1)/2] · ∏aᵢ</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first term is additive: each domain contributes its accuracy aᵢ independently. The second term is multiplicative: each pair of domains contributes β · ∏aᵢ, weighted by the product of all accuracies.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product term is the key. If any single domain has accuracy zero, the entire multiplicative term vanishes. This captures a real phenomenon: cross-domain transfer requires a minimum standard in every domain. One weak link collapses the amplification. Conversely, if all domains have high accuracy, the multiplicative term dominates and total knowledge scales super-linearly with the number of domains.</w:t>
      </w:r>
    </w:p>
    <w:p>
      <w:pPr>
        <w:pBdr>
          <w:left w:val="single" w:color="00897B" w:sz="12"/>
        </w:pBdr>
        <w:spacing w:after="120" w:before="160"/>
        <w:ind w:left="480" w:right="360"/>
      </w:pPr>
      <w:r>
        <w:rPr>
          <w:rFonts w:ascii="Times New Roman" w:cs="Times New Roman" w:eastAsia="Times New Roman" w:hAnsi="Times New Roman"/>
          <w:b/>
          <w:bCs/>
          <w:color w:val="00695C"/>
          <w:sz w:val="22"/>
          <w:szCs w:val="22"/>
        </w:rPr>
        <w:t xml:space="preserve">Amplification Principle.  </w:t>
      </w:r>
      <w:r>
        <w:rPr>
          <w:rFonts w:ascii="Times New Roman" w:cs="Times New Roman" w:eastAsia="Times New Roman" w:hAnsi="Times New Roman"/>
          <w:color w:val="333333"/>
          <w:sz w:val="22"/>
          <w:szCs w:val="22"/>
        </w:rPr>
        <w:t xml:space="preserve">The total knowledge of a multi-domain HUF deployment is greater than the sum of its parts, but only if every domain meets a minimum standard of accuracy. One broken domain breaks the amplification network.</w:t>
      </w:r>
    </w:p>
    <w:p>
      <w:pPr>
        <w:pStyle w:val="Heading2"/>
        <w:spacing w:after="160" w:before="280"/>
      </w:pPr>
      <w:r>
        <w:rPr>
          <w:rFonts w:ascii="Times New Roman" w:cs="Times New Roman" w:eastAsia="Times New Roman" w:hAnsi="Times New Roman"/>
          <w:b/>
          <w:bCs/>
          <w:color w:val="1F3864"/>
          <w:sz w:val="24"/>
          <w:szCs w:val="24"/>
        </w:rPr>
        <w:t xml:space="preserve">6.4  Theorem Transport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mechanism behind the amplification is theorem transport (Math Book, Theorem F.3). If two domain instantiations share the same CL structure (which they must, by definition), then any structural result — a theorem about drift, about Keff bounds, about failure modes — proved in one domain is immediately valid in the other.</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only thing that changes is the interpretation function Φ. The mathematical content is identical; the meaning is different. A sourdough baker’s proof that "if Keff drops below 2.5, the culture is collapsing" transports to an ecologist’s statement that "if Keff drops below 2.5, the community is dominated by two species." The number, the structure, and the alarm logic are the same. The interpretation — what you do about it — is domain-specific.</w:t>
      </w:r>
    </w:p>
    <w:p>
      <w:pPr>
        <w:pStyle w:val="Heading2"/>
        <w:spacing w:after="160" w:before="280"/>
      </w:pPr>
      <w:r>
        <w:rPr>
          <w:rFonts w:ascii="Times New Roman" w:cs="Times New Roman" w:eastAsia="Times New Roman" w:hAnsi="Times New Roman"/>
          <w:b/>
          <w:bCs/>
          <w:color w:val="1F3864"/>
          <w:sz w:val="24"/>
          <w:szCs w:val="24"/>
        </w:rPr>
        <w:t xml:space="preserve">6.5  Self-Training</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self-training criterion (Theorem F.5) formalises the claim that HUF teaches itself. Because CL-01 through CL-04 are label-free — they operate on ρ ∈ Δⁿ⁻¹ without knowing what the components represent — a practitioner who masters the pipeline in one domain can apply it in any other domain simply by learning the new interpretation function Φ.</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is not a metaphor. It is a consequence of the mathematical structure: the CL operations do not reference component labels, so they cannot distinguish between domains. The codebook (Φ) is the only domain-specific element.</w:t>
      </w:r>
    </w:p>
    <w:p>
      <w:pPr>
        <w:pStyle w:val="Heading2"/>
        <w:spacing w:after="160" w:before="280"/>
      </w:pPr>
      <w:r>
        <w:rPr>
          <w:rFonts w:ascii="Times New Roman" w:cs="Times New Roman" w:eastAsia="Times New Roman" w:hAnsi="Times New Roman"/>
          <w:b/>
          <w:bCs/>
          <w:color w:val="1F3864"/>
          <w:sz w:val="24"/>
          <w:szCs w:val="24"/>
        </w:rPr>
        <w:t xml:space="preserve">6.6  Connection to Topkis and the Greedy Bound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Two results from lattice theory provide additional structural insight.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Topkis’ Monotonicity Theorem (Math Book, Theorem C.4) says that if the objective function is supermodular, the optimal solution is non-decreasing in the parameter. For HUF, this means: as the number of validated domains increases, the optimal strategy is to add more domains, not fewer. Expansion is self-reinforcing.</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Greedy Bound (Theorem C.6) applies to the dual: if the cost of monitoring is submodular (diminishing returns on monitoring effort), then a greedy strategy — monitoring the highest-drift domain first — achieves at least 63.2% of the optimal monitoring allocation. This gives CL-04 a worst-case performance guarantee even with a simple prioritisation rule.</w:t>
      </w:r>
    </w:p>
    <w:p>
      <w:r>
        <w:br w:type="page"/>
      </w:r>
    </w:p>
    <w:p>
      <w:pPr>
        <w:pStyle w:val="Heading1"/>
        <w:spacing w:after="200" w:before="360"/>
      </w:pPr>
      <w:r>
        <w:rPr>
          <w:rFonts w:ascii="Times New Roman" w:cs="Times New Roman" w:eastAsia="Times New Roman" w:hAnsi="Times New Roman"/>
          <w:b/>
          <w:bCs/>
          <w:color w:val="1F3864"/>
          <w:sz w:val="28"/>
          <w:szCs w:val="28"/>
        </w:rPr>
        <w:t xml:space="preserve">§7  Synthesis: From Theory to Validation</w:t>
      </w:r>
    </w:p>
    <w:p>
      <w:pPr>
        <w:pStyle w:val="Heading2"/>
        <w:spacing w:after="160" w:before="280"/>
      </w:pPr>
      <w:r>
        <w:rPr>
          <w:rFonts w:ascii="Times New Roman" w:cs="Times New Roman" w:eastAsia="Times New Roman" w:hAnsi="Times New Roman"/>
          <w:b/>
          <w:bCs/>
          <w:color w:val="1F3864"/>
          <w:sz w:val="24"/>
          <w:szCs w:val="24"/>
        </w:rPr>
        <w:t xml:space="preserve">7.1  What Has Been Established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six preceding chapters, read alongside the Math Book, establish a complete mathematical architecture for ratio-portfolio monitoring.</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carrier (ρ on Δⁿ⁻¹) is the right object. The observable (Keff) is the right summary. The metric (TV distance) is interpretable and scale-invariant. The control pipeline (CL-01 through CL-05) is structurally homomorphic to a PLL, inheriting stability conditions and failure modes. The calibration method (IMC-PID with single parameter λ) is conservative, transparent, and operable. The amplification network (supermodularity, theorem transport) predicts super-linear scaling across domains.</w:t>
      </w:r>
    </w:p>
    <w:p>
      <w:pPr>
        <w:pStyle w:val="Heading2"/>
        <w:spacing w:after="160" w:before="280"/>
      </w:pPr>
      <w:r>
        <w:rPr>
          <w:rFonts w:ascii="Times New Roman" w:cs="Times New Roman" w:eastAsia="Times New Roman" w:hAnsi="Times New Roman"/>
          <w:b/>
          <w:bCs/>
          <w:color w:val="1F3864"/>
          <w:sz w:val="24"/>
          <w:szCs w:val="24"/>
        </w:rPr>
        <w:t xml:space="preserve">7.2  What Has Not Been Established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Two critical gaps remain, and this book is explicit about them.</w:t>
      </w:r>
    </w:p>
    <w:p>
      <w:pPr>
        <w:spacing w:after="160" w:before="0"/>
        <w:jc w:val="both"/>
      </w:pPr>
      <w:r>
        <w:rPr>
          <w:rFonts w:ascii="Times New Roman" w:cs="Times New Roman" w:eastAsia="Times New Roman" w:hAnsi="Times New Roman"/>
          <w:b/>
          <w:bCs/>
          <w:color w:val="333333"/>
          <w:sz w:val="22"/>
          <w:szCs w:val="22"/>
        </w:rPr>
        <w:t xml:space="preserve">The hard gate: </w:t>
      </w:r>
      <w:r>
        <w:rPr>
          <w:rFonts w:ascii="Times New Roman" w:cs="Times New Roman" w:eastAsia="Times New Roman" w:hAnsi="Times New Roman"/>
          <w:color w:val="333333"/>
          <w:sz w:val="22"/>
          <w:szCs w:val="22"/>
        </w:rPr>
        <w:t xml:space="preserve">No real-data Keff validation has been performed on any actual ratio portfolio. The entire architecture is structurally sound and mathematically proven, but no empirical Keff time series has been processed through the CL pipeline. Until this gate is passed, CL-03 carries the ADD* evidentiary tier (supported by simulation but not field data), and CL-05 remains STORE (designed and calibrated but not authorised for deployment).</w:t>
      </w:r>
    </w:p>
    <w:p>
      <w:pPr>
        <w:spacing w:after="160" w:before="0"/>
        <w:jc w:val="both"/>
      </w:pPr>
      <w:r>
        <w:rPr>
          <w:rFonts w:ascii="Times New Roman" w:cs="Times New Roman" w:eastAsia="Times New Roman" w:hAnsi="Times New Roman"/>
          <w:b/>
          <w:bCs/>
          <w:color w:val="333333"/>
          <w:sz w:val="22"/>
          <w:szCs w:val="22"/>
        </w:rPr>
        <w:t xml:space="preserve">The scaling law: </w:t>
      </w:r>
      <w:r>
        <w:rPr>
          <w:rFonts w:ascii="Times New Roman" w:cs="Times New Roman" w:eastAsia="Times New Roman" w:hAnsi="Times New Roman"/>
          <w:color w:val="333333"/>
          <w:sz w:val="22"/>
          <w:szCs w:val="22"/>
        </w:rPr>
        <w:t xml:space="preserve">Theorem F.4 (the multi-phase scaling law) has evidentiary status [CONJECTURE]. The functional form is motivated by the multi-phase PLL interleaving analogy, but the coupling strength β has not been measured empirically. The scaling law cannot be promoted above [CONJECTURE] until cross-domain transfer rates are measured.</w:t>
      </w:r>
    </w:p>
    <w:p>
      <w:pPr>
        <w:pStyle w:val="Heading2"/>
        <w:spacing w:after="160" w:before="280"/>
      </w:pPr>
      <w:r>
        <w:rPr>
          <w:rFonts w:ascii="Times New Roman" w:cs="Times New Roman" w:eastAsia="Times New Roman" w:hAnsi="Times New Roman"/>
          <w:b/>
          <w:bCs/>
          <w:color w:val="1F3864"/>
          <w:sz w:val="24"/>
          <w:szCs w:val="24"/>
        </w:rPr>
        <w:t xml:space="preserve">7.3  The Path Forward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next step is clear and has been clear since the architecture was completed: run the pipeline on real data. The simplest candidate is a well-documented ratio portfolio — a financial portfolio with known historical allocations, an ecological community with published species-abundance time series, or a sourdough culture with measured flour ratios.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One successful real-data validation passes the hard gate and promotes CL-03 from ADD* to ADD. It also provides the first empirical estimate of β if the same dataset can be analysed through multiple domain interpretations.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architecture is ready. The mathematics is complete. What remains is measurement.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Cross-Reference Table</w:t>
      </w:r>
    </w:p>
    <w:p>
      <w:pPr>
        <w:spacing w:after="160" w:before="0"/>
        <w:jc w:val="both"/>
      </w:pPr>
      <w:r>
        <w:rPr>
          <w:rFonts w:ascii="Times New Roman" w:cs="Times New Roman" w:eastAsia="Times New Roman" w:hAnsi="Times New Roman"/>
          <w:b w:val="false"/>
          <w:bCs w:val="false"/>
          <w:i/>
          <w:iCs/>
          <w:color w:val="333333"/>
          <w:sz w:val="22"/>
          <w:szCs w:val="22"/>
        </w:rPr>
        <w:t xml:space="preserve">The table below maps each Context Book chapter to the corresponding Math Book area and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Chapter</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Title</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Math Book Area</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Key Results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§1</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 Ratio-State Carrier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A</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A.1–A.7</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Effective Complexity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B</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B.1–B.6</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§3</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The Control Pipeline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D</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D.1–D.3</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Failure Modes + Hysteresis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D.4–D.6</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§5</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Calibration + FOPDT Limits + SOPDT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 E</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E.1–E.11</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Amplification Network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Areas C + F</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C.1–C.7, F.1–F.5</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color w:val="333333"/>
                <w:sz w:val="20"/>
                <w:szCs w:val="20"/>
              </w:rPr>
              <w:t xml:space="preserve">§7</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Synthesis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All</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val="false"/>
                <w:bCs w:val="false"/>
                <w:color w:val="333333"/>
                <w:sz w:val="20"/>
                <w:szCs w:val="20"/>
              </w:rPr>
              <w:t xml:space="preserve">All</w:t>
            </w:r>
          </w:p>
        </w:tc>
      </w:tr>
    </w:tbl>
    <w:p>
      <w:pPr>
        <w:spacing w:after="160" w:before="120"/>
        <w:jc w:val="both"/>
      </w:pPr>
      <w:r>
        <w:rPr>
          <w:rFonts w:ascii="Times New Roman" w:cs="Times New Roman" w:eastAsia="Times New Roman" w:hAnsi="Times New Roman"/>
          <w:b w:val="false"/>
          <w:bCs w:val="false"/>
          <w:i/>
          <w:iCs/>
          <w:color w:val="333333"/>
          <w:sz w:val="22"/>
          <w:szCs w:val="22"/>
        </w:rPr>
        <w:t xml:space="preserve">7 chapters mapping to 6 Math Book areas. The two books together provide the complete mathematician’s edition of the Higgins Unity Framework.</w:t>
      </w:r>
    </w:p>
    <w:p>
      <w:r>
        <w:br w:type="page"/>
      </w:r>
    </w:p>
    <w:p>
      <w:pPr>
        <w:pBdr>
          <w:top w:val="single" w:color="2E75B6" w:sz="4" w:space="1"/>
        </w:pBdr>
        <w:spacing w:after="0" w:before="0"/>
      </w:pPr>
    </w:p>
    <w:p>
      <w:pPr>
        <w:spacing w:after="160" w:before="0"/>
        <w:jc w:val="both"/>
      </w:pPr>
      <w:r>
        <w:rPr>
          <w:rFonts w:ascii="Times New Roman" w:cs="Times New Roman" w:eastAsia="Times New Roman" w:hAnsi="Times New Roman"/>
          <w:b w:val="false"/>
          <w:bCs w:val="false"/>
          <w:i/>
          <w:iCs/>
          <w:color w:val="666666"/>
          <w:sz w:val="22"/>
          <w:szCs w:val="22"/>
        </w:rPr>
        <w:t xml:space="preserve">Framework originator and operator directive: Peter Higgins</w:t>
      </w:r>
    </w:p>
    <w:p>
      <w:pPr>
        <w:spacing w:after="160" w:before="0"/>
        <w:jc w:val="both"/>
      </w:pPr>
      <w:r>
        <w:rPr>
          <w:rFonts w:ascii="Times New Roman" w:cs="Times New Roman" w:eastAsia="Times New Roman" w:hAnsi="Times New Roman"/>
          <w:b w:val="false"/>
          <w:bCs w:val="false"/>
          <w:i/>
          <w:iCs/>
          <w:color w:val="666666"/>
          <w:sz w:val="22"/>
          <w:szCs w:val="22"/>
        </w:rPr>
        <w:t xml:space="preserve">Narrative and document production: Claude (Anthropic)</w:t>
      </w:r>
    </w:p>
    <w:p>
      <w:pPr>
        <w:spacing w:after="160" w:before="0"/>
        <w:jc w:val="both"/>
      </w:pPr>
      <w:r>
        <w:rPr>
          <w:rFonts w:ascii="Times New Roman" w:cs="Times New Roman" w:eastAsia="Times New Roman" w:hAnsi="Times New Roman"/>
          <w:b w:val="false"/>
          <w:bCs w:val="false"/>
          <w:i/>
          <w:iCs/>
          <w:color w:val="666666"/>
          <w:sz w:val="22"/>
          <w:szCs w:val="22"/>
        </w:rPr>
        <w:t xml:space="preserve">Collective review contributions: ChatGPT (OpenAI), Grok (xAI), Gemini (Google), Copilot (Microsoft)</w:t>
      </w:r>
    </w:p>
    <w:p>
      <w:pPr>
        <w:spacing w:after="160" w:before="0"/>
        <w:jc w:val="both"/>
      </w:pPr>
      <w:r>
        <w:rPr>
          <w:rFonts w:ascii="Times New Roman" w:cs="Times New Roman" w:eastAsia="Times New Roman" w:hAnsi="Times New Roman"/>
          <w:b/>
          <w:bCs/>
          <w:i/>
          <w:iCs/>
          <w:color w:val="666666"/>
          <w:sz w:val="22"/>
          <w:szCs w:val="22"/>
        </w:rPr>
        <w:t xml:space="preserve">Evidentiary note: </w:t>
      </w:r>
      <w:r>
        <w:rPr>
          <w:rFonts w:ascii="Times New Roman" w:cs="Times New Roman" w:eastAsia="Times New Roman" w:hAnsi="Times New Roman"/>
          <w:i/>
          <w:iCs/>
          <w:color w:val="666666"/>
          <w:sz w:val="22"/>
          <w:szCs w:val="22"/>
        </w:rPr>
        <w:t xml:space="preserve">This book is the narrative companion to HUF-MATH-01. It does not contain proofs; all formal results are in the Math Book. Evidentiary tiers: CL-03 is ADD* (simulation-supported, real-data gate outstanding). CL-05 is STORE (operator constraint). The multi-phase scaling law (F.4) is [CONJECTURE]. E.4 (robustness) promoted from [EMPIRICAL] to [THEOREM] via frequency-domain proof (Grok contribution, March 2026). D.5–D.6 (hysteresis) and E.8–E.9 (reference update) added in response to Copilot structural critique, March 2026. E.10–E.11 (SOPDT extension) and §5.7 (FOPDT limitations) derived from Grok analysis, March 2026. All other results are [THEOREM] or [PROPOSITION] tier.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Times New Roman" w:cs="Times New Roman" w:eastAsia="Times New Roman" w:hAnsi="Times New Roman"/>
        <w:color w:val="999999"/>
        <w:sz w:val="16"/>
        <w:szCs w:val="16"/>
      </w:rPr>
      <w:t xml:space="preserve">HUF Advanced Theory and Concepts</w:t>
    </w:r>
    <w:r>
      <w:rPr>
        <w:rFonts w:ascii="Times New Roman" w:cs="Times New Roman" w:eastAsia="Times New Roman" w:hAnsi="Times New Roman"/>
        <w:color w:val="999999"/>
        <w:sz w:val="16"/>
        <w:szCs w:val="16"/>
      </w:rPr>
      <w:t xml:space="preserve">	HUF-CONTEXT-01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2026-03-17T05:13:29.761Z</dcterms:created>
  <dcterms:modified xsi:type="dcterms:W3CDTF">2026-03-17T05:13:29.761Z</dcterms:modified>
</cp:coreProperties>
</file>

<file path=docProps/custom.xml><?xml version="1.0" encoding="utf-8"?>
<Properties xmlns="http://schemas.openxmlformats.org/officeDocument/2006/custom-properties" xmlns:vt="http://schemas.openxmlformats.org/officeDocument/2006/docPropsVTypes"/>
</file>