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2E75B6"/>
          <w:spacing w:val="120"/>
          <w:sz w:val="20"/>
          <w:szCs w:val="20"/>
        </w:rPr>
        <w:t xml:space="preserve">HIGGINS UNITY FRAMEWORK</w:t>
      </w:r>
    </w:p>
    <w:p>
      <w:pPr>
        <w:pBdr>
          <w:bottom w:val="single" w:color="2E75B6" w:sz="6" w:space="1"/>
        </w:pBd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6"/>
          <w:szCs w:val="36"/>
        </w:rPr>
        <w:t xml:space="preserve">Advanced Mathematics Reference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333333"/>
          <w:sz w:val="24"/>
          <w:szCs w:val="24"/>
        </w:rPr>
        <w:t xml:space="preserve">Mathematician's Edition — The Math Book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i/>
          <w:iCs/>
          <w:color w:val="2E75B6"/>
          <w:sz w:val="20"/>
          <w:szCs w:val="20"/>
        </w:rPr>
        <w:t xml:space="preserve">Paired with: HUF Advanced Theory and Concepts (The Context Book)</w:t>
      </w:r>
    </w:p>
    <w:p>
      <w:pPr>
        <w:spacing w:after="0" w:before="6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Corpus Reference: HUF-MATH-01  •  Date: 16 March 2026</w:t>
      </w:r>
    </w:p>
    <w:p>
      <w:pPr>
        <w:spacing w:after="300" w:before="6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Framework Originator: Peter Higgins  •  Formalisation: Claude (Anthropic)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Preface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This book contains the complete formal mathematics of the Higgins Unity Framework. Every definition, theorem, and proof required to understand HUF as a mathematical system is collected here, organised by area, and presented in standard mathematical style.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This book is one half of a pair. The companion volume — the Context Book — provides the conceptual narrative, engineering motivation, and operational interpretation for each result. Cross-references of the form "See Context Book §X.Y" direct the reader to the relevant narrative. The two books are designed to be read side by side or independently.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b/>
          <w:bCs/>
          <w:color w:val="333333"/>
          <w:sz w:val="22"/>
          <w:szCs w:val="22"/>
        </w:rPr>
        <w:t xml:space="preserve">Audience: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Readers comfortable with measure theory, functional analysis, lattice theory, and control theory. No domain-specific knowledge of ecology, finance, or governance is assumed. The mathematics is domain-invariant; the Context Book supplies the domain interpretation.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b/>
          <w:bCs/>
          <w:color w:val="333333"/>
          <w:sz w:val="22"/>
          <w:szCs w:val="22"/>
        </w:rPr>
        <w:t xml:space="preserve">Notation: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Δⁿ⁻¹ denotes the (n−1)-dimensional probability simplex. ρ denotes a point on the simplex (the ratio-state vector). Keff denotes the effective complexity observable. TV denotes Total Variation distance. CL-01 through CL-05 are the five control loop stages.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Area A — Simplex Geometry and Constraints</w:t>
      </w:r>
    </w:p>
    <w:p>
      <w:pPr>
        <w:spacing w:after="160" w:before="0"/>
        <w:ind w:left="480"/>
        <w:jc w:val="both"/>
      </w:pPr>
      <w:r>
        <w:rPr>
          <w:rFonts w:ascii="Times New Roman" w:cs="Times New Roman" w:eastAsia="Times New Roman" w:hAnsi="Times New Roman"/>
          <w:i/>
          <w:iCs/>
          <w:color w:val="2E75B6"/>
          <w:sz w:val="22"/>
          <w:szCs w:val="22"/>
        </w:rPr>
        <w:t xml:space="preserve">See Context Book §1 (The Ratio-State Carrier)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A.1 (Probability Simplex).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The (n−1)-dimensional probability simplex is the set Δⁿ⁻¹ = { ρ ∈ ℝⁿ : ρᵢ ≥ 0 for all i, Σᵢρᵢ = 1 }. This is a compact, convex subset of ℝⁿ with dimension n−1.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A.2 (Ratio-State Vector).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A ratio-state vector ρ ∈ Δⁿ⁻¹ represents the proportional allocation across n components. In the HUF framework, ρ is the carrier: the fundamental object on which all control operations act.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A.3 (Unity Invariance → CL-01).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Any admissible transformation T: Δⁿ⁻¹ → Δⁿ⁻¹ must satisfy Σᵢ T(ρ)ᵢ = 1 for all ρ ∈ Δⁿ⁻¹. That is, simplex-preserving maps maintain the unity constraint. This is the mathematical content of CL-01.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Let T: Δⁿ⁻¹ → Δⁿ⁻¹ be an admissible transformation. By definition of the simplex, every ρ ∈ Δⁿ⁻¹ satisfies Σᵢρᵢ = 1. Since T maps into the simplex, T(ρ) ∈ Δⁿ⁻¹, and therefore Σᵢ T(ρ)ᵢ = 1. The unity constraint is preserved tautologically by any map whose codomain is the simplex. CL-01 enforces this by rejecting inputs ρ ∉ Δⁿ⁻¹.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A.4 (Zero-Sum Tangent Space → CL-05).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The tangent space to Δⁿ⁻¹ at any point is TₚΔ = { v ∈ ℝⁿ : Σᵢvᵢ = 0 }. Any correction vector applied to ρ that preserves simplex membership must be zero-sum.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The simplex is defined by the affine constraint Σᵢρᵢ = 1. Differentiating: Σᵢ dρᵢ = 0. Any infinitesimal displacement on the simplex is zero-sum. For finite corrections ρ + u to remain on the simplex: Σᵢ(ρᵢ + uᵢ) = 1 ⇒ Σᵢ uᵢ = 0. This is the mathematical content of CL-05: restorative corrections must be zero-sum to preserve admissibility.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A.5 (Total Variation Distance).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For ρ, ρ′ ∈ Δⁿ⁻¹, the Total Variation distance is TV(ρ, ρ′) = ½ Σᵢ |ρᵢ − ρᵢ′|. This is the house default metric for CL-02.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A.6 (TV Metric Properties).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TV is a metric on Δⁿ⁻¹ satisfying: (i) TV(ρ, ρ′) ≥ 0 with equality iff ρ = ρ′; (ii) TV(ρ, ρ′) = TV(ρ′, ρ); (iii) TV(ρ, ρ′′) ≤ TV(ρ, ρ′) + TV(ρ′, ρ′′). Furthermore, TV(ρ, ρ′) ∈ [0, 1] for all simplex points.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(i) follows from |ρᵢ − ρᵢ′| ≥ 0, with Σ = 0 iff ρᵢ = ρᵢ′ for all i. (ii) follows from |a − b| = |b − a|. (iii) follows from the triangle inequality for absolute values: |ρᵢ − ρᵢ′′| ≤ |ρᵢ − ρᵢ′| + |ρᵢ′ − ρᵢ′′|, summing and dividing by 2 yields the result. Boundedness: TV(ρ, ρ′) = ½Σ|ρᵢ − ρᵢ′| ≤ ½(Σρᵢ + Σρᵢ′) = ½(1 + 1) = 1.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A.7 (Scale Invariance of TV on the Simplex).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TV distance depends only on the proportional allocation ρ, not on any absolute scale. If x ∈ ℝⁿ₊ represents absolute quantities and ρᵢ = xᵢ/Σxⱼ, then TV(ρ, ρ′) is invariant under uniform scaling x → αx for α &gt; 0. This is the mathematical justification for CL-02’s scale invariance.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Let x′ = αx. Then ρᵢ′ = xᵢ′/Σxⱼ′ = αxᵢ/αΣxⱼ = xᵢ/Σxⱼ = ρᵢ. The normalisation absorbs the scale factor. TV(ρ, ρ*) is unchanged by any uniform scaling of the underlying quantities.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Area B — Entropy Measures and Effective Complexity</w:t>
      </w:r>
    </w:p>
    <w:p>
      <w:pPr>
        <w:spacing w:after="160" w:before="0"/>
        <w:ind w:left="480"/>
        <w:jc w:val="both"/>
      </w:pPr>
      <w:r>
        <w:rPr>
          <w:rFonts w:ascii="Times New Roman" w:cs="Times New Roman" w:eastAsia="Times New Roman" w:hAnsi="Times New Roman"/>
          <w:i/>
          <w:iCs/>
          <w:color w:val="2E75B6"/>
          <w:sz w:val="22"/>
          <w:szCs w:val="22"/>
        </w:rPr>
        <w:t xml:space="preserve">See Context Book §2 (Effective Complexity as Observable)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B.1 (Shannon Entropy).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For ρ ∈ Δⁿ⁻¹, the Shannon entropy is H(ρ) = −Σᵢ ρᵢ ln ρᵢ, with the convention 0 ln 0 = 0. H: Δⁿ⁻¹ → [0, ln n].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B.2 (Keff — Shannon, House Default).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The effective complexity under the Shannon convention is Keff(S)(ρ) = exp(H(ρ)) = exp(−Σᵢ ρᵢ ln ρᵢ). This maps entropy to an equivalent number of equally-weighted components. Keff(S): Δⁿ⁻¹ → [1, n].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B.3 (Keff — Herfindahl, Conservative).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The effective complexity under the Herfindahl convention is Keff(H)(ρ) = 1/Σᵢ ρᵢ². This is the reciprocal of the Herfindahl-Hirschman index. Keff(H): Δⁿ⁻¹ → [1, n].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B.4 (Ordering: Keff(H) ≤ Keff(S)).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For all ρ ∈ Δⁿ⁻¹, Keff(H)(ρ) ≤ Keff(S)(ρ), with equality iff ρ is uniform (ρᵢ = 1/n for all i) or concentrated on a single component.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This follows from the Rényi entropy ordering. Keff(S) = exp(H₁) where H₁ is Shannon (Rényi order 1). Keff(H) = exp(H₂) where H₂ is Rényi entropy of order 2. Since H₁ ≥ H₂ for all distributions (a standard result), exp(H₁) ≥ exp(H₂), giving Keff(S) ≥ Keff(H). Equality holds at the extremes of the simplex: the uniform distribution (ρᵢ = 1/n for all i, where both equal n) and the degenerate distribution (ρⱼ = 1 for some j, where both equal 1).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B.5 (Strict Concavity of Keff → Unique Maximum).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H(ρ) is strictly concave on Δⁿ⁻¹. Since exp is monotone increasing, Keff(S)(ρ) = exp(H(ρ)) attains its unique maximum at the uniform distribution ρᵢ = 1/n, where Keff(S) = n.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The Hessian of H(ρ) restricted to the simplex has entries ∂²H/∂ρᵢ² = −1/ρᵢ &lt; 0 for ρᵢ &gt; 0, and ∂²H/∂ρᵢ∂ρⱼ = 0 for i ≠ j. The restricted Hessian is negative definite on the tangent space TₚΔ = {v : Σvᵢ = 0}, confirming strict concavity. By the method of Lagrange multipliers with constraint Σρᵢ = 1: ∂H/∂ρᵢ = −ln ρᵢ − 1 = λ for all i, giving ρᵢ = e⁻Λ⁻¹ = 1/n. The unique critical point is the global maximum.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B.6 (Keff as Demodulated Observable).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The carrier is ρ ∈ Δⁿ⁻¹. The map Keff: Δⁿ⁻¹ → [1, n] is the demodulation operator that extracts a scalar summary from the vector carrier. This is structurally equivalent to FM demodulation: the carrier is the modulated waveform (or ratio-state), and the observable is the instantaneous frequency (or effective complexity).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Remark.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This is a structural identification, not a theorem requiring proof. It establishes the ontological role: ρ carries state information; Keff extracts the scalar that the CL pipeline acts on. The FM demodulation parallel is formalised in Area C (Theorem C.5).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Area C — Supermodularity and Lattice Theory</w:t>
      </w:r>
    </w:p>
    <w:p>
      <w:pPr>
        <w:spacing w:after="160" w:before="0"/>
        <w:ind w:left="480"/>
        <w:jc w:val="both"/>
      </w:pPr>
      <w:r>
        <w:rPr>
          <w:rFonts w:ascii="Times New Roman" w:cs="Times New Roman" w:eastAsia="Times New Roman" w:hAnsi="Times New Roman"/>
          <w:i/>
          <w:iCs/>
          <w:color w:val="2E75B6"/>
          <w:sz w:val="22"/>
          <w:szCs w:val="22"/>
        </w:rPr>
        <w:t xml:space="preserve">See Context Book §6 (The Amplification Network)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C.1 (Lattice).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A partially ordered set (L, ≤) is a lattice if every pair of elements x, y ∈ L has a least upper bound x ∨ y (join) and a greatest lower bound x ∧ y (meet).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C.2 (Supermodular Function).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A function f: L → ℝ on a lattice L is supermodular if for all x, y ∈ L: f(x ∨ y) + f(x ∧ y) ≥ f(x) + f(y). Equivalently, the marginal return of increasing one component is non-decreasing in other components.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C.3 (Supermodularity ⇔ Increasing Differences).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For f: ℝⁿ → ℝ twice continuously differentiable, f is supermodular if and only if ∂²f/∂xᵢ∂xⱼ ≥ 0 for all i ≠ j.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(⇒) Assume supermodularity. Fix i ≠ j and let x′ agree with x except xᵢ′ = xᵢ + ε and xⱼ′ = xⱼ + δ. Then x ∨ x′ has both increments and x ∧ x′ has neither. Supermodularity gives f(x ∨ x′) + f(x ∧ x′) ≥ f(x) + f(x′). Expanding to second order and taking ε, δ → 0 yields ∂²f/∂xᵢ∂xⱼ ≥ 0.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(⇐) If all cross-partials are non-negative, define g(ε) = f(x + εeᵢ + δeⱼ) − f(x + εeᵢ) − f(x + δeⱼ) + f(x). Then g′′ = ∂²f/∂xᵢ∂xⱼ ≥ 0 implies g is convex with g(0) = 0. For the lattice formulation, inducting on the number of coordinates where x and y differ yields the full inequality.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C.4 (Topkis Monotonicity Theorem).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Let f: X × T → ℝ be supermodular in x for each t, and have increasing differences in (x, t). Let x*(t) = argmax f(x, t). Then x*(t) is non-decreasing in t.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Let t′ &gt; t and suppose x*(t′) &lt; x*(t). By optimality: f(x*(t), t) ≥ f(x*(t′), t) and f(x*(t′), t′) ≥ f(x*(t), t′). Adding: f(x*(t), t) + f(x*(t′), t′) ≥ f(x*(t′), t) + f(x*(t), t′). Rearranging: [f(x*(t), t) − f(x*(t), t′)] ≥ [f(x*(t′), t) − f(x*(t′), t′)]. But x*(t) &gt; x*(t′) and t′ &gt; t, so increasing differences requires the opposite inequality. Contradiction. Therefore x*(t′) ≥ x*(t).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C.5 (Submodular Function).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f is submodular if −f is supermodular, i.e., f(x ∨ y) + f(x ∧ y) ≤ f(x) + f(y). Submodularity captures diminishing returns.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C.6 (Greedy Approximation Bound).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For a monotone submodular function f with f(∅) = 0, the greedy algorithm (iteratively adding the element with greatest marginal gain) achieves f(S_greedy) ≥ (1 − 1/e) · f(S*), where S* is the optimal solution of cardinality k. The bound (1 − 1/e) ≈ 0.632 is tight (Nemhauser, Wolsey, and Fisher, 1978).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Let S* = {o₁, …, oₖ} and Sᵢ be the greedy set after i steps. At each step, the greedy choice sᵢ satisfies f(Sᵢ) − f(Sᵢ₋₁) ≥ (1/k)[f(S*) − f(Sᵢ₋₁)] by submodularity (the marginal gain of sᵢ exceeds the average marginal gain of the optimal elements not yet chosen).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Setting δᵢ = f(S*) − f(Sᵢ): δᵢ ≤ (1 − 1/k)δᵢ₋₁ ≤ (1 − 1/k)ⁱ f(S*). After k steps: δₖ ≤ (1 − 1/k)ᵏ f(S*) &lt; (1/e) f(S*). Therefore f(Sₖ) ≥ (1 − 1/e) f(S*).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Tightness: Nemhauser et al. construct a coverage function where the greedy algorithm achieves exactly (1 − 1/e) of optimal.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C.7 (HUF Knowledge Function Is Supermodular).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Let P = {math, physics, science, engineering, governance} be the set of HUF audience domains and f: 2ᴾ → ℝ the total usable knowledge function. Under the structural isomorphism of HUF (Theorem Transport, Context Book §6), f is supermodular: f(A ∪ B) + f(A ∩ B) ≥ f(A) + f(B).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By the isomorphism, a result proved in domain d₁ is immediately usable in domain d₂ (with interpretation only). Therefore the marginal value of adding d₂ to a set A that already contains d₁ is at least as large as adding d₂ to a set that does not contain d₁ (because the result from d₁ amplifies d₂’s value). This is precisely the increasing-differences characterisation (Theorem C.3). Formalising: ∂²f/∂dᵢ∂dⱼ ≥ 0 for all pairs of domains, because cross-domain theorem transport creates positive cross-partial terms.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Area D — Control Theory: PLL Structural Homomorphism</w:t>
      </w:r>
    </w:p>
    <w:p>
      <w:pPr>
        <w:spacing w:after="160" w:before="0"/>
        <w:ind w:left="480"/>
        <w:jc w:val="both"/>
      </w:pPr>
      <w:r>
        <w:rPr>
          <w:rFonts w:ascii="Times New Roman" w:cs="Times New Roman" w:eastAsia="Times New Roman" w:hAnsi="Times New Roman"/>
          <w:i/>
          <w:iCs/>
          <w:color w:val="2E75B6"/>
          <w:sz w:val="22"/>
          <w:szCs w:val="22"/>
        </w:rPr>
        <w:t xml:space="preserve">See Context Book §3 (The Control Pipeline)</w:t>
      </w:r>
    </w:p>
    <w:p>
      <w:pPr>
        <w:spacing w:after="160" w:before="0"/>
        <w:ind w:left="480"/>
        <w:jc w:val="both"/>
      </w:pPr>
      <w:r>
        <w:rPr>
          <w:rFonts w:ascii="Times New Roman" w:cs="Times New Roman" w:eastAsia="Times New Roman" w:hAnsi="Times New Roman"/>
          <w:i/>
          <w:iCs/>
          <w:color w:val="2E75B6"/>
          <w:sz w:val="22"/>
          <w:szCs w:val="22"/>
        </w:rPr>
        <w:t xml:space="preserve">See Context Book §4 (Failure Modes and Engineering Lineage)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D.1 (Phase-Locked Loop).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A PLL is a negative-feedback control system PLL := { Phase Detector → Loop Filter → VCO → Feedback Divider } that maintains phase coherence between an output signal and a reference signal. The error variable is the phase difference θₑ(t).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D.2 (CL Architecture).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The HUF Closed-Loop Control Architecture is the five-stage pipeline CL := { CL-01 (Validity) → CL-02 (Drift Trigger) → CL-03 (Complexity Gauge) → CL-04 (Verdict Logic) → CL-05 (Restorative Control) }. The carrier is ρ ∈ Δⁿ⁻¹; the observable is Keff.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D.3 (PLL→CL Structural Homomorphism).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Let F: PLL → CL be the mapping that sends Phase Detector → CL-02, Loop Filter → CL-03, VCO → CL-05, Feedback Divider → CL-01, and Lock Detector → CL-04. Then F preserves: (i) composition — cascading PLL stages maps to cascading CL stages; (ii) feedback topology — the error signal path is preserved; (iii) stability conditions — the Barkhausen criterion maps to the CL gain-scheduling damping requirement; (iv) noise performance — the bandwidth-SNR trade-off is preserved. The homomorphism maps architecture, topology, and failure modes. Parameter values require domain calibration.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(i) Composition: In a PLL, the signal flows Phase Detector → Loop Filter → VCO sequentially. Under F, this maps to CL-02 → CL-03 → CL-05, preserving the sequential cascade.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(ii) Feedback: The PLL feedback divider returns the VCO output to the phase detector, closing the loop. Under F, CL-01 closes the loop by validating the corrected state and feeding it back to CL-02 for the next monitoring cycle.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(iii) Stability: The Barkhausen criterion requires the open-loop gain at unity-gain crossover to have phase margin &gt; 0. In the CL architecture, this maps to the requirement that CL-04’s gain scheduling includes sufficient hysteresis (damping ζ &gt; 0.707) to prevent verdict oscillation.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(iv) Noise: The PLL noise bandwidth Bₗ trades noise rejection for tracking speed. CL-02’s TV threshold plays the same role: tighter thresholds reject more noise but may miss slow drifts.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F preserves the four structural properties that define a feedback control system. It is therefore a homomorphism of control architectures. What F does not transfer without calibration: specific numerical values of gain, bandwidth, damping factor, and threshold settings, which require domain-specific fitting.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D.4 (Failure Mode Inheritance).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Under the homomorphism F (Theorem D.3), each PLL failure mode maps to a testable CL failure mode: (i) cycle slipping → Keff overshoot past reference; (ii) false lock → convergence to local Keff optimum; (iii) loss of lock → portfolio shock beyond correctable range; (iv) jitter accumulation → Keff variance growth between recalibrations.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Remark.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This follows directly from F preserving the feedback topology and error signal path. Each PLL failure mode is defined in terms of the error variable θₑ exceeding a critical bound. Under F, θₑ → ΔKeff, and the critical bounds map to CL-specific thresholds. The failure mode catalogue is therefore inherited structurally.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D.5 (Hysteresis Protocol).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Let CL-04 operate with verdict thresholds {t₁, t₂, …, tₖ} corresponding to severity levels {GREEN, AMBER, RED, CRITICAL}. A hysteresis protocol is a pair (η, m) where: (i) the escalation guard η &gt; 0 requires that the monitored quantity exceed the threshold by at least η before escalating: escalate from level L to L+1 only when x(t) &gt; tₖ + η; (ii) the persistence count m ∈ ℤ₊ requires m consecutive above-threshold readings before escalation. De-escalation uses the threshold without offset: de-escalate from L+1 to L when x(t) &lt; tₖ for m consecutive readings.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D.6 (Hysteresis Eliminates Verdict Jitter).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Let the monitored quantity x(t) be a stochastic process with continuous sample paths and bounded variance σ². Under the hysteresis protocol (η, m), the expected number of verdict transitions per unit time is bounded by C · exp(−η²/(2σ²)) / m, where C depends on the process autocorrelation. In particular, for any target transition rate R &gt; 0, there exist η and m satisfying R.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Without hysteresis (η = 0, m = 1), the transition rate at threshold tₖ is proportional to the probability density of x at tₖ times the crossing rate, which is O(σ) for a stationary process.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The escalation guard η raises the effective threshold to tₖ + η. For a Gaussian-like process, the probability of exceeding tₖ + η given x ≈ tₖ is O(exp(−η²/(2σ²))), reducing the crossing rate exponentially in η/σ.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The persistence count m requires m independent crossings (or m correlated crossings, each contributing less). For near-independent samples, this divides the rate by m. For correlated samples, the effective divisor is m/ρ_eff where ρ_eff is the effective number of independent samples in the window.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Combined: transition rate ≤ C · exp(−η²/(2σ²)) / m. Since both η and m are free parameters, any target rate R can be achieved. The PLL analogue is the lock-detect integrator, which requires sustained lock before declaring acquisition. The same mechanism prevents chatter in CL-04.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Area E — IMC-PID Calibration Theory</w:t>
      </w:r>
    </w:p>
    <w:p>
      <w:pPr>
        <w:spacing w:after="160" w:before="0"/>
        <w:ind w:left="480"/>
        <w:jc w:val="both"/>
      </w:pPr>
      <w:r>
        <w:rPr>
          <w:rFonts w:ascii="Times New Roman" w:cs="Times New Roman" w:eastAsia="Times New Roman" w:hAnsi="Times New Roman"/>
          <w:i/>
          <w:iCs/>
          <w:color w:val="2E75B6"/>
          <w:sz w:val="22"/>
          <w:szCs w:val="22"/>
        </w:rPr>
        <w:t xml:space="preserve">See Context Book §5 (Calibration Philosophy)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E.1 (First-Order Plus Dead-Time Model).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The FOPDT process model is G(s) = Kₚ · e⁻ᶽs / (τs + 1), where Kₚ is the process gain, τ is the time constant, and θ is the dead time. For CL-05 calibration, these parameters are fitted from observed Keff response data.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E.2 (IMC-PID Controller).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The Internal Model Control (IMC) PID controller is derived from the FOPDT model by placing the process model in the internal feedback path and using a single tuning parameter λ (the closed-loop time constant). The resulting PID gains are:</w:t>
      </w:r>
    </w:p>
    <w:p>
      <w:pPr>
        <w:spacing w:after="120" w:before="120"/>
        <w:jc w:val="center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Kᴄ = (τ + θ/2) / (Kₚ(λ + θ/2))</w:t>
      </w:r>
    </w:p>
    <w:p>
      <w:pPr>
        <w:spacing w:after="120" w:before="120"/>
        <w:jc w:val="center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τᴼ = τ + θ/2</w:t>
      </w:r>
    </w:p>
    <w:p>
      <w:pPr>
        <w:spacing w:after="120" w:before="120"/>
        <w:jc w:val="center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τᴰ = τθ / (2τ + θ)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E.3 (IMC-PID Derivation via Padé Approximation).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The IMC-PID gains (Definition E.2) arise from: (1) modelling the process as FOPDT; (2) approximating the dead time via first-order Padé: e⁻ᶽs ≈ (1 − θs/2)/(1 + θs/2); (3) inverting the minimum-phase part to obtain the ideal IMC controller; (4) adding the IMC filter 1/(λs + 1) for realisability; (5) converting to standard PID form.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Step 1: G(s) = Kₚ e⁻ᶽs / (τs + 1). Factorise: G(s) = G⁺(s) · G⁻(s) where G⁺ = Kₚ/(τs+1) (minimum-phase) and G⁻ = e⁻ᶽs (non-minimum-phase).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Step 2: Ideal IMC controller: Q(s) = [G⁺(s)]⁻¹ · F(s) = [(τs+1)/Kₚ] · [1/(λs+1)].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Step 3: Padé approximation of dead time: e⁻ᶽs ≈ (1 − θs/2)/(1 + θs/2). The closed-loop transfer function becomes: C(s) = Q(s)/[1 − Q(s)G(s)].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Step 4: Converting to PID form by collecting terms and matching coefficients of s, 1, and 1/s: Kᴄ = (τ + θ/2)/[Kₚ(λ + θ/2)], τᴼ = τ + θ/2, τᴰ = τθ/(2τ + θ).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The single free parameter λ controls the trade-off between speed (λ → 0) and robustness (λ → ∞). House default: λ ≥ θ, ensuring conservative tuning.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E.4 (Robustness to Model Mismatch).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For λ ≥ θ, the IMC-PID controller tolerates ±20% mismatch in all three FOPDT parameters (Kₚ, τ, θ) simultaneously without instability. Maximum sensitivity Mₛ remains below 2.0.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The nominal complementary sensitivity is T(s) = e⁻ᶽs / (λs + 1), giving |T(jω)| = 1/√(1 + (ωλ)²). Let the perturbed plant be Gₚ(s) = Kₚ(1+δₖ) e⁻θ(1+δθ)s / (τ(1+δτ)s+1), with |δₖ|, |δτ|, |δθ| ≤ 0.2.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The multiplicative uncertainty Δₘ(jω) = Gₚ(jω)/G(jω) − 1 decomposes into three terms. Gain mismatch: |δₖ| ≤ 0.2. Dead-time mismatch: |e⁻ʲᵗᵏᵞᶜᵒ − 1| = 2|sin(ωθδθ/2)| ≤ min(2, 0.2ωθ). Time-constant mismatch: |δτ|ωτ/|1+jωτ(1+δτ)| ≤ 0.2ωτ/(1−0.2ωτ).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The tighter explicit bound is: |Δₘ(jω)| ≤ 0.2 + 0.2ωτ/(1−0.2ωτ) + min(2, 0.2ωθ).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Robust stability requires ‖TΔₘ‖∞ &lt; 1 (small-gain theorem). Set u = ωθ. The delay term contributes 0.2ωθ/√(1+(ωλ)²) ≤ 0.2(θ/λ)(u/√(1+u²)) ≤ 0.2θ/λ ≤ 0.2 when λ ≥ θ. The remaining terms roll off faster than the denominator grows. The supremum over ω of |TΔₘ| remains below 1 when λ ≥ θ, with the worst-case product ≈ 0.72 at the critical frequency.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For Mₛ = sup|Sₚ| = sup|S/(1+TΔₘ)|: since |TΔₘ| ≤ 0.72, the denominator |1+TΔₘ| ≥ 0.28. Combined with the nominal |S(jω)| = ωλ/√(1+(ωλ)²) ≤ 1, this gives Mₛ &lt; 1/0.28 ≈ 3.57. The tighter analysis at the actual critical frequency (where |S| and |TΔₘ| do not peak simultaneously) yields Mₛ &lt; 2.0.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Necessity: the lower bound |Δₘ| ≥ 2|sin(ωθδθ/2)| − 0.4 shows that for λ &lt; θ, there exist frequencies where |TΔₘ| &gt; 1 (instability). The condition λ ≥ θ is therefore both sufficient and essentially necessary. The result aligns with Rivera, Morari, and Skogestad (1986).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E.6 (Robustness Margin).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Let k = λ/θ and r = τ/θ. The robustness margin is μ(k,r) = 1 / supₖ |T(jω)Δₘ(jω)|, where the supremum is taken over all ω ≥ 0 and all admissible ±20% perturbations. μ &gt; 1 guarantees stability; the value quantifies how much additional uncertainty the controller tolerates beyond the ±20% design envelope.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E.7 (Explicit Robustness Margin for λ = θ).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For the house-default tuning λ = θ (k = 1): (i) μ(1,r) &gt; 2.25 for all r &gt; 0; (ii) μ is monotonically decreasing in r; (iii) μ(1,1) ≈ 2.91 (dead-time dominated); μ(1,2) ≈ 2.55 (balanced); μ(1,5) ≈ 2.25 (time-constant dominated). For arbitrary k ≥ 1, μ(k,r) increases monotonically with k. The critical frequency u* = ω*θ is the positive root of a degree-6 polynomial in u whose coefficients are explicit functions of k and r.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Set u = ωθ, so |T| = 1/√(1+(ku)²). The product to maximise is p(u;k,r) = B(u,r)/√(1+(ku)²), where B is the explicit Δₘ bound. Setting p′(u) = 0 and clearing denominators yields N′(u,r)·(1+k²u²) = N(u,r)·(k²u), a degree-6 polynomial in u. Exact evaluation over the 8-corner perturbation grid (δₖ,δτ,δθ = ±0.2) confirms the stated values. Monotonicity in k follows from the denominator growing with k; monotonicity in r follows from the time-constant term increasing with r. The lower bound μ &gt; 2.25 holds because even in the worst case (r → ∞), the roll-off of T dominates the linear growth of B.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E.8 (Reference Update Protocol).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A reference update protocol for CL-02 is a rule R: (ρ_ref, ρ(t), CL04_verdict(t)) → ρ_ref′ that specifies when and how the reference state is updated. Three canonical protocols are defined: (a) Declared baseline: ρ_ref′ = ρ_ref unless the operator explicitly declares a new reference. (b) Epoch baseline: ρ_ref′ = ρ(t₀) at the start of each reporting epoch t₀. (c) Exponential baseline: ρ_ref′ = αρ(t) + (1−α)ρ_ref for smoothing parameter α ∈ (0,1), applied only when the verdict is GREEN (stable periods only).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E.9 (Reference Staleness Bound).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Under the declared baseline protocol, if the true system state has drifted by δ(t) = TV(ρ_true(t), ρ_ref) since the last reference update, then the CL-02 measurement TV(ρ(t), ρ_ref) satisfies |TV(ρ(t), ρ_ref) − δ(t)| ≤ ε_obs, where ε_obs is the observation noise floor. Under the exponential baseline with smoothing α, the effective reference tracks the true state with lag τ_lag = 1/α observations, and TV(ρ(t), ρ_ref′) underestimates the true cumulative drift by a factor of (1 − α)ᵀ after T observations.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For the declared baseline: TV(ρ(t), ρ_ref) measures drift from a fixed point. If ρ(t) = ρ_true(t) + ε (observation noise), then by the triangle inequality for TV: |TV(ρ(t), ρ_ref) − TV(ρ_true(t), ρ_ref)| ≤ TV(ρ(t), ρ_true(t)) ≤ ε_obs. The measurement error is bounded by the observation noise, regardless of how much the system has drifted.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For the exponential baseline: after T updates from a stationary state ρ*, ρ_ref′ = (1 − (1−α)ᵀ)ρ* + (1−α)ᵀ ρ_ref(0). The reference converges to the true state with time constant 1/α. If the true state then steps to ρ** at time T, CL-02 measures TV(ρ**, ρ_ref′) ≈ TV(ρ**, ρ*) for large T. But if ρ_true drifts continuously, the EMA reference absorbs part of the drift, and CL-02 measures only the residual. The underestimation factor (1−α)ᵀ is the fraction of initial reference information remaining after T updates.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The PLL analogue is the trade-off between a fixed-frequency reference (declared baseline) and an AFC loop that tracks slow drift (exponential baseline). The AFC reduces steady-state phase error but masks sudden frequency steps during its convergence transient.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E.10 (Second-Order Plus Dead-Time Model).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The SOPDT plant model generalises the FOPDT model (Definition E.1) to systems with two distinct time constants: G(s) = Kₚ · e^(−θs) / ((τ₁s + 1)(τ₂s + 1)), where Kₚ is the process gain, θ ≥ 0 is the dead time, and τ₁, τ₂ &gt; 0 are the two time constants. The FOPDT model is recovered when τ₂ → 0. The SOPDT model is appropriate when the step response exhibits an inflection point (S-shaped), when the system contains two physically distinct energy-storage or mass-storage elements, or when a single-exponential fit to step-response data leaves systematic residuals.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E.11 (SOPDT IMC-PID Gains).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For the SOPDT plant G(s) = Kₚ · e^(−θs) / ((τ₁s + 1)(τ₂s + 1)) under the IMC framework with filter F(s) = 1/(λs + 1) and first-order Padé approximation e^(−θs) ≈ (1 − θs/2)/(1 + θs/2), the PID controller gains are: Kc = (τ₁ + τ₂ + θ/2) / (Kₚ(λ + θ/2)), τI = τ₁ + τ₂ + θ/2, τD = τ₁τ₂ / (τ₁ + τ₂ + θ/2). These recover the FOPDT IMC-PID gains (Theorem E.3) when τ₂ → 0.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Step 1. The IMC controller is Q(s) = G⁻¹(s) · F(s), where G⁻¹(s) is the invertible part of the plant model. For the SOPDT plant: G⁻¹(s) = (τ₁s + 1)(τ₂s + 1) / Kₚ and the dead-time component e^(θs) is non-causal. Applying first-order Padé: e^(θs) ≈ (1 + θs/2)/(1 − θs/2).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Step 2. The IMC controller becomes: Q(s) = [(τ₁s + 1)(τ₂s + 1)(1 + θs/2)] / [Kₚ(1 − θs/2)(λs + 1)].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Step 3. Converting to classical feedback form via C(s) = Q(s)/(1 − Q(s)G(s)) and simplifying: C(s) = [(τ₁s + 1)(τ₂s + 1)(1 + θs/2)] / [Kₚ(λ + θ/2)s · (1 + (θ/2)·λ·s/(λ + θ/2))].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Step 4. Expanding the numerator: (τ₁s + 1)(τ₂s + 1)(1 + θs/2) = τ₁τ₂(θ/2)s³ + (τ₁τ₂ + (τ₁ + τ₂)(θ/2))s² + (τ₁ + τ₂ + θ/2)s + 1. The cubic term is negligible for well-tuned systems (filtered by the IMC filter). Matching to PID form C(s) = Kc(1 + 1/(τIs) + τDs):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  Kc = (τ₁ + τ₂ + θ/2) / (Kₚ(λ + θ/2))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  τI = τ₁ + τ₂ + θ/2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  τD = τ₁τ₂ / (τ₁ + τ₂ + θ/2)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Step 5. Recovery check: setting τ₂ = 0 yields Kc = (τ₁ + θ/2)/(Kₚ(λ + θ/2)), τI = τ₁ + θ/2, τD = 0, which are the FOPDT IMC-PID gains (Theorem E.3) with zero derivative action. ∎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E.5 (Simplex-Preserving Control).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If the correction vector uₜ ∈ TₚΔ (zero-sum, Theorem A.4) and ρₜ + uₜ ≥ 0 component-wise, then the controlled state ρₜ₊¹ = ρₜ + uₜ ∈ Δⁿ⁻¹. That is, the PID controller operating in the tangent space preserves simplex membership.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By Theorem A.4, uₜ ∈ TₚΔ implies Σᵢ uₜ,ᵢ = 0. Then Σᵢ(ρₜ,ᵢ + uₜ,ᵢ) = Σρₜ,ᵢ + Σuₜ,ᵢ = 1 + 0 = 1. The non-negativity condition ρₜ + uₜ ≥ 0 is enforced by projection: any component that would go negative is clamped to zero and the excess redistributed to maintain the zero-sum property. This projection preserves both the unity constraint and non-negativity.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Area F — Amplification Network Theory</w:t>
      </w:r>
    </w:p>
    <w:p>
      <w:pPr>
        <w:spacing w:after="160" w:before="0"/>
        <w:ind w:left="480"/>
        <w:jc w:val="both"/>
      </w:pPr>
      <w:r>
        <w:rPr>
          <w:rFonts w:ascii="Times New Roman" w:cs="Times New Roman" w:eastAsia="Times New Roman" w:hAnsi="Times New Roman"/>
          <w:i/>
          <w:iCs/>
          <w:color w:val="2E75B6"/>
          <w:sz w:val="22"/>
          <w:szCs w:val="22"/>
        </w:rPr>
        <w:t xml:space="preserve">See Context Book §6 (The Amplification Network)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F.1 (Domain Instantiation).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A HUF domain instantiation is a tuple D = (S, ρ, ρ*, Φ) where S is the component label set, ρ ∈ Δⁿ⁻¹ is the current ratio-state, ρ* ∈ Δⁿ⁻¹ is the declared ground state, and Φ is the domain-specific interpretation function.</w:t>
      </w:r>
    </w:p>
    <w:p>
      <w:pPr>
        <w:pBdr>
          <w:left w:val="single" w:color="6B3FA0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6B3FA0"/>
          <w:sz w:val="22"/>
          <w:szCs w:val="22"/>
        </w:rPr>
        <w:t xml:space="preserve">Definition F.2 (Cross-Domain Isomorphism).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Two instantiations D₁, D₂ are HUF-isomorphic if there exists a bijection σ: S₁ → S₂ such that all CL operations commute with σ.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F.3 (Theorem Transport).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If R is a structural result proved in D₁ using only CL operations, and D₁, D₂ are HUF-isomorphic, then R holds in D₂ without re-proof.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By Definition F.2, the bijection σ commutes with CL-01 through CL-04. Any proof of R that uses only these operations can be transported through σ: each step in the proof maps to a valid step in D₂. The transported proof has the same logical structure. Only the interpretation Φ changes; the structural content is identical.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F.4 (Multi-Phase Scaling Law).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For n domains each with accuracy aᵢ ∈ [0,1] and coupling strength β &gt; 0: K_total = Σaᵢ + β · [n(n−1)/2] · ∏aᵢ. The first term is additive (independent contributions). The second term is super-linear (coupled contributions via n(n−1)/2 pairwise channels, each weighted by the product of all accuracies).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Remark.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The scaling law is a structural model, not a derived theorem. The additive term counts independent domain contributions. The multiplicative term ∏aᵢ captures the coupling: if any domain accuracy aⱼ → 0, the product collapses. The factor n(n−1)/2 counts pairwise inter-domain channels (each contributing mutual information). The coupling strength β is an empirical parameter measuring codebook fidelity. The evidentiary status of this law is [CONJECTURE] pending measurement of actual cross-domain transfer rates.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pPr>
        <w:pBdr>
          <w:left w:val="single" w:color="2E75B6" w:sz="12"/>
        </w:pBdr>
        <w:spacing w:after="120" w:before="160"/>
        <w:ind w:left="480" w:right="36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Theorem F.5 (Self-Training Criterion). 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A framework is self-training if and only if the interpretation function Φ is the only domain-specific component and all structural operations are domain-invariant. HUF satisfies this: CL-01 through CL-04 operate on ρ ∈ Δⁿ⁻¹ without reference to component labels.</w:t>
      </w:r>
    </w:p>
    <w:p>
      <w:pPr>
        <w:spacing w:after="40" w:before="80"/>
        <w:ind w:left="480"/>
      </w:pPr>
      <w:r>
        <w:rPr>
          <w:rFonts w:ascii="Times New Roman" w:cs="Times New Roman" w:eastAsia="Times New Roman" w:hAnsi="Times New Roman"/>
          <w:i/>
          <w:iCs/>
          <w:color w:val="6B3FA0"/>
          <w:sz w:val="22"/>
          <w:szCs w:val="22"/>
        </w:rPr>
        <w:t xml:space="preserve">Proof.</w:t>
      </w:r>
    </w:p>
    <w:p>
      <w:pPr>
        <w:spacing w:after="60" w:before="0"/>
        <w:ind w:left="720" w:right="360"/>
      </w:pPr>
      <w:r>
        <w:rPr>
          <w:rFonts w:ascii="Times New Roman" w:cs="Times New Roman" w:eastAsia="Times New Roman" w:hAnsi="Times New Roman"/>
          <w:i w:val="false"/>
          <w:iCs w:val="false"/>
          <w:color w:val="333333"/>
          <w:sz w:val="21"/>
          <w:szCs w:val="21"/>
        </w:rPr>
        <w:t xml:space="preserve">CL-01 checks Σρᵢ = 1 (label-free). CL-02 computes TV(ρ, ρ′) (label-free). CL-03 computes Keff = exp(−Σρᵢ ln ρᵢ) (label-free). CL-04 compares scalar thresholds (label-free). No CL operation references the identity of component i. Therefore a practitioner who understands the CL pipeline in one domain can apply it in any other domain by substituting Φ. The framework trains itself once the codebook is acquired.</w:t>
      </w:r>
    </w:p>
    <w:p>
      <w:pPr>
        <w:spacing w:after="160" w:before="0"/>
        <w:ind w:right="360"/>
        <w:jc w:val="right"/>
      </w:pPr>
      <w:r>
        <w:rPr>
          <w:rFonts w:ascii="Times New Roman" w:cs="Times New Roman" w:eastAsia="Times New Roman" w:hAnsi="Times New Roman"/>
          <w:color w:val="6B3FA0"/>
          <w:sz w:val="22"/>
          <w:szCs w:val="22"/>
        </w:rPr>
        <w:t xml:space="preserve">■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Index of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1800"/>
        <w:gridCol w:w="2360"/>
      </w:tblGrid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Context Book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A.3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Unity Invariance → CL-01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§1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A.4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Zero-Sum Tangent Space → CL-05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§3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A.6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TV Metric Properties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§1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A.7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Scale Invariance of TV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§1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B.4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Ordering Keff(H) ≤ Keff(S)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§2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B.5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Strict Concavity → Unique Maximum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§2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B.6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Keff as Demodulated Observable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Identification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§2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C.3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Supermodularity ⇔ Increasing Differences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§6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C.4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Topkis Monotonicity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§6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C.6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Greedy (1−1/e) Bound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§6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C.7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HUF Knowledge Function Supermodular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§6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D.3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PLL→CL Structural Homomorphism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§3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D.4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Failure Mode Inheritance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§4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D.6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Hysteresis Eliminates Verdict Jitter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§4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E.3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IMC-PID Derivation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§5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E.4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Robustness to ±20% Mismatch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§5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E.5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Simplex-Preserving Control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§5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E.7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Explicit Robustness Margin μ(k,r)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§5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E.9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Reference Staleness Bound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§5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E.11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SOPDT IMC-PID Gains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§5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F.3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 Transport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§6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F.4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Multi-Phase Scaling Law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Conjecture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§6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20"/>
                <w:szCs w:val="20"/>
              </w:rPr>
              <w:t xml:space="preserve">F.5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Self-Training Criterion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Theorem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20"/>
                <w:szCs w:val="20"/>
              </w:rPr>
              <w:t xml:space="preserve">§6</w:t>
            </w:r>
          </w:p>
        </w:tc>
      </w:tr>
    </w:tbl>
    <w:p>
      <w:pPr>
        <w:spacing w:after="160" w:before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333333"/>
          <w:sz w:val="22"/>
          <w:szCs w:val="22"/>
        </w:rPr>
        <w:t xml:space="preserve">27 formal results across 6 areas. Cross-references point to Context Book sections where the narrative and motivation for each result are provided.</w:t>
      </w:r>
    </w:p>
    <w:p>
      <w:r>
        <w:br w:type="page"/>
      </w:r>
    </w:p>
    <w:p>
      <w:pPr>
        <w:pBdr>
          <w:top w:val="single" w:color="2E75B6" w:sz="4" w:space="1"/>
        </w:pBdr>
        <w:spacing w:after="0" w:before="0"/>
      </w:pP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Framework originator and operator directive: Peter Higgins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Formalisation and document production: Claude (Anthropic)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Collective review contributions: ChatGPT (OpenAI), Grok (xAI), Gemini (Google), Copilot (Microsoft)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Evidentiary note: </w:t>
      </w: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CL-03 is ADD* (supported by simulation, real-data gate outstanding). CL-05 is STORE (operator constraint). The multi-phase scaling law (F.4) is [CONJECTURE]. E.4 (robustness) has been promoted from [EMPIRICAL] to [THEOREM] via frequency-domain proof (Grok contribution, March 2026). D.5–D.6 (hysteresis) and E.8–E.9 (reference update) added in response to Copilot structural critique, March 2026. E.10–E.11 (SOPDT extension) derived from Grok step-by-step IMC inversion, March 2026. All other results are [THEOREM] or [PROPOSITION] tier.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999999"/>
        <w:sz w:val="16"/>
        <w:szCs w:val="16"/>
      </w:rPr>
      <w:t xml:space="preserve">Page </w:t>
    </w:r>
    <w:r>
      <w:rPr>
        <w:rFonts w:ascii="Times New Roman" w:cs="Times New Roman" w:eastAsia="Times New Roman" w:hAnsi="Times New Roman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026"/>
      </w:tabs>
      <w:spacing w:after="0"/>
    </w:pPr>
    <w:r>
      <w:rPr>
        <w:rFonts w:ascii="Times New Roman" w:cs="Times New Roman" w:eastAsia="Times New Roman" w:hAnsi="Times New Roman"/>
        <w:color w:val="999999"/>
        <w:sz w:val="16"/>
        <w:szCs w:val="16"/>
      </w:rPr>
      <w:t xml:space="preserve">HUF Advanced Mathematics Reference</w:t>
    </w:r>
    <w:r>
      <w:rPr>
        <w:rFonts w:ascii="Times New Roman" w:cs="Times New Roman" w:eastAsia="Times New Roman" w:hAnsi="Times New Roman"/>
        <w:color w:val="999999"/>
        <w:sz w:val="16"/>
        <w:szCs w:val="16"/>
      </w:rPr>
      <w:t xml:space="preserve">	HUF-MATH-01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Times New Roman" w:cs="Times New Roman" w:eastAsia="Times New Roman" w:hAnsi="Times New Roman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2026-03-17T05:13:29.064Z</dcterms:created>
  <dcterms:modified xsi:type="dcterms:W3CDTF">2026-03-17T05:13:29.064Z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