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pacing w:val="120"/>
          <w:sz w:val="20"/>
          <w:szCs w:val="20"/>
        </w:rPr>
        <w:t xml:space="preserve">HIGGINS UNITY FRAMEWORK</w:t>
      </w:r>
    </w:p>
    <w:p>
      <w:pPr>
        <w:pBdr>
          <w:bottom w:val="single" w:color="2E75B6" w:sz="6" w:space="1"/>
        </w:pBd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Advanced Mathematics Reference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4"/>
          <w:szCs w:val="24"/>
        </w:rPr>
        <w:t xml:space="preserve">Physics Edition — The Math Book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2E75B6"/>
          <w:sz w:val="20"/>
          <w:szCs w:val="20"/>
        </w:rPr>
        <w:t xml:space="preserve">Paired with: HUF Advanced Theory and Concepts — Physics Edition (The Context Book)</w:t>
      </w:r>
    </w:p>
    <w:p>
      <w:pPr>
        <w:spacing w:after="0" w:before="6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Corpus Reference: HUF-MATH-02  •  Date: 17 March 2026</w:t>
      </w:r>
    </w:p>
    <w:p>
      <w:pPr>
        <w:spacing w:after="300" w:before="6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Framework Originator: Peter Higgins  •  Formalisation: Claude (Anthropic)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Preface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book contains the complete formal mathematics of the Higgins Unity Framework, presented for physicists. Every definition, theorem, and proof is identical to the Mathematician’s Edition (HUF-MATH-01). What differs is the cross-referencing: all "See Context Book" pointers reference the Physics Edition Context Book (HUF-CONTEXT-02), which provides physical interpretation and laboratory examples.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For the physicist: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mathematics uses standard tools: simplices (convex geometry), Shannon entropy (information theory), total variation (measure theory), IMC-PID (control theory), supermodularity (lattice theory). If you are comfortable with these, the proofs will be concise. The Context Book provides the physical motivation.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Notation: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Δⁿ⁻¹ = probability simplex. ρ = ratio-state vector (carrier). Keff = effective complexity (observable). TV = Total Variation distance. CL-01–CL-05 = control loop stages.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Area A — Simplex Geometry and Constraints</w:t>
      </w:r>
    </w:p>
    <w:p>
      <w:pPr>
        <w:spacing w:after="160" w:before="0"/>
        <w:ind w:left="480"/>
        <w:jc w:val="both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See Context Book §1 (The Ratio-State Carrier)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A.1 (Probability Simplex).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The (n−1)-dimensional probability simplex is Δⁿ⁻¹ = { ρ ∈ ℝⁿ : ρᵢ ≥ 0, Σᵢρᵢ = 1 }. Compact, convex, dimension n−1.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A.2 (Ratio-State Vector).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ρ ∈ Δⁿ⁻¹ is the HUF carrier: the proportional allocation across n components.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A.3 (Unity Invariance → CL-01).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Any admissible transformation T: Δⁿ⁻¹ → Δⁿ⁻¹ satisfies Σᵢ T(ρ)ᵢ = 1. CL-01 enforces this by rejecting ρ ∉ Δ.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T maps into the simplex, so T(ρ) ∈ Δⁿ⁻¹, and Σ T(ρ)ᵢ = 1 by definition.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A.4 (Zero-Sum Tangent Space → CL-05).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TₚΔ = { v ∈ ℝⁿ : Σᵢvᵢ = 0 }. Corrections preserving simplex membership must be zero-sum.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Differentiating Σρᵢ = 1: Σ dρᵢ = 0. For finite u: Σ(ρᵢ + uᵢ) = 1 ⇒ Σuᵢ = 0.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A.5 (Total Variation Distance).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TV(ρ, ρ′) = ½ Σᵢ |ρᵢ − ρᵢ′|. House default metric for CL-02. Equivalent to trace distance for diagonal density matrices.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A.6 (TV Metric Properties).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TV is a metric on Δⁿ⁻¹: (i) non-negative, zero iff equal; (ii) symmetric; (iii) triangle inequality. TV ∈ [0, 1].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Standard L¹ metric properties. Boundedness: TV ≤ ½(Σρᵢ + Σρᵢ′) = 1.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A.7 (Scale Invariance of TV on the Simplex).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TV depends only on ρ, not on absolute scale. If x → αx for α &gt; 0, then ρᵢ = xᵢ/Σxⱼ is unchanged.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ρᵢ′ = αxᵢ/(αΣxⱼ) = xᵢ/Σxⱼ = ρᵢ. TV is intensive, not extensive.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Area B — Entropy Measures and Effective Complexity</w:t>
      </w:r>
    </w:p>
    <w:p>
      <w:pPr>
        <w:spacing w:after="160" w:before="0"/>
        <w:ind w:left="480"/>
        <w:jc w:val="both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See Context Book §2 (Effective Complexity as Observable)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B.1 (Shannon Entropy).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H(ρ) = −Σᵢ ρᵢ ln ρᵢ, with 0 ln 0 = 0. H: Δⁿ⁻¹ → [0, ln n].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B.2 (Keff — Shannon, House Default).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Keff(S)(ρ) = exp(H(ρ)) = effective number of equally-weighted components. Keff(S): Δ → [1, n].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B.3 (Keff — Herfindahl, Conservative).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Keff(H)(ρ) = 1/Σρᵢ² = inverse participation ratio. Keff(H): Δ → [1, n].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B.4 (Ordering: Keff(H) ≤ Keff(S)).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For all ρ ∈ Δ, Keff(H) ≤ Keff(S), with equality iff ρ is uniform or concentrated on one component.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Rényi entropy ordering: H₁ ≥ H₂, so exp(H₁) ≥ exp(H₂).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B.5 (Strict Concavity → Unique Maximum).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H(ρ) is strictly concave on Δ. Keff(S) attains its unique maximum at ρᵢ = 1/n, where Keff = n.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Hessian restricted to tangent space: ∂²H/∂ρᵢ² = −1/ρᵢ &lt; 0, off-diagonal zero. Negative definite on TₚΔ. Lagrange multiplier gives ρᵢ = 1/n.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B.6 (Keff as Demodulated Observable).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ρ is the carrier; Keff is the demodulated scalar. Structurally equivalent to FM demodulation: carrier → ratio-state, observable → effective complexity.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Identification.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Ontological role assignment, not a theorem. See Context Book §2.1.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Area C — Supermodularity and Lattice Theory</w:t>
      </w:r>
    </w:p>
    <w:p>
      <w:pPr>
        <w:spacing w:after="160" w:before="0"/>
        <w:ind w:left="480"/>
        <w:jc w:val="both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See Context Book §6 (The Amplification Network)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C.1 (Lattice).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 partially ordered set (L, ≤) is a lattice if every pair has a join (x ∨ y) and a meet (x ∧ y).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C.2 (Supermodular Function).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f: L → ℝ is supermodular if f(x ∨ y) + f(x ∧ y) ≥ f(x) + f(y). Complementarity / increasing returns.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C.3 (Supermodularity ⇔ Increasing Differences).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For f ∈ C²: f supermodular ⇔ ∂²f/∂xᵢ∂xⱼ ≥ 0 for all i ≠ j.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(⇒) Take x′ differing in components i,j. Supermodularity ⇒ second-order expansion gives non-negative cross-partial.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(⇐) Non-negative cross-partials ⇒ induction on coordinates yields the lattice inequality.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C.4 (Topkis Monotonicity).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If f(x,t) is supermodular in x with increasing differences in (x,t), then x*(t) = argmax f(x,t) is non-decreasing in t.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Suppose x*(t′) &lt; x*(t) for t′ &gt; t. Optimality at both points plus increasing differences yields contradiction.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C.5 (Submodular Function).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 submodular ⇔ −f supermodular. Captures diminishing returns.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C.6 (Greedy (1−1/e) Bound).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For monotone submodular f with f(∅) = 0, greedy achieves f(S_greedy) ≥ (1−1/e)·f(S*). Tight (Nemhauser et al., 1978).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Submodularity ⇒ marginal gain of greedy choice ≥ (1/k)[f(S*) − f(Sᵢ)]. Telescoping: δₖ ≤ (1−1/k)ᵏ f(S*) &lt; (1/e)f(S*).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C.7 (HUF Knowledge Function Supermodular).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Under theorem transport (F.3), the total usable knowledge f over HUF domains is supermodular: adding a domain is more valuable when more domains exist.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Isomorphism creates cross-links. Marginal value of domain d₂ given d₁ ≥ marginal value without d₁. This is the increasing-differences characterisation.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Area D — Control Theory: PLL Structural Homomorphism</w:t>
      </w:r>
    </w:p>
    <w:p>
      <w:pPr>
        <w:spacing w:after="160" w:before="0"/>
        <w:ind w:left="480"/>
        <w:jc w:val="both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See Context Book §3 (The Control Pipeline)</w:t>
      </w:r>
    </w:p>
    <w:p>
      <w:pPr>
        <w:spacing w:after="160" w:before="0"/>
        <w:ind w:left="480"/>
        <w:jc w:val="both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See Context Book §4 (Failure Modes and Engineering Lineage)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D.1 (Phase-Locked Loop).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PLL := { Phase Detector → Loop Filter → VCO → Feedback Divider }. Error variable: phase difference θₑ(t).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D.2 (CL Architecture).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CL := { CL-01 → CL-02 → CL-03 → CL-04 → CL-05 }. Carrier: ρ ∈ Δ. Observable: Keff.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D.3 (PLL→CL Structural Homomorphism).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F: PLL → CL preserves: (i) composition; (ii) feedback topology; (iii) stability conditions (Barkhausen → CL damping); (iv) noise performance (BW-SNR → sensitivity-specificity). Parameter values require calibration.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(i) PD→LF→VCO maps to CL-02→CL-03→CL-05. (ii) Divider→PD maps to CL-01→CL-02. (iii) Barkhausen phase margin → CL-04 hysteresis (ζ &gt; 0.707). (iv) PLL noise BW Bₗ → CL-02 threshold. All four structural properties preserved.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D.4 (Failure Mode Inheritance).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Under F: cycle slipping → Keff overshoot; false lock → local Keff optimum; loss of lock → shock beyond range; jitter → Keff variance growth.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Remark.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F preserves feedback topology and error path. PLL failure modes defined by θₑ exceeding bounds map to CL modes by ΔKeff exceeding bounds.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D.5 (Hysteresis Protocol).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Pair (η, m): escalation guard η &gt; 0 (exceed threshold by η to escalate); persistence count m ∈ ℤ₊ (m consecutive breaches required). De-escalation at threshold without offset, m consecutive below.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D.6 (Hysteresis Eliminates Verdict Jitter).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For monitored quantity x(t) with variance σ², under (η, m): transition rate ≤ C · exp(−η²/(2σ²)) / m.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Guard η raises effective threshold. Gaussian tail: P(exceed by η) ~ exp(−η²/(2σ²)). Persistence m divides rate. Combined bound follows. PLL analogue: lock-detect integrator.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Area E — IMC-PID Calibration Theory</w:t>
      </w:r>
    </w:p>
    <w:p>
      <w:pPr>
        <w:spacing w:after="160" w:before="0"/>
        <w:ind w:left="480"/>
        <w:jc w:val="both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See Context Book §5 (Calibration Philosophy)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E.1 (FOPDT Model).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G(s) = Kₚ e⁻ᶽs / (τs + 1). Process gain Kₚ, time constant τ, dead time θ.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E.2 (IMC-PID Controller).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Single tuning parameter λ (closed-loop time constant). PID gains: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Kᴄ = (τ + θ/2) / (Kₚ(λ + θ/2))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τᴼ = τ + θ/2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color w:val="333333"/>
          <w:sz w:val="22"/>
          <w:szCs w:val="22"/>
        </w:rPr>
        <w:t xml:space="preserve">τᴰ = τθ / (2τ + θ)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E.3 (IMC-PID Derivation via Padé).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Gains arise from: (1) FOPDT model; (2) first-order Padé for dead time; (3) invert minimum-phase part; (4) IMC filter 1/(λs+1); (5) convert to PID form.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G⁺ = Kₚ/(τs+1), Q = [G⁺]⁻¹ F = (τs+1)/(Kₚ(λs+1)). Padé: e⁻ᶽs ≈ (1−θs/2)/(1+θs/2). Converting Q/(1−QG) to PID form by coefficient matching yields the stated gains.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E.4 (Robustness to ±20% Mismatch).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For λ ≥ θ: ±20% simultaneous mismatch in (Kₚ, τ, θ) yields Mₛ &lt; 2.0. Stability maintained.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Multiplicative uncertainty Δₘ decomposes into gain (≤ 0.2), dead-time (≤ min(2, 0.2ωθ)), and time-constant (≤ 0.2ωτ/(1−0.2ωτ)) terms. IMC filter |T| = 1/√(1+(ωλ)²) rolls off at −20 dB/dec. Small-gain: ‖TΔₘ‖∞ &lt; 1 when λ ≥ θ. Worst-case product ≈ 0.72 at critical frequency. Mₛ &lt; 2.0 follows. Condition λ ≥ θ is necessary: below this, dead-time uncertainty destabilises.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E.6 (Robustness Margin).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μ(k,r) = 1/sup|TΔₘ|, k = λ/θ, r = τ/θ. μ &gt; 1 ⇒ stability.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E.7 (Explicit Robustness Margin for λ = θ).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k = 1: μ(1,r) &gt; 2.25 for all r. μ(1,1) ≈ 2.91, μ(1,2) ≈ 2.55, μ(1,5) ≈ 2.25. μ increases with k.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p(u) = B(u,r)/√(1+k²u²) maximised by solving a degree-6 polynomial. 8-corner perturbation grid confirms values. μ &gt; 2.25 even for r → ∞ because T roll-off dominates B growth.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E.8 (Reference Update Protocol).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R: (ρ_ref, ρ(t), verdict(t)) → ρ_ref′. Three canonical: (a) declared baseline; (b) epoch baseline; (c) exponential baseline (α-EMA, GREEN periods only).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E.9 (Reference Staleness Bound).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Declared baseline: |TV(ρ(t), ρ_ref) − δ(t)| ≤ ε_obs. Exponential baseline: underestimates drift by (1−α)ᵀ after T observations.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Declared: triangle inequality for TV bounds measurement error by observation noise. Exponential: EMA convergence gives residual (1−α)ᵀ, absorbing drift. PLL analogue: fixed ref vs AFC.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E.10 (SOPDT Model).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G(s) = Kₚ e⁻ᶽs / ((τ₁s+1)(τ₂s+1)). Two time constants. FOPDT recovered when τ₂ → 0. Use when step response is S-shaped or single-exponential fit leaves systematic residuals.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E.11 (SOPDT IMC-PID Gains).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Kc = (τ₁+τ₂+θ/2) / (Kₚ(λ+θ/2)),  τI = τ₁+τ₂+θ/2,  τD = τ₁τ₂/(τ₁+τ₂+θ/2). Recover FOPDT when τ₂ → 0.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IMC: Q = (τ₁s+1)(τ₂s+1)(1+θs/2) / [Kₚ(1−θs/2)(λs+1)]. Convert to feedback form. Expand numerator, drop O(s³). Match to PID: Kc from s¹ coefficient, τI from s⁰, τD from s²/s¹. Recovery: τ₂=0 ⇒ Kc=(τ₁+θ/2)/(Kₚ(λ+θ/2)), τD=0.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E.5 (Simplex-Preserving Control).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If u ∈ TₚΔ (zero-sum) and ρ + u ≥ 0, then ρ + u ∈ Δ. PID in tangent space preserves simplex.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Σ(ρᵢ+uᵢ) = 1+0 = 1. Non-negativity by projection (clamp and redistribute).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Area F — Amplification Network Theory</w:t>
      </w:r>
    </w:p>
    <w:p>
      <w:pPr>
        <w:spacing w:after="160" w:before="0"/>
        <w:ind w:left="480"/>
        <w:jc w:val="both"/>
      </w:pPr>
      <w:r>
        <w:rPr>
          <w:rFonts w:ascii="Times New Roman" w:cs="Times New Roman" w:eastAsia="Times New Roman" w:hAnsi="Times New Roman"/>
          <w:i/>
          <w:iCs/>
          <w:color w:val="2E75B6"/>
          <w:sz w:val="22"/>
          <w:szCs w:val="22"/>
        </w:rPr>
        <w:t xml:space="preserve">See Context Book §6 (The Amplification Network)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F.1 (Domain Instantiation).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 = (S, ρ, ρ*, Φ): component labels S, current state ρ, ground state ρ*, interpretation Φ.</w:t>
      </w:r>
    </w:p>
    <w:p>
      <w:pPr>
        <w:pBdr>
          <w:left w:val="single" w:color="6B3FA0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6B3FA0"/>
          <w:sz w:val="22"/>
          <w:szCs w:val="22"/>
        </w:rPr>
        <w:t xml:space="preserve">Definition F.2 (Cross-Domain Isomorphism).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D₁, D₂ are HUF-isomorphic if ∃ bijection σ: S₁ → S₂ commuting with all CL operations.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F.3 (Theorem Transport).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Structural result R proved via CL operations in D₁ holds in any isomorphic D₂ without re-proof.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σ commutes with CL-01–CL-04. Each proof step transports through σ. Only Φ changes.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F.4 (Multi-Phase Scaling Law).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K_total = Σaᵢ + β·[n(n−1)/2]·∏aᵢ. Additive + super-linear pairwise coupling. [CONJECTURE]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Remark.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Structural model. ∏aᵢ collapses if any aⱼ → 0. β is empirical. Status: [CONJECTURE].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pPr>
        <w:pBdr>
          <w:left w:val="single" w:color="2E75B6" w:sz="12"/>
        </w:pBdr>
        <w:spacing w:after="120" w:before="160"/>
        <w:ind w:left="480" w:right="36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Theorem F.5 (Self-Training Criterion). 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HUF is self-training: CL operations are label-free. Only Φ is domain-specific.</w:t>
      </w:r>
    </w:p>
    <w:p>
      <w:pPr>
        <w:spacing w:after="40" w:before="80"/>
        <w:ind w:left="480"/>
      </w:pPr>
      <w:r>
        <w:rPr>
          <w:rFonts w:ascii="Times New Roman" w:cs="Times New Roman" w:eastAsia="Times New Roman" w:hAnsi="Times New Roman"/>
          <w:i/>
          <w:iCs/>
          <w:color w:val="6B3FA0"/>
          <w:sz w:val="22"/>
          <w:szCs w:val="22"/>
        </w:rPr>
        <w:t xml:space="preserve">Proof.</w:t>
      </w:r>
    </w:p>
    <w:p>
      <w:pPr>
        <w:spacing w:after="60" w:before="0"/>
        <w:ind w:left="720" w:right="360"/>
      </w:pPr>
      <w:r>
        <w:rPr>
          <w:rFonts w:ascii="Times New Roman" w:cs="Times New Roman" w:eastAsia="Times New Roman" w:hAnsi="Times New Roman"/>
          <w:i w:val="false"/>
          <w:iCs w:val="false"/>
          <w:color w:val="333333"/>
          <w:sz w:val="21"/>
          <w:szCs w:val="21"/>
        </w:rPr>
        <w:t xml:space="preserve">CL-01: Σρᵢ=1 (label-free). CL-02: TV (label-free). CL-03: Keff (label-free). CL-04: thresholds (label-free). No operation references component identity.</w:t>
      </w:r>
    </w:p>
    <w:p>
      <w:pPr>
        <w:spacing w:after="160" w:before="0"/>
        <w:ind w:right="360"/>
        <w:jc w:val="right"/>
      </w:pPr>
      <w:r>
        <w:rPr>
          <w:rFonts w:ascii="Times New Roman" w:cs="Times New Roman" w:eastAsia="Times New Roman" w:hAnsi="Times New Roman"/>
          <w:color w:val="6B3FA0"/>
          <w:sz w:val="22"/>
          <w:szCs w:val="22"/>
        </w:rPr>
        <w:t xml:space="preserve">■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Index of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800"/>
        <w:gridCol w:w="23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Context Book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A.3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Unity Invariance → CL-01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A.4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Zero-Sum Tangent Space → CL-05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A.6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TV Metric Properties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A.7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Scale Invariance of TV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B.4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Ordering Keff(H) ≤ Keff(S)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B.5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Strict Concavity → Unique Maximum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B.6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Keff as Demodulated Observable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C.3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Supermodularity ⇔ Increasing Differences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C.4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Topkis Monotonicity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C.6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Greedy (1−1/e) Bound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C.7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HUF Knowledge Function Supermodular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D.3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PLL→CL Structural Homomorphism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D.4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Failure Mode Inheritance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D.6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Hysteresis Eliminates Verdict Jitter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E.3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IMC-PID Derivation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E.4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Robustness to ±20% Mismatch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E.5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Simplex-Preserving Control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E.7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Explicit Robustness Margin μ(k,r)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E.9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Reference Staleness Bound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E.11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SOPDT IMC-PID Gains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F.3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 Transport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F.4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Multi-Phase Scaling Law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Conjecture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F.5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Self-Training Criterion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Theorem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33333"/>
                <w:sz w:val="20"/>
                <w:szCs w:val="20"/>
              </w:rPr>
              <w:t xml:space="preserve">§6</w:t>
            </w:r>
          </w:p>
        </w:tc>
      </w:tr>
    </w:tbl>
    <w:p>
      <w:pPr>
        <w:spacing w:after="160" w:before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27 formal results across 6 areas. Identical to HUF-MATH-01 (Mathematician’s Edition). Cross-references point to Physics Edition Context Book.</w:t>
      </w:r>
    </w:p>
    <w:p>
      <w:r>
        <w:br w:type="page"/>
      </w:r>
    </w:p>
    <w:p>
      <w:pPr>
        <w:pBdr>
          <w:top w:val="single" w:color="2E75B6" w:sz="4" w:space="1"/>
        </w:pBdr>
        <w:spacing w:after="0" w:before="0"/>
      </w:pP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Framework originator and operator directive: Peter Higgins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Formalisation and document production: Claude (Anthropic)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Collective review contributions: ChatGPT (OpenAI), Grok (xAI), Gemini (Google), Copilot (Microsoft)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Evidentiary note: </w:t>
      </w: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This edition is derived from HUF-MATH-01 (Mathematician’s Edition) via controlled subtraction. All 27 formal results are identical. Proofs are condensed where physicists own the prerequisites. Evidentiary tiers unchanged: CL-03 ADD*, CL-05 STORE, F.4 [CONJECTURE]. All domain examples in the paired Context Book are illustrative; none constitute empirical validation.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0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HUF Advanced Mathematics Reference — Physics Edition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	HUF-MATH-02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2026-03-17T05:29:20.448Z</dcterms:created>
  <dcterms:modified xsi:type="dcterms:W3CDTF">2026-03-17T05:29:20.448Z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