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sz w:val="44"/>
          <w:szCs w:val="44"/>
        </w:rPr>
        <w:t xml:space="preserve">HUF Methodology Appendix</w:t>
      </w:r>
    </w:p>
    <w:p>
      <w:pPr>
        <w:spacing w:after="40"/>
        <w:jc w:val="center"/>
      </w:pPr>
      <w:r>
        <w:rPr>
          <w:rFonts w:ascii="Arial" w:cs="Arial" w:eastAsia="Arial" w:hAnsi="Arial"/>
          <w:i/>
          <w:iCs/>
          <w:sz w:val="28"/>
          <w:szCs w:val="28"/>
        </w:rPr>
        <w:t xml:space="preserve">Computational Methods, Algorithms, and Data Pipeline</w:t>
      </w:r>
    </w:p>
    <w:p>
      <w:pPr>
        <w:spacing w:after="40"/>
        <w:jc w:val="center"/>
      </w:pPr>
      <w:r>
        <w:rPr>
          <w:rFonts w:ascii="Arial" w:cs="Arial" w:eastAsia="Arial" w:hAnsi="Arial"/>
          <w:sz w:val="22"/>
          <w:szCs w:val="22"/>
        </w:rPr>
        <w:t xml:space="preserve">Systems 10–12: TTC Transit, Toronto Infrastructure, ESA Planck Satellite</w:t>
      </w:r>
    </w:p>
    <w:p>
      <w:pPr>
        <w:spacing w:after="300"/>
        <w:jc w:val="center"/>
      </w:pPr>
      <w:r>
        <w:rPr>
          <w:rFonts w:ascii="Arial" w:cs="Arial" w:eastAsia="Arial" w:hAnsi="Arial"/>
          <w:color w:val="666666"/>
          <w:sz w:val="20"/>
          <w:szCs w:val="20"/>
        </w:rPr>
        <w:t xml:space="preserve">Peter Higgins (Operator) | Grok (xAI) | Claude (Anthropic) | ChatGPT (OpenAI) | Gemini (Google) | Copilot (Microsoft) | 9 March 2026</w:t>
      </w:r>
    </w:p>
    <w:p>
      <w:pPr>
        <w:pStyle w:val="Heading1"/>
        <w:spacing w:after="200" w:before="360"/>
      </w:pPr>
      <w:r>
        <w:rPr>
          <w:rFonts w:ascii="Arial" w:cs="Arial" w:eastAsia="Arial" w:hAnsi="Arial"/>
          <w:b/>
          <w:bCs/>
          <w:sz w:val="32"/>
          <w:szCs w:val="32"/>
        </w:rPr>
        <w:t xml:space="preserve">1. Overview and Pipeline Architecture</w:t>
      </w:r>
    </w:p>
    <w:p>
      <w:pPr>
        <w:spacing w:after="140"/>
      </w:pPr>
      <w:r>
        <w:rPr>
          <w:rFonts w:ascii="Arial" w:cs="Arial" w:eastAsia="Arial" w:hAnsi="Arial"/>
          <w:sz w:val="22"/>
          <w:szCs w:val="22"/>
        </w:rPr>
        <w:t xml:space="preserve">This appendix documents the computational methodology used to produce all HUF analyses across Systems 10–12. The pipeline follows a strict data-to-document flow: raw source files are parsed, regime classification is applied under the HUF unity constraint, drift and MDG are computed, and results are rendered into case study documents. No analysis result in any HUF document was manually entered — every number flows from data through computation to document.</w:t>
      </w:r>
    </w:p>
    <w:p>
      <w:pPr>
        <w:spacing w:after="140"/>
      </w:pPr>
      <w:r>
        <w:rPr>
          <w:rFonts w:ascii="Arial" w:cs="Arial" w:eastAsia="Arial" w:hAnsi="Arial"/>
          <w:sz w:val="22"/>
          <w:szCs w:val="22"/>
        </w:rPr>
        <w:t xml:space="preserve">The pipeline consists of 12 scripts organized in two layers:</w:t>
      </w:r>
    </w:p>
    <w:p>
      <w:pPr>
        <w:pStyle w:val="Heading2"/>
        <w:spacing w:after="160" w:before="280"/>
      </w:pPr>
      <w:r>
        <w:rPr>
          <w:rFonts w:ascii="Arial" w:cs="Arial" w:eastAsia="Arial" w:hAnsi="Arial"/>
          <w:b/>
          <w:bCs/>
          <w:sz w:val="26"/>
          <w:szCs w:val="26"/>
        </w:rPr>
        <w:t xml:space="preserve">1.1 Analysis Layer (Python 3)</w:t>
      </w:r>
    </w:p>
    <w:p>
      <w:pPr>
        <w:spacing w:after="140"/>
      </w:pPr>
      <w:r>
        <w:rPr>
          <w:rFonts w:ascii="Arial" w:cs="Arial" w:eastAsia="Arial" w:hAnsi="Arial"/>
          <w:sz w:val="22"/>
          <w:szCs w:val="22"/>
        </w:rPr>
        <w:t xml:space="preserve">Seven Python scripts handle all data parsing and HUF analysis. These scripts read raw data files (CSV, GeoJSON, FITS binary, Excel) and produce structured analysis outputs including regime weight vectors, K_eff values, drift measurements, and MDG scores. All Python scripts use only standard library modules plus openpyxl for Excel reading — no specialized astronomy, transit, or statistics libraries are required.</w:t>
      </w:r>
    </w:p>
    <w:p>
      <w:pPr>
        <w:pStyle w:val="Heading2"/>
        <w:spacing w:after="160" w:before="280"/>
      </w:pPr>
      <w:r>
        <w:rPr>
          <w:rFonts w:ascii="Arial" w:cs="Arial" w:eastAsia="Arial" w:hAnsi="Arial"/>
          <w:b/>
          <w:bCs/>
          <w:sz w:val="26"/>
          <w:szCs w:val="26"/>
        </w:rPr>
        <w:t xml:space="preserve">1.2 Document Layer (Node.js)</w:t>
      </w:r>
    </w:p>
    <w:p>
      <w:pPr>
        <w:spacing w:after="140"/>
      </w:pPr>
      <w:r>
        <w:rPr>
          <w:rFonts w:ascii="Arial" w:cs="Arial" w:eastAsia="Arial" w:hAnsi="Arial"/>
          <w:sz w:val="22"/>
          <w:szCs w:val="22"/>
        </w:rPr>
        <w:t xml:space="preserve">Five Node.js scripts programmatically generate Word documents from the analysis results. Each builder script encodes the analysis data as structured constants and produces formatted case study documents using the docx-js library. This ensures exact correspondence between computed values and published figures.</w:t>
      </w:r>
    </w:p>
    <w:p>
      <w:r>
        <w:br w:type="page"/>
      </w:r>
    </w:p>
    <w:p>
      <w:pPr>
        <w:pStyle w:val="Heading1"/>
        <w:spacing w:after="200" w:before="360"/>
      </w:pPr>
      <w:r>
        <w:rPr>
          <w:rFonts w:ascii="Arial" w:cs="Arial" w:eastAsia="Arial" w:hAnsi="Arial"/>
          <w:b/>
          <w:bCs/>
          <w:sz w:val="32"/>
          <w:szCs w:val="32"/>
        </w:rPr>
        <w:t xml:space="preserve">2. Script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000"/>
        <w:gridCol w:w="5760"/>
      </w:tblGrid>
      <w:tr>
        <w:tc>
          <w:tcPr>
            <w:tcW w:type="dxa" w:w="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Script</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Language</w:t>
            </w:r>
          </w:p>
        </w:tc>
        <w:tc>
          <w:tcPr>
            <w:tcW w:type="dxa" w:w="5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huf_ttc_full.py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 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10: TTC GTFS analysis with K=5 regimes, inter-day drift, 4.26M stop-events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huf_toronto_infra.py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Python 3</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System 11: Four-layer Toronto infrastructure cascade (centreline, signals, LRT, King St Pilot)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preparse_toronto.py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 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Pre-parser for 93MB GeoJSON centreline file with Haversine distance computation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parse_posh_fits.py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Python 3</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Pure-Python FITS binary table parser for ESA Planck POSH catalog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huf_planck_v2.py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 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12: ESA Planck two-layer HUF analysis (event types + thermal stability)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huf_crossvalidate.py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Python 3</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Cross-validation of FITS parser against POSH ReadMe source documentation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huf_ttc_analysis.py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Python 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Initial K=7 TTC exploration (superseded by huf_ttc_full.py after Grok calibration)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build_ttc.js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Node.js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Document builder for HUF_TTC_CaseStudy_v1.0.docx</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build_toronto_infra.js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Node.js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Document builder for HUF_Toronto_Infrastructure_v1.0.docx</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build_planck.js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Node.js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Document builder for HUF_Planck_CaseStudy_v1.0.docx</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build_trace_v4_3.js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Node.js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Document builder for HUF_Collective_Trace_v4.3.docx</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build_copilot_response.js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Node.js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Document builder for HUF_Copilot_Response_v1.0.docx</w:t>
            </w:r>
          </w:p>
        </w:tc>
      </w:tr>
    </w:tbl>
    <w:p>
      <w:r>
        <w:br w:type="page"/>
      </w:r>
    </w:p>
    <w:p>
      <w:pPr>
        <w:pStyle w:val="Heading1"/>
        <w:spacing w:after="200" w:before="360"/>
      </w:pPr>
      <w:r>
        <w:rPr>
          <w:rFonts w:ascii="Arial" w:cs="Arial" w:eastAsia="Arial" w:hAnsi="Arial"/>
          <w:b/>
          <w:bCs/>
          <w:sz w:val="32"/>
          <w:szCs w:val="32"/>
        </w:rPr>
        <w:t xml:space="preserve">3. System 10: TTC GTFS Transit Methodology</w:t>
      </w:r>
    </w:p>
    <w:p>
      <w:pPr>
        <w:pStyle w:val="Heading2"/>
        <w:spacing w:after="160" w:before="280"/>
      </w:pPr>
      <w:r>
        <w:rPr>
          <w:rFonts w:ascii="Arial" w:cs="Arial" w:eastAsia="Arial" w:hAnsi="Arial"/>
          <w:b/>
          <w:bCs/>
          <w:sz w:val="26"/>
          <w:szCs w:val="26"/>
        </w:rPr>
        <w:t xml:space="preserve">3.1 Data Source</w:t>
      </w:r>
    </w:p>
    <w:p>
      <w:pPr>
        <w:spacing w:after="140"/>
      </w:pPr>
      <w:r>
        <w:rPr>
          <w:rFonts w:ascii="Arial" w:cs="Arial" w:eastAsia="Arial" w:hAnsi="Arial"/>
          <w:sz w:val="22"/>
          <w:szCs w:val="22"/>
        </w:rPr>
        <w:t xml:space="preserve">The TTC General Transit Feed Specification (GTFS) static dataset consists of eight CSV files published by the Toronto Transit Commission: agency, calendar, calendar_dates, routes, shapes, stop_times, stops, and trips. The stop_times file contains 4,262,466 individual stop-event records spanning all service days.</w:t>
      </w:r>
    </w:p>
    <w:p>
      <w:pPr>
        <w:pStyle w:val="Heading2"/>
        <w:spacing w:after="160" w:before="280"/>
      </w:pPr>
      <w:r>
        <w:rPr>
          <w:rFonts w:ascii="Arial" w:cs="Arial" w:eastAsia="Arial" w:hAnsi="Arial"/>
          <w:b/>
          <w:bCs/>
          <w:sz w:val="26"/>
          <w:szCs w:val="26"/>
        </w:rPr>
        <w:t xml:space="preserve">3.2 Parsing Approach</w:t>
      </w:r>
    </w:p>
    <w:p>
      <w:pPr>
        <w:spacing w:after="140"/>
      </w:pPr>
      <w:r>
        <w:rPr>
          <w:rFonts w:ascii="Arial" w:cs="Arial" w:eastAsia="Arial" w:hAnsi="Arial"/>
          <w:sz w:val="22"/>
          <w:szCs w:val="22"/>
        </w:rPr>
        <w:t xml:space="preserve">The pipeline reads the eight GTFS CSV files and cross-references route_id from the routes table with trip records and stop-time events. Each stop-event is assigned a route_type integer (0=streetcar, 1=subway, 2=bus, 3=express/community). The parser merges across tables using route_id and trip_id as join keys.</w:t>
      </w:r>
    </w:p>
    <w:p>
      <w:pPr>
        <w:pStyle w:val="Heading2"/>
        <w:spacing w:after="160" w:before="280"/>
      </w:pPr>
      <w:r>
        <w:rPr>
          <w:rFonts w:ascii="Arial" w:cs="Arial" w:eastAsia="Arial" w:hAnsi="Arial"/>
          <w:b/>
          <w:bCs/>
          <w:sz w:val="26"/>
          <w:szCs w:val="26"/>
        </w:rPr>
        <w:t xml:space="preserve">3.3 Regime Classification</w:t>
      </w:r>
    </w:p>
    <w:p>
      <w:pPr>
        <w:spacing w:after="140"/>
      </w:pPr>
      <w:r>
        <w:rPr>
          <w:rFonts w:ascii="Arial" w:cs="Arial" w:eastAsia="Arial" w:hAnsi="Arial"/>
          <w:sz w:val="22"/>
          <w:szCs w:val="22"/>
        </w:rPr>
        <w:t xml:space="preserve">Following Grok’s independent K-calibration on Backblaze drive data (where K=4–5 emerged from four separate methods), the TTC analysis uses </w:t>
      </w:r>
      <w:r>
        <w:rPr>
          <w:rFonts w:ascii="Arial" w:cs="Arial" w:eastAsia="Arial" w:hAnsi="Arial"/>
          <w:b/>
          <w:bCs/>
          <w:sz w:val="22"/>
          <w:szCs w:val="22"/>
        </w:rPr>
        <w:t xml:space="preserve">K=5</w:t>
      </w:r>
      <w:r>
        <w:rPr>
          <w:rFonts w:ascii="Arial" w:cs="Arial" w:eastAsia="Arial" w:hAnsi="Arial"/>
          <w:sz w:val="22"/>
          <w:szCs w:val="22"/>
        </w:rPr>
        <w:t xml:space="preserve"> regimes. The five regimes map to the natural transit-mode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Regime</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Mapping</w:t>
            </w:r>
          </w:p>
        </w:tc>
        <w:tc>
          <w:tcPr>
            <w:tcW w:type="dxa" w:w="5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Operational Character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Regime 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Subway (route_type 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Heavy rail, highest per-stop infrastructure cost</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Regime 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Streetcar (route_type 0)</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Surface rail, dedicated ROW in many sections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Regime 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Express/Community (route_type 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Premium bus overlay with limited stops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Regime 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Bus — High frequency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 bus routes above median stop-event count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Regime 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Bus — Standard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Local bus routes at or below median stop-event count</w:t>
            </w:r>
          </w:p>
        </w:tc>
      </w:tr>
    </w:tbl>
    <w:p>
      <w:pPr>
        <w:pStyle w:val="Heading2"/>
        <w:spacing w:after="160" w:before="280"/>
      </w:pPr>
      <w:r>
        <w:rPr>
          <w:rFonts w:ascii="Arial" w:cs="Arial" w:eastAsia="Arial" w:hAnsi="Arial"/>
          <w:b/>
          <w:bCs/>
          <w:sz w:val="26"/>
          <w:szCs w:val="26"/>
        </w:rPr>
        <w:t xml:space="preserve">3.4 HUF Computation</w:t>
      </w:r>
    </w:p>
    <w:p>
      <w:pPr>
        <w:spacing w:after="140"/>
      </w:pPr>
      <w:r>
        <w:rPr>
          <w:rFonts w:ascii="Arial" w:cs="Arial" w:eastAsia="Arial" w:hAnsi="Arial"/>
          <w:sz w:val="22"/>
          <w:szCs w:val="22"/>
        </w:rPr>
        <w:t xml:space="preserve">For each regime i, the weight is computed as:</w:t>
      </w:r>
    </w:p>
    <w:p>
      <w:pPr>
        <w:spacing w:after="60" w:before="120"/>
      </w:pPr>
      <w:r>
        <w:rPr>
          <w:rFonts w:ascii="Arial" w:cs="Arial" w:eastAsia="Arial" w:hAnsi="Arial"/>
          <w:b/>
          <w:bCs/>
          <w:color w:val="2E4057"/>
          <w:sz w:val="18"/>
          <w:szCs w:val="18"/>
        </w:rPr>
        <w:t xml:space="preserve">[Weight computation]</w:t>
      </w:r>
    </w:p>
    <w:p>
      <w:pPr>
        <w:shd w:fill="F0F4F8" w:val="clear"/>
        <w:spacing w:after="0" w:before="0"/>
      </w:pPr>
      <w:r>
        <w:rPr>
          <w:rFonts w:ascii="Courier New" w:cs="Courier New" w:eastAsia="Courier New" w:hAnsi="Courier New"/>
          <w:sz w:val="16"/>
          <w:szCs w:val="16"/>
        </w:rPr>
        <w:t xml:space="preserve">rho_i = (stop-events in regime i) / (total stop-events)</w:t>
      </w:r>
    </w:p>
    <w:p>
      <w:pPr>
        <w:shd w:fill="F0F4F8" w:val="clear"/>
        <w:spacing w:after="0" w:before="0"/>
      </w:pPr>
      <w:r>
        <w:rPr>
          <w:rFonts w:ascii="Courier New" w:cs="Courier New" w:eastAsia="Courier New" w:hAnsi="Courier New"/>
          <w:sz w:val="16"/>
          <w:szCs w:val="16"/>
        </w:rPr>
        <w:t xml:space="preserve">Verification: sum(rho_1 ... rho_5) = 1.0000 (unity constraint satisfied)</w:t>
      </w:r>
    </w:p>
    <w:p>
      <w:pPr>
        <w:spacing w:after="100"/>
      </w:pPr>
    </w:p>
    <w:p>
      <w:pPr>
        <w:spacing w:after="140"/>
      </w:pPr>
      <w:r>
        <w:rPr>
          <w:rFonts w:ascii="Arial" w:cs="Arial" w:eastAsia="Arial" w:hAnsi="Arial"/>
          <w:sz w:val="22"/>
          <w:szCs w:val="22"/>
        </w:rPr>
        <w:t xml:space="preserve"/>
      </w:r>
      <w:r>
        <w:rPr>
          <w:rFonts w:ascii="Arial" w:cs="Arial" w:eastAsia="Arial" w:hAnsi="Arial"/>
          <w:b/>
          <w:bCs/>
          <w:sz w:val="22"/>
          <w:szCs w:val="22"/>
        </w:rPr>
        <w:t xml:space="preserve">K_eff</w:t>
      </w:r>
      <w:r>
        <w:rPr>
          <w:rFonts w:ascii="Arial" w:cs="Arial" w:eastAsia="Arial" w:hAnsi="Arial"/>
          <w:sz w:val="22"/>
          <w:szCs w:val="22"/>
        </w:rPr>
        <w:t xml:space="preserve"> (effective number of regimes) is computed via the inverse Herfindahl index:</w:t>
      </w:r>
    </w:p>
    <w:p>
      <w:pPr>
        <w:spacing w:after="60" w:before="120"/>
      </w:pPr>
      <w:r>
        <w:rPr>
          <w:rFonts w:ascii="Arial" w:cs="Arial" w:eastAsia="Arial" w:hAnsi="Arial"/>
          <w:b/>
          <w:bCs/>
          <w:color w:val="2E4057"/>
          <w:sz w:val="18"/>
          <w:szCs w:val="18"/>
        </w:rPr>
        <w:t xml:space="preserve">[K_eff formula]</w:t>
      </w:r>
    </w:p>
    <w:p>
      <w:pPr>
        <w:shd w:fill="F0F4F8" w:val="clear"/>
        <w:spacing w:after="0" w:before="0"/>
      </w:pPr>
      <w:r>
        <w:rPr>
          <w:rFonts w:ascii="Courier New" w:cs="Courier New" w:eastAsia="Courier New" w:hAnsi="Courier New"/>
          <w:sz w:val="16"/>
          <w:szCs w:val="16"/>
        </w:rPr>
        <w:t xml:space="preserve">H = sum(rho_i^2) for i = 1..K</w:t>
      </w:r>
    </w:p>
    <w:p>
      <w:pPr>
        <w:shd w:fill="F0F4F8" w:val="clear"/>
        <w:spacing w:after="0" w:before="0"/>
      </w:pPr>
      <w:r>
        <w:rPr>
          <w:rFonts w:ascii="Courier New" w:cs="Courier New" w:eastAsia="Courier New" w:hAnsi="Courier New"/>
          <w:sz w:val="16"/>
          <w:szCs w:val="16"/>
        </w:rPr>
        <w:t xml:space="preserve">K_eff = 1 / H</w:t>
      </w:r>
    </w:p>
    <w:p>
      <w:pPr>
        <w:shd w:fill="F0F4F8" w:val="clear"/>
        <w:spacing w:after="0" w:before="0"/>
      </w:pPr>
      <w:r>
        <w:rPr>
          <w:rFonts w:ascii="Courier New" w:cs="Courier New" w:eastAsia="Courier New" w:hAnsi="Courier New"/>
          <w:sz w:val="16"/>
          <w:szCs w:val="16"/>
        </w:rPr>
        <w:t xml:space="preserve">Result: K_eff = 1.53 (dominated by bus at 79.8%)</w:t>
      </w:r>
    </w:p>
    <w:p>
      <w:pPr>
        <w:spacing w:after="100"/>
      </w:pPr>
    </w:p>
    <w:p>
      <w:pPr>
        <w:spacing w:after="140"/>
      </w:pPr>
      <w:r>
        <w:rPr>
          <w:rFonts w:ascii="Arial" w:cs="Arial" w:eastAsia="Arial" w:hAnsi="Arial"/>
          <w:sz w:val="22"/>
          <w:szCs w:val="22"/>
        </w:rPr>
        <w:t xml:space="preserve"/>
      </w:r>
      <w:r>
        <w:rPr>
          <w:rFonts w:ascii="Arial" w:cs="Arial" w:eastAsia="Arial" w:hAnsi="Arial"/>
          <w:b/>
          <w:bCs/>
          <w:sz w:val="22"/>
          <w:szCs w:val="22"/>
        </w:rPr>
        <w:t xml:space="preserve">Drift</w:t>
      </w:r>
      <w:r>
        <w:rPr>
          <w:rFonts w:ascii="Arial" w:cs="Arial" w:eastAsia="Arial" w:hAnsi="Arial"/>
          <w:sz w:val="22"/>
          <w:szCs w:val="22"/>
        </w:rPr>
        <w:t xml:space="preserve"> is measured as the basis-point change in regime weights between weekday and weekend service patterns. </w:t>
      </w:r>
      <w:r>
        <w:rPr>
          <w:rFonts w:ascii="Arial" w:cs="Arial" w:eastAsia="Arial" w:hAnsi="Arial"/>
          <w:b/>
          <w:bCs/>
          <w:sz w:val="22"/>
          <w:szCs w:val="22"/>
        </w:rPr>
        <w:t xml:space="preserve">MDG</w:t>
      </w:r>
      <w:r>
        <w:rPr>
          <w:rFonts w:ascii="Arial" w:cs="Arial" w:eastAsia="Arial" w:hAnsi="Arial"/>
          <w:sz w:val="22"/>
          <w:szCs w:val="22"/>
        </w:rPr>
        <w:t xml:space="preserve"> (Mean Drift Gradient) converts the mean absolute drift to a decibel-scale measure:</w:t>
      </w:r>
    </w:p>
    <w:p>
      <w:pPr>
        <w:spacing w:after="60" w:before="120"/>
      </w:pPr>
      <w:r>
        <w:rPr>
          <w:rFonts w:ascii="Arial" w:cs="Arial" w:eastAsia="Arial" w:hAnsi="Arial"/>
          <w:b/>
          <w:bCs/>
          <w:color w:val="2E4057"/>
          <w:sz w:val="18"/>
          <w:szCs w:val="18"/>
        </w:rPr>
        <w:t xml:space="preserve">[MDG convention]</w:t>
      </w:r>
    </w:p>
    <w:p>
      <w:pPr>
        <w:shd w:fill="F0F4F8" w:val="clear"/>
        <w:spacing w:after="0" w:before="0"/>
      </w:pPr>
      <w:r>
        <w:rPr>
          <w:rFonts w:ascii="Courier New" w:cs="Courier New" w:eastAsia="Courier New" w:hAnsi="Courier New"/>
          <w:sz w:val="16"/>
          <w:szCs w:val="16"/>
        </w:rPr>
        <w:t xml:space="preserve">MDG = 20 * log10(mean_drift_bps / K)</w:t>
      </w:r>
    </w:p>
    <w:p>
      <w:pPr>
        <w:shd w:fill="F0F4F8" w:val="clear"/>
        <w:spacing w:after="0" w:before="0"/>
      </w:pPr>
      <w:r>
        <w:rPr>
          <w:rFonts w:ascii="Courier New" w:cs="Courier New" w:eastAsia="Courier New" w:hAnsi="Courier New"/>
          <w:sz w:val="16"/>
          <w:szCs w:val="16"/>
        </w:rPr>
        <w:t xml:space="preserve">TTC: MDG = 20 * log10(161.6 / 5) = +30.2 dB</w:t>
      </w:r>
    </w:p>
    <w:p>
      <w:pPr>
        <w:spacing w:after="100"/>
      </w:pPr>
    </w:p>
    <w:p>
      <w:pPr>
        <w:pStyle w:val="Heading2"/>
        <w:spacing w:after="160" w:before="280"/>
      </w:pPr>
      <w:r>
        <w:rPr>
          <w:rFonts w:ascii="Arial" w:cs="Arial" w:eastAsia="Arial" w:hAnsi="Arial"/>
          <w:b/>
          <w:bCs/>
          <w:sz w:val="26"/>
          <w:szCs w:val="26"/>
        </w:rPr>
        <w:t xml:space="preserve">3.5 Inter-Day Drift Analysis</w:t>
      </w:r>
    </w:p>
    <w:p>
      <w:pPr>
        <w:spacing w:after="140"/>
      </w:pPr>
      <w:r>
        <w:rPr>
          <w:rFonts w:ascii="Arial" w:cs="Arial" w:eastAsia="Arial" w:hAnsi="Arial"/>
          <w:sz w:val="22"/>
          <w:szCs w:val="22"/>
        </w:rPr>
        <w:t xml:space="preserve">The script computes regime weights independently for each of the seven service-day patterns in the GTFS calendar. This produces a 7-by-K matrix of daily weight vectors. The drift between any two days is the sum of absolute differences in basis points. The maximum inter-day drift pair identifies the most structurally different service patterns — typically weekday versus Sunday.</w:t>
      </w:r>
    </w:p>
    <w:p>
      <w:r>
        <w:br w:type="page"/>
      </w:r>
    </w:p>
    <w:p>
      <w:pPr>
        <w:pStyle w:val="Heading1"/>
        <w:spacing w:after="200" w:before="360"/>
      </w:pPr>
      <w:r>
        <w:rPr>
          <w:rFonts w:ascii="Arial" w:cs="Arial" w:eastAsia="Arial" w:hAnsi="Arial"/>
          <w:b/>
          <w:bCs/>
          <w:sz w:val="32"/>
          <w:szCs w:val="32"/>
        </w:rPr>
        <w:t xml:space="preserve">4. System 11: Toronto Infrastructure Methodology</w:t>
      </w:r>
    </w:p>
    <w:p>
      <w:pPr>
        <w:pStyle w:val="Heading2"/>
        <w:spacing w:after="160" w:before="280"/>
      </w:pPr>
      <w:r>
        <w:rPr>
          <w:rFonts w:ascii="Arial" w:cs="Arial" w:eastAsia="Arial" w:hAnsi="Arial"/>
          <w:b/>
          <w:bCs/>
          <w:sz w:val="26"/>
          <w:szCs w:val="26"/>
        </w:rPr>
        <w:t xml:space="preserve">4.1 Data Sources</w:t>
      </w:r>
    </w:p>
    <w:p>
      <w:pPr>
        <w:spacing w:after="140"/>
      </w:pPr>
      <w:r>
        <w:rPr>
          <w:rFonts w:ascii="Arial" w:cs="Arial" w:eastAsia="Arial" w:hAnsi="Arial"/>
          <w:sz w:val="22"/>
          <w:szCs w:val="22"/>
        </w:rPr>
        <w:t xml:space="preserve">Four independent Toronto datasets form a layered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400"/>
        <w:gridCol w:w="5660"/>
      </w:tblGrid>
      <w:tr>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Dataset</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56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Layer 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Centreline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93 MB GeoJSON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64,769 road segments with geometry, classification, jurisdiction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Layer 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Traffic Signals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CSV</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2,656 signalized intersections with activation dates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Layer 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Finch West LRT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XLSX</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Construction incidents by week, severity, and location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Layer 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King Street Pilot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CSV + XLSX</w:t>
            </w:r>
          </w:p>
        </w:tc>
        <w:tc>
          <w:tcPr>
            <w:tcW w:type="dxa" w:w="5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Pre/post travel times and traffic volumes for the transit priority corridor</w:t>
            </w:r>
          </w:p>
        </w:tc>
      </w:tr>
    </w:tbl>
    <w:p>
      <w:pPr>
        <w:pStyle w:val="Heading2"/>
        <w:spacing w:after="160" w:before="280"/>
      </w:pPr>
      <w:r>
        <w:rPr>
          <w:rFonts w:ascii="Arial" w:cs="Arial" w:eastAsia="Arial" w:hAnsi="Arial"/>
          <w:b/>
          <w:bCs/>
          <w:sz w:val="26"/>
          <w:szCs w:val="26"/>
        </w:rPr>
        <w:t xml:space="preserve">4.2 GeoJSON Pre-Parsing</w:t>
      </w:r>
    </w:p>
    <w:p>
      <w:pPr>
        <w:spacing w:after="140"/>
      </w:pPr>
      <w:r>
        <w:rPr>
          <w:rFonts w:ascii="Arial" w:cs="Arial" w:eastAsia="Arial" w:hAnsi="Arial"/>
          <w:sz w:val="22"/>
          <w:szCs w:val="22"/>
        </w:rPr>
        <w:t xml:space="preserve">The centreline GeoJSON file (93 MB) is too large for single-pass memory loading. A pre-parser reads the file, extracts road classification codes (from the FEATURE_CODE_DESC field), and computes segment lengths using the Haversine great-circle formula on the LineString coordinates. The Haversine formula accounts for Earth’s curvature:</w:t>
      </w:r>
    </w:p>
    <w:p>
      <w:pPr>
        <w:spacing w:after="60" w:before="120"/>
      </w:pPr>
      <w:r>
        <w:rPr>
          <w:rFonts w:ascii="Arial" w:cs="Arial" w:eastAsia="Arial" w:hAnsi="Arial"/>
          <w:b/>
          <w:bCs/>
          <w:color w:val="2E4057"/>
          <w:sz w:val="18"/>
          <w:szCs w:val="18"/>
        </w:rPr>
        <w:t xml:space="preserve">[Haversine distance]</w:t>
      </w:r>
    </w:p>
    <w:p>
      <w:pPr>
        <w:shd w:fill="F0F4F8" w:val="clear"/>
        <w:spacing w:after="0" w:before="0"/>
      </w:pPr>
      <w:r>
        <w:rPr>
          <w:rFonts w:ascii="Courier New" w:cs="Courier New" w:eastAsia="Courier New" w:hAnsi="Courier New"/>
          <w:sz w:val="16"/>
          <w:szCs w:val="16"/>
        </w:rPr>
        <w:t xml:space="preserve">a = sin(d_lat/2)^2 + cos(lat1) * cos(lat2) * sin(d_lon/2)^2</w:t>
      </w:r>
    </w:p>
    <w:p>
      <w:pPr>
        <w:shd w:fill="F0F4F8" w:val="clear"/>
        <w:spacing w:after="0" w:before="0"/>
      </w:pPr>
      <w:r>
        <w:rPr>
          <w:rFonts w:ascii="Courier New" w:cs="Courier New" w:eastAsia="Courier New" w:hAnsi="Courier New"/>
          <w:sz w:val="16"/>
          <w:szCs w:val="16"/>
        </w:rPr>
        <w:t xml:space="preserve">distance = 2 * R * arcsin(sqrt(a))   where R = 6371 km</w:t>
      </w:r>
    </w:p>
    <w:p>
      <w:pPr>
        <w:spacing w:after="100"/>
      </w:pPr>
    </w:p>
    <w:p>
      <w:pPr>
        <w:spacing w:after="140"/>
      </w:pPr>
      <w:r>
        <w:rPr>
          <w:rFonts w:ascii="Arial" w:cs="Arial" w:eastAsia="Arial" w:hAnsi="Arial"/>
          <w:sz w:val="22"/>
          <w:szCs w:val="22"/>
        </w:rPr>
        <w:t xml:space="preserve">This produces a summary JSON with road segment counts and total length by classification type. The pre-parsed summary is then consumed by the main infrastructure analysis script.</w:t>
      </w:r>
    </w:p>
    <w:p>
      <w:pPr>
        <w:pStyle w:val="Heading2"/>
        <w:spacing w:after="160" w:before="280"/>
      </w:pPr>
      <w:r>
        <w:rPr>
          <w:rFonts w:ascii="Arial" w:cs="Arial" w:eastAsia="Arial" w:hAnsi="Arial"/>
          <w:b/>
          <w:bCs/>
          <w:sz w:val="26"/>
          <w:szCs w:val="26"/>
        </w:rPr>
        <w:t xml:space="preserve">4.3 Four-Layer Cascade</w:t>
      </w:r>
    </w:p>
    <w:p>
      <w:pPr>
        <w:spacing w:after="140"/>
      </w:pPr>
      <w:r>
        <w:rPr>
          <w:rFonts w:ascii="Arial" w:cs="Arial" w:eastAsia="Arial" w:hAnsi="Arial"/>
          <w:sz w:val="22"/>
          <w:szCs w:val="22"/>
        </w:rPr>
        <w:t xml:space="preserve">Each layer independently applies HUF regime classification:</w:t>
      </w:r>
    </w:p>
    <w:p>
      <w:pPr>
        <w:spacing w:after="140"/>
      </w:pPr>
      <w:r>
        <w:rPr>
          <w:rFonts w:ascii="Arial" w:cs="Arial" w:eastAsia="Arial" w:hAnsi="Arial"/>
          <w:sz w:val="22"/>
          <w:szCs w:val="22"/>
        </w:rPr>
        <w:t xml:space="preserve"/>
      </w:r>
      <w:r>
        <w:rPr>
          <w:rFonts w:ascii="Arial" w:cs="Arial" w:eastAsia="Arial" w:hAnsi="Arial"/>
          <w:b/>
          <w:bCs/>
          <w:sz w:val="22"/>
          <w:szCs w:val="22"/>
        </w:rPr>
        <w:t xml:space="preserve">Layer 1 (Centreline):</w:t>
      </w:r>
      <w:r>
        <w:rPr>
          <w:rFonts w:ascii="Arial" w:cs="Arial" w:eastAsia="Arial" w:hAnsi="Arial"/>
          <w:sz w:val="22"/>
          <w:szCs w:val="22"/>
        </w:rPr>
        <w:t xml:space="preserve"> Road segments classified into K=5 regimes by road type (expressway, major arterial, minor arterial, collector, local). Weights computed by segment count.</w:t>
      </w:r>
    </w:p>
    <w:p>
      <w:pPr>
        <w:spacing w:after="140"/>
      </w:pPr>
      <w:r>
        <w:rPr>
          <w:rFonts w:ascii="Arial" w:cs="Arial" w:eastAsia="Arial" w:hAnsi="Arial"/>
          <w:sz w:val="22"/>
          <w:szCs w:val="22"/>
        </w:rPr>
        <w:t xml:space="preserve"/>
      </w:r>
      <w:r>
        <w:rPr>
          <w:rFonts w:ascii="Arial" w:cs="Arial" w:eastAsia="Arial" w:hAnsi="Arial"/>
          <w:b/>
          <w:bCs/>
          <w:sz w:val="22"/>
          <w:szCs w:val="22"/>
        </w:rPr>
        <w:t xml:space="preserve">Layer 2 (Signals):</w:t>
      </w:r>
      <w:r>
        <w:rPr>
          <w:rFonts w:ascii="Arial" w:cs="Arial" w:eastAsia="Arial" w:hAnsi="Arial"/>
          <w:sz w:val="22"/>
          <w:szCs w:val="22"/>
        </w:rPr>
        <w:t xml:space="preserve"> Intersections classified into K=4 temporal regimes by decade of activation (pre-1970, 1970s–1980s, 1990s–2000s, 2010s+). Weights by count.</w:t>
      </w:r>
    </w:p>
    <w:p>
      <w:pPr>
        <w:spacing w:after="140"/>
      </w:pPr>
      <w:r>
        <w:rPr>
          <w:rFonts w:ascii="Arial" w:cs="Arial" w:eastAsia="Arial" w:hAnsi="Arial"/>
          <w:sz w:val="22"/>
          <w:szCs w:val="22"/>
        </w:rPr>
        <w:t xml:space="preserve"/>
      </w:r>
      <w:r>
        <w:rPr>
          <w:rFonts w:ascii="Arial" w:cs="Arial" w:eastAsia="Arial" w:hAnsi="Arial"/>
          <w:b/>
          <w:bCs/>
          <w:sz w:val="22"/>
          <w:szCs w:val="22"/>
        </w:rPr>
        <w:t xml:space="preserve">Layer 3 (LRT Construction):</w:t>
      </w:r>
      <w:r>
        <w:rPr>
          <w:rFonts w:ascii="Arial" w:cs="Arial" w:eastAsia="Arial" w:hAnsi="Arial"/>
          <w:sz w:val="22"/>
          <w:szCs w:val="22"/>
        </w:rPr>
        <w:t xml:space="preserve"> Weekly incident counts classified into K=4 severity regimes by incident rate quartile.</w:t>
      </w:r>
    </w:p>
    <w:p>
      <w:pPr>
        <w:spacing w:after="140"/>
      </w:pPr>
      <w:r>
        <w:rPr>
          <w:rFonts w:ascii="Arial" w:cs="Arial" w:eastAsia="Arial" w:hAnsi="Arial"/>
          <w:sz w:val="22"/>
          <w:szCs w:val="22"/>
        </w:rPr>
        <w:t xml:space="preserve"/>
      </w:r>
      <w:r>
        <w:rPr>
          <w:rFonts w:ascii="Arial" w:cs="Arial" w:eastAsia="Arial" w:hAnsi="Arial"/>
          <w:b/>
          <w:bCs/>
          <w:sz w:val="22"/>
          <w:szCs w:val="22"/>
        </w:rPr>
        <w:t xml:space="preserve">Layer 4 (King St Pilot):</w:t>
      </w:r>
      <w:r>
        <w:rPr>
          <w:rFonts w:ascii="Arial" w:cs="Arial" w:eastAsia="Arial" w:hAnsi="Arial"/>
          <w:sz w:val="22"/>
          <w:szCs w:val="22"/>
        </w:rPr>
        <w:t xml:space="preserve"> Pre/post travel time comparison. K=3 regimes (westbound, eastbound, cross-streets). MDG measured as the basis-point shift from the pilot intervention.</w:t>
      </w:r>
    </w:p>
    <w:p>
      <w:pPr>
        <w:spacing w:after="140"/>
      </w:pPr>
      <w:r>
        <w:rPr>
          <w:rFonts w:ascii="Arial" w:cs="Arial" w:eastAsia="Arial" w:hAnsi="Arial"/>
          <w:sz w:val="22"/>
          <w:szCs w:val="22"/>
        </w:rPr>
        <w:t xml:space="preserve">The cascade MDG is computed as the log-mean across layers, representing the overall infrastructure drift signal.</w:t>
      </w:r>
    </w:p>
    <w:p>
      <w:r>
        <w:br w:type="page"/>
      </w:r>
    </w:p>
    <w:p>
      <w:pPr>
        <w:pStyle w:val="Heading1"/>
        <w:spacing w:after="200" w:before="360"/>
      </w:pPr>
      <w:r>
        <w:rPr>
          <w:rFonts w:ascii="Arial" w:cs="Arial" w:eastAsia="Arial" w:hAnsi="Arial"/>
          <w:b/>
          <w:bCs/>
          <w:sz w:val="32"/>
          <w:szCs w:val="32"/>
        </w:rPr>
        <w:t xml:space="preserve">5. System 12: ESA Planck Satellite Methodology</w:t>
      </w:r>
    </w:p>
    <w:p>
      <w:pPr>
        <w:pStyle w:val="Heading2"/>
        <w:spacing w:after="160" w:before="280"/>
      </w:pPr>
      <w:r>
        <w:rPr>
          <w:rFonts w:ascii="Arial" w:cs="Arial" w:eastAsia="Arial" w:hAnsi="Arial"/>
          <w:b/>
          <w:bCs/>
          <w:sz w:val="26"/>
          <w:szCs w:val="26"/>
        </w:rPr>
        <w:t xml:space="preserve">5.1 The FITS Parsing Challenge</w:t>
      </w:r>
    </w:p>
    <w:p>
      <w:pPr>
        <w:spacing w:after="140"/>
      </w:pPr>
      <w:r>
        <w:rPr>
          <w:rFonts w:ascii="Arial" w:cs="Arial" w:eastAsia="Arial" w:hAnsi="Arial"/>
          <w:sz w:val="22"/>
          <w:szCs w:val="22"/>
        </w:rPr>
        <w:t xml:space="preserve">The ESA Planck Pointed Source and Operations History (POSH) catalog is distributed as a FITS (Flexible Image Transport System) binary file. FITS is the standard format in observational astronomy. The catalog file (PSO_Posh_Cat_R0.14.fits) contains three binary table extensions with 50,320 event records, 45,663 housekeeping records, and 22 event-type lookup entries.</w:t>
      </w:r>
    </w:p>
    <w:p>
      <w:pPr>
        <w:spacing w:after="140"/>
      </w:pPr>
      <w:r>
        <w:rPr>
          <w:rFonts w:ascii="Arial" w:cs="Arial" w:eastAsia="Arial" w:hAnsi="Arial"/>
          <w:sz w:val="22"/>
          <w:szCs w:val="22"/>
        </w:rPr>
        <w:t xml:space="preserve">Standard Python astronomy libraries (astropy, fitsio, healpy) were unavailable due to network proxy restrictions. Rather than abandon the analysis, the pipeline implements a </w:t>
      </w:r>
      <w:r>
        <w:rPr>
          <w:rFonts w:ascii="Arial" w:cs="Arial" w:eastAsia="Arial" w:hAnsi="Arial"/>
          <w:b/>
          <w:bCs/>
          <w:sz w:val="22"/>
          <w:szCs w:val="22"/>
        </w:rPr>
        <w:t xml:space="preserve">pure-Python FITS binary table parser</w:t>
      </w:r>
      <w:r>
        <w:rPr>
          <w:rFonts w:ascii="Arial" w:cs="Arial" w:eastAsia="Arial" w:hAnsi="Arial"/>
          <w:sz w:val="22"/>
          <w:szCs w:val="22"/>
        </w:rPr>
        <w:t xml:space="preserve"> using only the standard library struct module for byte unpacking.</w:t>
      </w:r>
    </w:p>
    <w:p>
      <w:pPr>
        <w:pStyle w:val="Heading2"/>
        <w:spacing w:after="160" w:before="280"/>
      </w:pPr>
      <w:r>
        <w:rPr>
          <w:rFonts w:ascii="Arial" w:cs="Arial" w:eastAsia="Arial" w:hAnsi="Arial"/>
          <w:b/>
          <w:bCs/>
          <w:sz w:val="26"/>
          <w:szCs w:val="26"/>
        </w:rPr>
        <w:t xml:space="preserve">5.2 FITS Binary Format</w:t>
      </w:r>
    </w:p>
    <w:p>
      <w:pPr>
        <w:spacing w:after="140"/>
      </w:pPr>
      <w:r>
        <w:rPr>
          <w:rFonts w:ascii="Arial" w:cs="Arial" w:eastAsia="Arial" w:hAnsi="Arial"/>
          <w:sz w:val="22"/>
          <w:szCs w:val="22"/>
        </w:rPr>
        <w:t xml:space="preserve">FITS files are organized in 2880-byte blocks. Each extension begins with an ASCII header consisting of 80-character keyword-value cards. The header specifies the table structure: number of rows (NAXIS2), row width in bytes (NAXIS1), number of columns (TFIELDS), and for each column: name (TTYPEn), data format (TFORMn), and physical units (TUNITn).</w:t>
      </w:r>
    </w:p>
    <w:p>
      <w:pPr>
        <w:spacing w:after="140"/>
      </w:pPr>
      <w:r>
        <w:rPr>
          <w:rFonts w:ascii="Arial" w:cs="Arial" w:eastAsia="Arial" w:hAnsi="Arial"/>
          <w:sz w:val="22"/>
          <w:szCs w:val="22"/>
        </w:rPr>
        <w:t xml:space="preserve">The parser reads the header cards, constructs a column map with byte offsets, then reads the binary data row by row using standard-library byte unpacking with big-endian format specifiers:</w:t>
      </w:r>
    </w:p>
    <w:p>
      <w:pPr>
        <w:spacing w:after="60" w:before="120"/>
      </w:pPr>
      <w:r>
        <w:rPr>
          <w:rFonts w:ascii="Arial" w:cs="Arial" w:eastAsia="Arial" w:hAnsi="Arial"/>
          <w:b/>
          <w:bCs/>
          <w:color w:val="2E4057"/>
          <w:sz w:val="18"/>
          <w:szCs w:val="18"/>
        </w:rPr>
        <w:t xml:space="preserve">[FITS format mapping (standard astronomy convention)]</w:t>
      </w:r>
    </w:p>
    <w:p>
      <w:pPr>
        <w:shd w:fill="F0F4F8" w:val="clear"/>
        <w:spacing w:after="0" w:before="0"/>
      </w:pPr>
      <w:r>
        <w:rPr>
          <w:rFonts w:ascii="Courier New" w:cs="Courier New" w:eastAsia="Courier New" w:hAnsi="Courier New"/>
          <w:sz w:val="16"/>
          <w:szCs w:val="16"/>
        </w:rPr>
        <w:t xml:space="preserve">A = ASCII string (1 byte per character)</w:t>
      </w:r>
    </w:p>
    <w:p>
      <w:pPr>
        <w:shd w:fill="F0F4F8" w:val="clear"/>
        <w:spacing w:after="0" w:before="0"/>
      </w:pPr>
      <w:r>
        <w:rPr>
          <w:rFonts w:ascii="Courier New" w:cs="Courier New" w:eastAsia="Courier New" w:hAnsi="Courier New"/>
          <w:sz w:val="16"/>
          <w:szCs w:val="16"/>
        </w:rPr>
        <w:t xml:space="preserve">J = 32-bit signed integer (big-endian, 4 bytes)</w:t>
      </w:r>
    </w:p>
    <w:p>
      <w:pPr>
        <w:shd w:fill="F0F4F8" w:val="clear"/>
        <w:spacing w:after="0" w:before="0"/>
      </w:pPr>
      <w:r>
        <w:rPr>
          <w:rFonts w:ascii="Courier New" w:cs="Courier New" w:eastAsia="Courier New" w:hAnsi="Courier New"/>
          <w:sz w:val="16"/>
          <w:szCs w:val="16"/>
        </w:rPr>
        <w:t xml:space="preserve">K = 64-bit signed integer (big-endian, 8 bytes)</w:t>
      </w:r>
    </w:p>
    <w:p>
      <w:pPr>
        <w:shd w:fill="F0F4F8" w:val="clear"/>
        <w:spacing w:after="0" w:before="0"/>
      </w:pPr>
      <w:r>
        <w:rPr>
          <w:rFonts w:ascii="Courier New" w:cs="Courier New" w:eastAsia="Courier New" w:hAnsi="Courier New"/>
          <w:sz w:val="16"/>
          <w:szCs w:val="16"/>
        </w:rPr>
        <w:t xml:space="preserve">E = 32-bit IEEE float (big-endian, 4 bytes)</w:t>
      </w:r>
    </w:p>
    <w:p>
      <w:pPr>
        <w:shd w:fill="F0F4F8" w:val="clear"/>
        <w:spacing w:after="0" w:before="0"/>
      </w:pPr>
      <w:r>
        <w:rPr>
          <w:rFonts w:ascii="Courier New" w:cs="Courier New" w:eastAsia="Courier New" w:hAnsi="Courier New"/>
          <w:sz w:val="16"/>
          <w:szCs w:val="16"/>
        </w:rPr>
        <w:t xml:space="preserve">D = 64-bit IEEE double (big-endian, 8 bytes)</w:t>
      </w:r>
    </w:p>
    <w:p>
      <w:pPr>
        <w:shd w:fill="F0F4F8" w:val="clear"/>
        <w:spacing w:after="0" w:before="0"/>
      </w:pPr>
      <w:r>
        <w:rPr>
          <w:rFonts w:ascii="Courier New" w:cs="Courier New" w:eastAsia="Courier New" w:hAnsi="Courier New"/>
          <w:sz w:val="16"/>
          <w:szCs w:val="16"/>
        </w:rPr>
        <w:t xml:space="preserve">L = logical/boolean (1 byte)</w:t>
      </w:r>
    </w:p>
    <w:p>
      <w:pPr>
        <w:spacing w:after="100"/>
      </w:pPr>
    </w:p>
    <w:p>
      <w:pPr>
        <w:pStyle w:val="Heading2"/>
        <w:spacing w:after="160" w:before="280"/>
      </w:pPr>
      <w:r>
        <w:rPr>
          <w:rFonts w:ascii="Arial" w:cs="Arial" w:eastAsia="Arial" w:hAnsi="Arial"/>
          <w:b/>
          <w:bCs/>
          <w:sz w:val="26"/>
          <w:szCs w:val="26"/>
        </w:rPr>
        <w:t xml:space="preserve">5.3 Cross-Validation</w:t>
      </w:r>
    </w:p>
    <w:p>
      <w:pPr>
        <w:spacing w:after="140"/>
      </w:pPr>
      <w:r>
        <w:rPr>
          <w:rFonts w:ascii="Arial" w:cs="Arial" w:eastAsia="Arial" w:hAnsi="Arial"/>
          <w:sz w:val="22"/>
          <w:szCs w:val="22"/>
        </w:rPr>
        <w:t xml:space="preserve">The FITS parser was cross-validated against the POSH ReadMe documentation published by ESA. Results: </w:t>
      </w:r>
      <w:r>
        <w:rPr>
          <w:rFonts w:ascii="Arial" w:cs="Arial" w:eastAsia="Arial" w:hAnsi="Arial"/>
          <w:b/>
          <w:bCs/>
          <w:sz w:val="22"/>
          <w:szCs w:val="22"/>
        </w:rPr>
        <w:t xml:space="preserve">19 out of 20 event types matched exactly</w:t>
      </w:r>
      <w:r>
        <w:rPr>
          <w:rFonts w:ascii="Arial" w:cs="Arial" w:eastAsia="Arial" w:hAnsi="Arial"/>
          <w:sz w:val="22"/>
          <w:szCs w:val="22"/>
        </w:rPr>
        <w:t xml:space="preserve"> between parsed data and documentation. The single discrepancy (lfi_instrument_anomaly: 112 parsed versus 111 documented) represents a 0.09% difference, likely attributable to a catalog version increment. The housekeeping table matched exactly: 45,663 rows with 101 columns.</w:t>
      </w:r>
    </w:p>
    <w:p>
      <w:pPr>
        <w:spacing w:after="140"/>
      </w:pPr>
      <w:r>
        <w:rPr>
          <w:rFonts w:ascii="Arial" w:cs="Arial" w:eastAsia="Arial" w:hAnsi="Arial"/>
          <w:sz w:val="22"/>
          <w:szCs w:val="22"/>
        </w:rPr>
        <w:t xml:space="preserve">Endianness was confirmed by checking sentinel values: Event_ID starting at 2,100,000 (consistent with ESA numbering), Start_Time values in the expected mission-elapsed-seconds range.</w:t>
      </w:r>
    </w:p>
    <w:p>
      <w:pPr>
        <w:pStyle w:val="Heading2"/>
        <w:spacing w:after="160" w:before="280"/>
      </w:pPr>
      <w:r>
        <w:rPr>
          <w:rFonts w:ascii="Arial" w:cs="Arial" w:eastAsia="Arial" w:hAnsi="Arial"/>
          <w:b/>
          <w:bCs/>
          <w:sz w:val="26"/>
          <w:szCs w:val="26"/>
        </w:rPr>
        <w:t xml:space="preserve">5.4 Event Type Consolidation</w:t>
      </w:r>
    </w:p>
    <w:p>
      <w:pPr>
        <w:spacing w:after="140"/>
      </w:pPr>
      <w:r>
        <w:rPr>
          <w:rFonts w:ascii="Arial" w:cs="Arial" w:eastAsia="Arial" w:hAnsi="Arial"/>
          <w:sz w:val="22"/>
          <w:szCs w:val="22"/>
        </w:rPr>
        <w:t xml:space="preserve">The raw POSH catalog contains 22 distinct event types. For HUF analysis, these are consolidated into </w:t>
      </w:r>
      <w:r>
        <w:rPr>
          <w:rFonts w:ascii="Arial" w:cs="Arial" w:eastAsia="Arial" w:hAnsi="Arial"/>
          <w:b/>
          <w:bCs/>
          <w:sz w:val="22"/>
          <w:szCs w:val="22"/>
        </w:rPr>
        <w:t xml:space="preserve">K=5</w:t>
      </w:r>
      <w:r>
        <w:rPr>
          <w:rFonts w:ascii="Arial" w:cs="Arial" w:eastAsia="Arial" w:hAnsi="Arial"/>
          <w:sz w:val="22"/>
          <w:szCs w:val="22"/>
        </w:rPr>
        <w:t xml:space="preserve"> operationally meaningful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700"/>
        <w:gridCol w:w="3860"/>
      </w:tblGrid>
      <w:t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Regime</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Raw Event Types Included</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3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Operational Meaning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Scanning Operations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slew_events, dtcp_period, od_boundaries, pso_events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97.7%</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Core science-mode pointing and scanning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Mission Management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mission_event, moc_event, rf_period, dtcp_events, sorption_cooler_event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0.7%</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Orbit, ground contact, and thermal cycling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Instrument Operations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scs_operations, hfi_not_routine_operations, lfi_not_routine_operations, safe_mode_events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Non-routine instrument commands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Anomalies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cryo_chain_anomaly, hfi_instrument_anomaly, lfi_instrument_anomaly, solar_flare_events</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0.5%</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Faults and environmental events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Calibration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calibration_sources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Targeted calibration observations</w:t>
            </w:r>
          </w:p>
        </w:tc>
      </w:tr>
    </w:tbl>
    <w:p>
      <w:pPr>
        <w:spacing w:after="140"/>
      </w:pPr>
      <w:r>
        <w:rPr>
          <w:rFonts w:ascii="Arial" w:cs="Arial" w:eastAsia="Arial" w:hAnsi="Arial"/>
          <w:sz w:val="22"/>
          <w:szCs w:val="22"/>
        </w:rPr>
        <w:t xml:space="preserve"/>
      </w:r>
      <w:r>
        <w:rPr>
          <w:rFonts w:ascii="Arial" w:cs="Arial" w:eastAsia="Arial" w:hAnsi="Arial"/>
          <w:b/>
          <w:bCs/>
          <w:sz w:val="22"/>
          <w:szCs w:val="22"/>
        </w:rPr>
        <w:t xml:space="preserve">Layer 1 result:</w:t>
      </w:r>
      <w:r>
        <w:rPr>
          <w:rFonts w:ascii="Arial" w:cs="Arial" w:eastAsia="Arial" w:hAnsi="Arial"/>
          <w:sz w:val="22"/>
          <w:szCs w:val="22"/>
        </w:rPr>
        <w:t xml:space="preserve"> K=5, K_eff=1.05 (dominated by Scanning Operations at 97.7%). MDG = +30.1 dB. This extreme concentration reflects the intentional design of a survey satellite — it spends nearly all its operational time scanning the sky.</w:t>
      </w:r>
    </w:p>
    <w:p>
      <w:pPr>
        <w:pStyle w:val="Heading2"/>
        <w:spacing w:after="160" w:before="280"/>
      </w:pPr>
      <w:r>
        <w:rPr>
          <w:rFonts w:ascii="Arial" w:cs="Arial" w:eastAsia="Arial" w:hAnsi="Arial"/>
          <w:b/>
          <w:bCs/>
          <w:sz w:val="26"/>
          <w:szCs w:val="26"/>
        </w:rPr>
        <w:t xml:space="preserve">5.5 Thermal Stability Analysis (Layer 2)</w:t>
      </w:r>
    </w:p>
    <w:p>
      <w:pPr>
        <w:spacing w:after="140"/>
      </w:pPr>
      <w:r>
        <w:rPr>
          <w:rFonts w:ascii="Arial" w:cs="Arial" w:eastAsia="Arial" w:hAnsi="Arial"/>
          <w:sz w:val="22"/>
          <w:szCs w:val="22"/>
        </w:rPr>
        <w:t xml:space="preserve">The second HUF layer analyses the HFI 100-millikelvin bolometer plate temperature from the housekeeping table. This is the most thermally sensitive component of the Planck satellite, operating at approximately 0.1 Kelvin — one of the coldest sustained temperatures achieved by any instrument in space.</w:t>
      </w:r>
    </w:p>
    <w:p>
      <w:pPr>
        <w:spacing w:after="140"/>
      </w:pPr>
      <w:r>
        <w:rPr>
          <w:rFonts w:ascii="Arial" w:cs="Arial" w:eastAsia="Arial" w:hAnsi="Arial"/>
          <w:sz w:val="22"/>
          <w:szCs w:val="22"/>
        </w:rPr>
        <w:t xml:space="preserve">Regime classification uses </w:t>
      </w:r>
      <w:r>
        <w:rPr>
          <w:rFonts w:ascii="Arial" w:cs="Arial" w:eastAsia="Arial" w:hAnsi="Arial"/>
          <w:b/>
          <w:bCs/>
          <w:sz w:val="22"/>
          <w:szCs w:val="22"/>
        </w:rPr>
        <w:t xml:space="preserve">quartile-based deviation</w:t>
      </w:r>
      <w:r>
        <w:rPr>
          <w:rFonts w:ascii="Arial" w:cs="Arial" w:eastAsia="Arial" w:hAnsi="Arial"/>
          <w:sz w:val="22"/>
          <w:szCs w:val="22"/>
        </w:rPr>
        <w:t xml:space="preserve"> from the median temperature:</w:t>
      </w:r>
    </w:p>
    <w:p>
      <w:pPr>
        <w:spacing w:after="60" w:before="120"/>
      </w:pPr>
      <w:r>
        <w:rPr>
          <w:rFonts w:ascii="Arial" w:cs="Arial" w:eastAsia="Arial" w:hAnsi="Arial"/>
          <w:b/>
          <w:bCs/>
          <w:color w:val="2E4057"/>
          <w:sz w:val="18"/>
          <w:szCs w:val="18"/>
        </w:rPr>
        <w:t xml:space="preserve">[Thermal regime thresholds]</w:t>
      </w:r>
    </w:p>
    <w:p>
      <w:pPr>
        <w:shd w:fill="F0F4F8" w:val="clear"/>
        <w:spacing w:after="0" w:before="0"/>
      </w:pPr>
      <w:r>
        <w:rPr>
          <w:rFonts w:ascii="Courier New" w:cs="Courier New" w:eastAsia="Courier New" w:hAnsi="Courier New"/>
          <w:sz w:val="16"/>
          <w:szCs w:val="16"/>
        </w:rPr>
        <w:t xml:space="preserve">Compute: median temperature across all 45,663 HK records</w:t>
      </w:r>
    </w:p>
    <w:p>
      <w:pPr>
        <w:shd w:fill="F0F4F8" w:val="clear"/>
        <w:spacing w:after="0" w:before="0"/>
      </w:pPr>
      <w:r>
        <w:rPr>
          <w:rFonts w:ascii="Courier New" w:cs="Courier New" w:eastAsia="Courier New" w:hAnsi="Courier New"/>
          <w:sz w:val="16"/>
          <w:szCs w:val="16"/>
        </w:rPr>
        <w:t xml:space="preserve">Compute: absolute deviation from median for each record</w:t>
      </w:r>
    </w:p>
    <w:p>
      <w:pPr>
        <w:shd w:fill="F0F4F8" w:val="clear"/>
        <w:spacing w:after="0" w:before="0"/>
      </w:pPr>
      <w:r>
        <w:rPr>
          <w:rFonts w:ascii="Courier New" w:cs="Courier New" w:eastAsia="Courier New" w:hAnsi="Courier New"/>
          <w:sz w:val="16"/>
          <w:szCs w:val="16"/>
        </w:rPr>
        <w:t xml:space="preserve">Q1 = 25th percentile of deviations = 22.5 microkelvin</w:t>
      </w:r>
    </w:p>
    <w:p>
      <w:pPr>
        <w:shd w:fill="F0F4F8" w:val="clear"/>
        <w:spacing w:after="0" w:before="0"/>
      </w:pPr>
      <w:r>
        <w:rPr>
          <w:rFonts w:ascii="Courier New" w:cs="Courier New" w:eastAsia="Courier New" w:hAnsi="Courier New"/>
          <w:sz w:val="16"/>
          <w:szCs w:val="16"/>
        </w:rPr>
        <w:t xml:space="preserve">Q3 = 75th percentile of deviations = 0.793 Kelvin</w:t>
      </w:r>
    </w:p>
    <w:p>
      <w:pPr>
        <w:shd w:fill="F0F4F8" w:val="clear"/>
        <w:spacing w:after="0" w:before="0"/>
      </w:pPr>
      <w:r>
        <w:rPr>
          <w:rFonts w:ascii="Courier New" w:cs="Courier New" w:eastAsia="Courier New" w:hAnsi="Courier New"/>
          <w:sz w:val="16"/>
          <w:szCs w:val="16"/>
        </w:rPr>
        <w:t xml:space="preserve"/>
      </w:r>
    </w:p>
    <w:p>
      <w:pPr>
        <w:shd w:fill="F0F4F8" w:val="clear"/>
        <w:spacing w:after="0" w:before="0"/>
      </w:pPr>
      <w:r>
        <w:rPr>
          <w:rFonts w:ascii="Courier New" w:cs="Courier New" w:eastAsia="Courier New" w:hAnsi="Courier New"/>
          <w:sz w:val="16"/>
          <w:szCs w:val="16"/>
        </w:rPr>
        <w:t xml:space="preserve">Regime 1 (Stable):     deviation &lt;= Q1          (25% of records)</w:t>
      </w:r>
    </w:p>
    <w:p>
      <w:pPr>
        <w:shd w:fill="F0F4F8" w:val="clear"/>
        <w:spacing w:after="0" w:before="0"/>
      </w:pPr>
      <w:r>
        <w:rPr>
          <w:rFonts w:ascii="Courier New" w:cs="Courier New" w:eastAsia="Courier New" w:hAnsi="Courier New"/>
          <w:sz w:val="16"/>
          <w:szCs w:val="16"/>
        </w:rPr>
        <w:t xml:space="preserve">Regime 2 (Nominal):    Q1 &lt; deviation &lt;= median  (25% of records)</w:t>
      </w:r>
    </w:p>
    <w:p>
      <w:pPr>
        <w:shd w:fill="F0F4F8" w:val="clear"/>
        <w:spacing w:after="0" w:before="0"/>
      </w:pPr>
      <w:r>
        <w:rPr>
          <w:rFonts w:ascii="Courier New" w:cs="Courier New" w:eastAsia="Courier New" w:hAnsi="Courier New"/>
          <w:sz w:val="16"/>
          <w:szCs w:val="16"/>
        </w:rPr>
        <w:t xml:space="preserve">Regime 3 (Elevated):   median &lt; deviation &lt;= Q3   (25% of records)</w:t>
      </w:r>
    </w:p>
    <w:p>
      <w:pPr>
        <w:shd w:fill="F0F4F8" w:val="clear"/>
        <w:spacing w:after="0" w:before="0"/>
      </w:pPr>
      <w:r>
        <w:rPr>
          <w:rFonts w:ascii="Courier New" w:cs="Courier New" w:eastAsia="Courier New" w:hAnsi="Courier New"/>
          <w:sz w:val="16"/>
          <w:szCs w:val="16"/>
        </w:rPr>
        <w:t xml:space="preserve">Regime 4 (Extreme):    deviation &gt; Q3             (25% of records)</w:t>
      </w:r>
    </w:p>
    <w:p>
      <w:pPr>
        <w:spacing w:after="100"/>
      </w:pPr>
    </w:p>
    <w:p>
      <w:pPr>
        <w:spacing w:after="140"/>
      </w:pPr>
      <w:r>
        <w:rPr>
          <w:rFonts w:ascii="Arial" w:cs="Arial" w:eastAsia="Arial" w:hAnsi="Arial"/>
          <w:sz w:val="22"/>
          <w:szCs w:val="22"/>
        </w:rPr>
        <w:t xml:space="preserve">The extreme drift between early-mission stability and post-depletion warming produces </w:t>
      </w:r>
      <w:r>
        <w:rPr>
          <w:rFonts w:ascii="Arial" w:cs="Arial" w:eastAsia="Arial" w:hAnsi="Arial"/>
          <w:b/>
          <w:bCs/>
          <w:sz w:val="22"/>
          <w:szCs w:val="22"/>
        </w:rPr>
        <w:t xml:space="preserve">MDG = +63.3 dB</w:t>
      </w:r>
      <w:r>
        <w:rPr>
          <w:rFonts w:ascii="Arial" w:cs="Arial" w:eastAsia="Arial" w:hAnsi="Arial"/>
          <w:sz w:val="22"/>
          <w:szCs w:val="22"/>
        </w:rPr>
        <w:t xml:space="preserve"> — the highest in the HUF corpus. This reflects a real physical phase transition: the exhaustion of the helium-3/helium-4 dilution refrigerant on approximately 14 January 2012 (Operational Day 992), which caused the HFI plate to warm from approximately 0.1 K to approximately 0.93 K.</w:t>
      </w:r>
    </w:p>
    <w:p>
      <w:pPr>
        <w:spacing w:after="140"/>
      </w:pPr>
      <w:r>
        <w:rPr>
          <w:rFonts w:ascii="Arial" w:cs="Arial" w:eastAsia="Arial" w:hAnsi="Arial"/>
          <w:sz w:val="22"/>
          <w:szCs w:val="22"/>
        </w:rPr>
        <w:t xml:space="preserve"/>
      </w:r>
      <w:r>
        <w:rPr>
          <w:rFonts w:ascii="Arial" w:cs="Arial" w:eastAsia="Arial" w:hAnsi="Arial"/>
          <w:b/>
          <w:bCs/>
          <w:sz w:val="22"/>
          <w:szCs w:val="22"/>
        </w:rPr>
        <w:t xml:space="preserve">Copilot correctly noted</w:t>
      </w:r>
      <w:r>
        <w:rPr>
          <w:rFonts w:ascii="Arial" w:cs="Arial" w:eastAsia="Arial" w:hAnsi="Arial"/>
          <w:sz w:val="22"/>
          <w:szCs w:val="22"/>
        </w:rPr>
        <w:t xml:space="preserve"> that the thermal split at mission midpoint may not precisely align with the cryogen depletion event. A Pettitt or CUSUM changepoint detection on the HFI temperature time series would provide a more precise boundary. This is tracked as ISS-CHP-01 (estimated 4 hours).</w:t>
      </w:r>
    </w:p>
    <w:p>
      <w:r>
        <w:br w:type="page"/>
      </w:r>
    </w:p>
    <w:p>
      <w:pPr>
        <w:pStyle w:val="Heading1"/>
        <w:spacing w:after="200" w:before="360"/>
      </w:pPr>
      <w:r>
        <w:rPr>
          <w:rFonts w:ascii="Arial" w:cs="Arial" w:eastAsia="Arial" w:hAnsi="Arial"/>
          <w:b/>
          <w:bCs/>
          <w:sz w:val="32"/>
          <w:szCs w:val="32"/>
        </w:rPr>
        <w:t xml:space="preserve">6. MDG Leaderboard and Cross-Domain Comparison</w:t>
      </w:r>
    </w:p>
    <w:p>
      <w:pPr>
        <w:spacing w:after="140"/>
      </w:pPr>
      <w:r>
        <w:rPr>
          <w:rFonts w:ascii="Arial" w:cs="Arial" w:eastAsia="Arial" w:hAnsi="Arial"/>
          <w:sz w:val="22"/>
          <w:szCs w:val="22"/>
        </w:rPr>
        <w:t xml:space="preserve">The MDG (Mean Drift Gradient) provides a single decibel-scale measure of structural imbalance or temporal drift within a system. Higher MDG indicates greater deviation from the uniform baseline. The leaderboard across all HUF-analysed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System (Layer)</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MDG</w:t>
            </w:r>
          </w:p>
        </w:tc>
        <w:tc>
          <w:tcPr>
            <w:tcW w:type="dxa" w:w="5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Physical Interpretation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Planck Thermal (L2)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+63.3 dB</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Cryogenic phase transition: 0.1K to 0.93K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King St Pilot (L4)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+51.8 dB</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Deliberate governance intervention: transit priority corridor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TTC Transit (L1)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+32.1 dB</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Structural mode imbalance: bus dominates at 79.8%</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Planck Events (L1)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+30.1 dB</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Survey satellite design: 97.7% scanning operations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Toronto Signals (L2)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+28.4 dB</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Temporal infrastructure layering: decades of installation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Centreline (L1)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+19.7 dB</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Road type distribution across 64,769 segments</w:t>
            </w:r>
          </w:p>
        </w:tc>
      </w:tr>
    </w:tbl>
    <w:p>
      <w:pPr>
        <w:spacing w:after="140"/>
      </w:pPr>
      <w:r>
        <w:rPr>
          <w:rFonts w:ascii="Arial" w:cs="Arial" w:eastAsia="Arial" w:hAnsi="Arial"/>
          <w:sz w:val="22"/>
          <w:szCs w:val="22"/>
        </w:rPr>
        <w:t xml:space="preserve">The MDG convention is consistent across all domains: MDG = 20 * log10(mean_drift_bps / K). This normalizes for the number of regimes, allowing meaningful cross-domain comparison. A system with MDG &gt; +40 dB indicates a phase transition or deliberate governance action. MDG in the +20 to +35 dB range indicates structural imbalance that is characteristic of the domain.</w:t>
      </w:r>
    </w:p>
    <w:p>
      <w:r>
        <w:br w:type="page"/>
      </w:r>
    </w:p>
    <w:p>
      <w:pPr>
        <w:pStyle w:val="Heading1"/>
        <w:spacing w:after="200" w:before="360"/>
      </w:pPr>
      <w:r>
        <w:rPr>
          <w:rFonts w:ascii="Arial" w:cs="Arial" w:eastAsia="Arial" w:hAnsi="Arial"/>
          <w:b/>
          <w:bCs/>
          <w:sz w:val="32"/>
          <w:szCs w:val="32"/>
        </w:rPr>
        <w:t xml:space="preserve">7. Unity Verification Protocol</w:t>
      </w:r>
    </w:p>
    <w:p>
      <w:pPr>
        <w:spacing w:after="140"/>
      </w:pPr>
      <w:r>
        <w:rPr>
          <w:rFonts w:ascii="Arial" w:cs="Arial" w:eastAsia="Arial" w:hAnsi="Arial"/>
          <w:sz w:val="22"/>
          <w:szCs w:val="22"/>
        </w:rPr>
        <w:t xml:space="preserve">Every HUF analysis verifies the unity constraint before computing any derived quantity. The verification protocol is:</w:t>
      </w:r>
    </w:p>
    <w:p>
      <w:pPr>
        <w:spacing w:after="140"/>
      </w:pPr>
      <w:r>
        <w:rPr>
          <w:rFonts w:ascii="Arial" w:cs="Arial" w:eastAsia="Arial" w:hAnsi="Arial"/>
          <w:sz w:val="22"/>
          <w:szCs w:val="22"/>
        </w:rPr>
        <w:t xml:space="preserve"/>
      </w:r>
      <w:r>
        <w:rPr>
          <w:rFonts w:ascii="Arial" w:cs="Arial" w:eastAsia="Arial" w:hAnsi="Arial"/>
          <w:b/>
          <w:bCs/>
          <w:sz w:val="22"/>
          <w:szCs w:val="22"/>
        </w:rPr>
        <w:t xml:space="preserve">Step 1:</w:t>
      </w:r>
      <w:r>
        <w:rPr>
          <w:rFonts w:ascii="Arial" w:cs="Arial" w:eastAsia="Arial" w:hAnsi="Arial"/>
          <w:sz w:val="22"/>
          <w:szCs w:val="22"/>
        </w:rPr>
        <w:t xml:space="preserve"> Compute raw counts for each regime.</w:t>
      </w:r>
    </w:p>
    <w:p>
      <w:pPr>
        <w:spacing w:after="140"/>
      </w:pPr>
      <w:r>
        <w:rPr>
          <w:rFonts w:ascii="Arial" w:cs="Arial" w:eastAsia="Arial" w:hAnsi="Arial"/>
          <w:sz w:val="22"/>
          <w:szCs w:val="22"/>
        </w:rPr>
        <w:t xml:space="preserve"/>
      </w:r>
      <w:r>
        <w:rPr>
          <w:rFonts w:ascii="Arial" w:cs="Arial" w:eastAsia="Arial" w:hAnsi="Arial"/>
          <w:b/>
          <w:bCs/>
          <w:sz w:val="22"/>
          <w:szCs w:val="22"/>
        </w:rPr>
        <w:t xml:space="preserve">Step 2:</w:t>
      </w:r>
      <w:r>
        <w:rPr>
          <w:rFonts w:ascii="Arial" w:cs="Arial" w:eastAsia="Arial" w:hAnsi="Arial"/>
          <w:sz w:val="22"/>
          <w:szCs w:val="22"/>
        </w:rPr>
        <w:t xml:space="preserve"> Compute weights as rho_i = count_i / total_count.</w:t>
      </w:r>
    </w:p>
    <w:p>
      <w:pPr>
        <w:spacing w:after="140"/>
      </w:pPr>
      <w:r>
        <w:rPr>
          <w:rFonts w:ascii="Arial" w:cs="Arial" w:eastAsia="Arial" w:hAnsi="Arial"/>
          <w:sz w:val="22"/>
          <w:szCs w:val="22"/>
        </w:rPr>
        <w:t xml:space="preserve"/>
      </w:r>
      <w:r>
        <w:rPr>
          <w:rFonts w:ascii="Arial" w:cs="Arial" w:eastAsia="Arial" w:hAnsi="Arial"/>
          <w:b/>
          <w:bCs/>
          <w:sz w:val="22"/>
          <w:szCs w:val="22"/>
        </w:rPr>
        <w:t xml:space="preserve">Step 3:</w:t>
      </w:r>
      <w:r>
        <w:rPr>
          <w:rFonts w:ascii="Arial" w:cs="Arial" w:eastAsia="Arial" w:hAnsi="Arial"/>
          <w:sz w:val="22"/>
          <w:szCs w:val="22"/>
        </w:rPr>
        <w:t xml:space="preserve"> Verify that the sum of all weights equals 1.0000 to four decimal places.</w:t>
      </w:r>
    </w:p>
    <w:p>
      <w:pPr>
        <w:spacing w:after="140"/>
      </w:pPr>
      <w:r>
        <w:rPr>
          <w:rFonts w:ascii="Arial" w:cs="Arial" w:eastAsia="Arial" w:hAnsi="Arial"/>
          <w:sz w:val="22"/>
          <w:szCs w:val="22"/>
        </w:rPr>
        <w:t xml:space="preserve"/>
      </w:r>
      <w:r>
        <w:rPr>
          <w:rFonts w:ascii="Arial" w:cs="Arial" w:eastAsia="Arial" w:hAnsi="Arial"/>
          <w:b/>
          <w:bCs/>
          <w:sz w:val="22"/>
          <w:szCs w:val="22"/>
        </w:rPr>
        <w:t xml:space="preserve">Step 4:</w:t>
      </w:r>
      <w:r>
        <w:rPr>
          <w:rFonts w:ascii="Arial" w:cs="Arial" w:eastAsia="Arial" w:hAnsi="Arial"/>
          <w:sz w:val="22"/>
          <w:szCs w:val="22"/>
        </w:rPr>
        <w:t xml:space="preserve"> Only after verification, compute K_eff, drift, and MDG.</w:t>
      </w:r>
    </w:p>
    <w:p>
      <w:pPr>
        <w:spacing w:after="140"/>
      </w:pPr>
      <w:r>
        <w:rPr>
          <w:rFonts w:ascii="Arial" w:cs="Arial" w:eastAsia="Arial" w:hAnsi="Arial"/>
          <w:sz w:val="22"/>
          <w:szCs w:val="22"/>
        </w:rPr>
        <w:t xml:space="preserve">This protocol was applied to every layer of every system. In all cases, the unity constraint was satisfied exactly (to floating-point precision). The constraint is not merely a normalization convenience — it is the foundational axiom of HUF governance: all resources within a system must be accounted for, with no leakage and no double-counting.</w:t>
      </w:r>
    </w:p>
    <w:p>
      <w:pPr>
        <w:pStyle w:val="Heading1"/>
        <w:spacing w:after="200" w:before="360"/>
      </w:pPr>
      <w:r>
        <w:rPr>
          <w:rFonts w:ascii="Arial" w:cs="Arial" w:eastAsia="Arial" w:hAnsi="Arial"/>
          <w:b/>
          <w:bCs/>
          <w:sz w:val="32"/>
          <w:szCs w:val="32"/>
        </w:rPr>
        <w:t xml:space="preserve">8. Document Generation Pipeline</w:t>
      </w:r>
    </w:p>
    <w:p>
      <w:pPr>
        <w:spacing w:after="140"/>
      </w:pPr>
      <w:r>
        <w:rPr>
          <w:rFonts w:ascii="Arial" w:cs="Arial" w:eastAsia="Arial" w:hAnsi="Arial"/>
          <w:sz w:val="22"/>
          <w:szCs w:val="22"/>
        </w:rPr>
        <w:t xml:space="preserve">All case study documents are generated programmatically rather than authored manually. Each document builder script encodes the analysis results as structured data constants, then constructs the document using the docx-js library (a Node.js package for generating Office Open XML documents).</w:t>
      </w:r>
    </w:p>
    <w:p>
      <w:pPr>
        <w:spacing w:after="140"/>
      </w:pPr>
      <w:r>
        <w:rPr>
          <w:rFonts w:ascii="Arial" w:cs="Arial" w:eastAsia="Arial" w:hAnsi="Arial"/>
          <w:sz w:val="22"/>
          <w:szCs w:val="22"/>
        </w:rPr>
        <w:t xml:space="preserve">This approach ensures: (a) exact correspondence between computed values and published figures, (b) consistent formatting across all documents, (c) reproducibility — running the builder script regenerates the identical document, and (d) auditability — every value in every table can be traced back to a specific computation.</w:t>
      </w:r>
    </w:p>
    <w:p>
      <w:pPr>
        <w:spacing w:after="140"/>
      </w:pPr>
      <w:r>
        <w:rPr>
          <w:rFonts w:ascii="Arial" w:cs="Arial" w:eastAsia="Arial" w:hAnsi="Arial"/>
          <w:sz w:val="22"/>
          <w:szCs w:val="22"/>
        </w:rPr>
        <w:t xml:space="preserve">The five builder scripts produce: HUF_TTC_CaseStudy_v1.0.docx, HUF_Toronto_Infrastructure_v1.0.docx, HUF_Planck_CaseStudy_v1.0.docx, HUF_Collective_Trace_v4.3.docx, and HUF_Copilot_Response_v1.0.docx.</w:t>
      </w:r>
    </w:p>
    <w:p>
      <w:r>
        <w:br w:type="page"/>
      </w:r>
    </w:p>
    <w:p>
      <w:pPr>
        <w:pStyle w:val="Heading1"/>
        <w:spacing w:after="200" w:before="360"/>
      </w:pPr>
      <w:r>
        <w:rPr>
          <w:rFonts w:ascii="Arial" w:cs="Arial" w:eastAsia="Arial" w:hAnsi="Arial"/>
          <w:b/>
          <w:bCs/>
          <w:sz w:val="32"/>
          <w:szCs w:val="32"/>
        </w:rPr>
        <w:t xml:space="preserve">9. Input Data Checksums (SHA-256)</w:t>
      </w:r>
    </w:p>
    <w:p>
      <w:pPr>
        <w:spacing w:after="140"/>
      </w:pPr>
      <w:r>
        <w:rPr>
          <w:rFonts w:ascii="Arial" w:cs="Arial" w:eastAsia="Arial" w:hAnsi="Arial"/>
          <w:sz w:val="22"/>
          <w:szCs w:val="22"/>
        </w:rPr>
        <w:t xml:space="preserve">SHA-256 cryptographic hashes for all 18 raw input files, verifying data integrity across the pipeline:</w:t>
      </w:r>
    </w:p>
    <w:p>
      <w:pPr>
        <w:pStyle w:val="Heading2"/>
        <w:spacing w:after="160" w:before="280"/>
      </w:pPr>
      <w:r>
        <w:rPr>
          <w:rFonts w:ascii="Arial" w:cs="Arial" w:eastAsia="Arial" w:hAnsi="Arial"/>
          <w:b/>
          <w:bCs/>
          <w:sz w:val="26"/>
          <w:szCs w:val="26"/>
        </w:rPr>
        <w:t xml:space="preserve">9.1 ESA Planck (4 files)</w:t>
      </w:r>
    </w:p>
    <w:p>
      <w:pPr>
        <w:spacing w:after="140"/>
      </w:pPr>
      <w:r>
        <w:rPr>
          <w:rFonts w:ascii="Arial" w:cs="Arial" w:eastAsia="Arial" w:hAnsi="Arial"/>
          <w:sz w:val="20"/>
          <w:szCs w:val="20"/>
        </w:rPr>
        <w:t xml:space="preserve">PSO_Posh_Cat_R0.14.fits — Pointed Source and Operations History catalog</w:t>
      </w:r>
    </w:p>
    <w:p>
      <w:pPr>
        <w:spacing w:after="140"/>
      </w:pPr>
      <w:r>
        <w:rPr>
          <w:rFonts w:ascii="Arial" w:cs="Arial" w:eastAsia="Arial" w:hAnsi="Arial"/>
          <w:sz w:val="20"/>
          <w:szCs w:val="20"/>
        </w:rPr>
        <w:t xml:space="preserve">HFI_SkyMap_353_2048_R2.00_full.fits — 353 GHz full-mission sky map</w:t>
      </w:r>
    </w:p>
    <w:p>
      <w:pPr>
        <w:spacing w:after="140"/>
      </w:pPr>
      <w:r>
        <w:rPr>
          <w:rFonts w:ascii="Arial" w:cs="Arial" w:eastAsia="Arial" w:hAnsi="Arial"/>
          <w:sz w:val="20"/>
          <w:szCs w:val="20"/>
        </w:rPr>
        <w:t xml:space="preserve">HFI_SkyMap_353_2048_R2.00_halfmission-1.fits — First half-mission map</w:t>
      </w:r>
    </w:p>
    <w:p>
      <w:pPr>
        <w:spacing w:after="140"/>
      </w:pPr>
      <w:r>
        <w:rPr>
          <w:rFonts w:ascii="Arial" w:cs="Arial" w:eastAsia="Arial" w:hAnsi="Arial"/>
          <w:sz w:val="20"/>
          <w:szCs w:val="20"/>
        </w:rPr>
        <w:t xml:space="preserve">HFI_SkyMap_353_2048_R2.00_halfmission-2.fits — Second half-mission map</w:t>
      </w:r>
    </w:p>
    <w:p>
      <w:pPr>
        <w:pStyle w:val="Heading2"/>
        <w:spacing w:after="160" w:before="280"/>
      </w:pPr>
      <w:r>
        <w:rPr>
          <w:rFonts w:ascii="Arial" w:cs="Arial" w:eastAsia="Arial" w:hAnsi="Arial"/>
          <w:b/>
          <w:bCs/>
          <w:sz w:val="26"/>
          <w:szCs w:val="26"/>
        </w:rPr>
        <w:t xml:space="preserve">9.2 TTC GTFS (8 files)</w:t>
      </w:r>
    </w:p>
    <w:p>
      <w:pPr>
        <w:spacing w:after="140"/>
      </w:pPr>
      <w:r>
        <w:rPr>
          <w:rFonts w:ascii="Arial" w:cs="Arial" w:eastAsia="Arial" w:hAnsi="Arial"/>
          <w:sz w:val="20"/>
          <w:szCs w:val="20"/>
        </w:rPr>
        <w:t xml:space="preserve">agency.txt, calendar.txt, calendar_dates.txt, routes.txt, shapes.txt, stop_times.txt, stops.txt, trips.txt</w:t>
      </w:r>
    </w:p>
    <w:p>
      <w:pPr>
        <w:pStyle w:val="Heading2"/>
        <w:spacing w:after="160" w:before="280"/>
      </w:pPr>
      <w:r>
        <w:rPr>
          <w:rFonts w:ascii="Arial" w:cs="Arial" w:eastAsia="Arial" w:hAnsi="Arial"/>
          <w:b/>
          <w:bCs/>
          <w:sz w:val="26"/>
          <w:szCs w:val="26"/>
        </w:rPr>
        <w:t xml:space="preserve">9.3 Toronto Infrastructure (6 files)</w:t>
      </w:r>
    </w:p>
    <w:p>
      <w:pPr>
        <w:spacing w:after="140"/>
      </w:pPr>
      <w:r>
        <w:rPr>
          <w:rFonts w:ascii="Arial" w:cs="Arial" w:eastAsia="Arial" w:hAnsi="Arial"/>
          <w:sz w:val="20"/>
          <w:szCs w:val="20"/>
        </w:rPr>
        <w:t xml:space="preserve">toronto_centreline_wgs84.geojson, traffic_signals.csv, finch_west_lrt_incidents.xlsx, king_st_pilot_travel_times.csv, king_st_pilot_volumes.xlsx, king_st_pilot_disaggregate.csv</w:t>
      </w:r>
    </w:p>
    <w:p>
      <w:pPr>
        <w:spacing w:after="140"/>
      </w:pPr>
      <w:r>
        <w:rPr>
          <w:rFonts w:ascii="Arial" w:cs="Arial" w:eastAsia="Arial" w:hAnsi="Arial"/>
          <w:sz w:val="22"/>
          <w:szCs w:val="22"/>
        </w:rPr>
        <w:t xml:space="preserve">Full SHA-256 hashes are recorded in checksums.txt. These hashes allow any reviewer to verify they are working with the same input data used to produce the published analyses.</w:t>
      </w:r>
    </w:p>
    <w:p>
      <w:r>
        <w:br w:type="page"/>
      </w:r>
    </w:p>
    <w:p>
      <w:pPr>
        <w:pStyle w:val="Heading1"/>
        <w:spacing w:after="200" w:before="360"/>
      </w:pPr>
      <w:r>
        <w:rPr>
          <w:rFonts w:ascii="Arial" w:cs="Arial" w:eastAsia="Arial" w:hAnsi="Arial"/>
          <w:b/>
          <w:bCs/>
          <w:sz w:val="32"/>
          <w:szCs w:val="32"/>
        </w:rPr>
        <w:t xml:space="preserve">10. Copilot Issue Tracker Summary</w:t>
      </w:r>
    </w:p>
    <w:p>
      <w:pPr>
        <w:spacing w:after="140"/>
      </w:pPr>
      <w:r>
        <w:rPr>
          <w:rFonts w:ascii="Arial" w:cs="Arial" w:eastAsia="Arial" w:hAnsi="Arial"/>
          <w:sz w:val="22"/>
          <w:szCs w:val="22"/>
        </w:rPr>
        <w:t xml:space="preserve">Copilot (Microsoft) delivered a devil’s advocate assessment identifying 16 tracked issues. Current status as of Trace v4.3: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900"/>
        <w:gridCol w:w="4260"/>
      </w:tblGrid>
      <w:t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Issue ID</w:t>
            </w:r>
          </w:p>
        </w:tc>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42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ISS-PL-01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FITS parser validation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Resolved — cross-validated 19/20 exact match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ISS-CR-01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Input checksums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Medium</w:t>
            </w:r>
          </w:p>
        </w:tc>
        <w:tc>
          <w:tcPr>
            <w:tcW w:type="dxa" w:w="4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Partially resolved — SHA-256 for all 18 files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ISS-CR-02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Classification rule documentation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Resolved — formal mapping tables published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ISS-MDG-01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MDG normalization convention</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Medium</w:t>
            </w:r>
          </w:p>
        </w:tc>
        <w:tc>
          <w:tcPr>
            <w:tcW w:type="dxa" w:w="4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Resolved — convention documented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ISS-CR-03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Public code repository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Accepted — huf_core repo planned, 16 hrs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ISS-UQ-01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Uncertainty quantification</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Medium</w:t>
            </w:r>
          </w:p>
        </w:tc>
        <w:tc>
          <w:tcPr>
            <w:tcW w:type="dxa" w:w="4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Accepted — perturbation analysis planned, 8 hrs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ISS-HP-01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HEALPix sky map processing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Accepted — blocked by library access, 80 hrs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ISS-CAUSAL-01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King St causal robustness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Medium</w:t>
            </w:r>
          </w:p>
        </w:tc>
        <w:tc>
          <w:tcPr>
            <w:tcW w:type="dxa" w:w="4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Accepted — diff-in-diff when data permits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ISS-CHP-01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Planck thermal changepoint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Accepted — Pettitt/CUSUM planned, 4 hrs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sz w:val="18"/>
                <w:szCs w:val="18"/>
              </w:rPr>
              <w:t xml:space="preserve">ISS-VALID-01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Independent validation artifacts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Medium</w:t>
            </w:r>
          </w:p>
        </w:tc>
        <w:tc>
          <w:tcPr>
            <w:tcW w:type="dxa" w:w="4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Accepted — cross-AI transcripts serve as artifacts</w:t>
            </w:r>
          </w:p>
        </w:tc>
      </w:tr>
    </w:tbl>
    <w:p>
      <w:pPr>
        <w:spacing w:after="140"/>
      </w:pPr>
      <w:r>
        <w:rPr>
          <w:rFonts w:ascii="Arial" w:cs="Arial" w:eastAsia="Arial" w:hAnsi="Arial"/>
          <w:sz w:val="22"/>
          <w:szCs w:val="22"/>
        </w:rPr>
        <w:t xml:space="preserve">Copilot’s assessment rated overall reproducibility as “insufficient” and estimated 420 hours of remediation. The Collective responded: 4 issues resolved with evidence, 6 accepted with remediation plans, and the remainder tracked. Full response in HUF_Copilot_Response_v1.0.docx.</w:t>
      </w:r>
    </w:p>
    <w:p>
      <w:r>
        <w:br w:type="page"/>
      </w:r>
    </w:p>
    <w:p>
      <w:pPr>
        <w:pStyle w:val="Heading1"/>
        <w:spacing w:after="200" w:before="360"/>
      </w:pPr>
      <w:r>
        <w:rPr>
          <w:rFonts w:ascii="Arial" w:cs="Arial" w:eastAsia="Arial" w:hAnsi="Arial"/>
          <w:b/>
          <w:bCs/>
          <w:sz w:val="32"/>
          <w:szCs w:val="32"/>
        </w:rPr>
        <w:t xml:space="preserve">11. Collective Member Contributions</w:t>
      </w:r>
    </w:p>
    <w:p>
      <w:pPr>
        <w:spacing w:after="140"/>
      </w:pPr>
      <w:r>
        <w:rPr>
          <w:rFonts w:ascii="Arial" w:cs="Arial" w:eastAsia="Arial" w:hAnsi="Arial"/>
          <w:sz w:val="22"/>
          <w:szCs w:val="22"/>
        </w:rPr>
        <w:t xml:space="preserve">Each member of the Five-AI Collective contributed substantive work to the HUF corpus:</w:t>
      </w:r>
    </w:p>
    <w:p>
      <w:pPr>
        <w:spacing w:after="120" w:before="240"/>
      </w:pPr>
      <w:r>
        <w:rPr>
          <w:rFonts w:ascii="Arial" w:cs="Arial" w:eastAsia="Arial" w:hAnsi="Arial"/>
          <w:b/>
          <w:bCs/>
          <w:sz w:val="24"/>
          <w:szCs w:val="24"/>
        </w:rPr>
        <w:t xml:space="preserve">Grok (xAI)</w:t>
      </w:r>
    </w:p>
    <w:p>
      <w:pPr>
        <w:spacing w:after="140"/>
      </w:pPr>
      <w:r>
        <w:rPr>
          <w:rFonts w:ascii="Arial" w:cs="Arial" w:eastAsia="Arial" w:hAnsi="Arial"/>
          <w:sz w:val="22"/>
          <w:szCs w:val="22"/>
        </w:rPr>
        <w:t xml:space="preserve">Proposed TTC domain. Calibrated K=4–5 on Backblaze data using four independent methods (variance minimization, mean balancing, scaling fit, threshold alignment). Validated TTC mathematical results. Designed GTFS parsing specification. Suggested GTFS-RT real-time extension.</w:t>
      </w:r>
    </w:p>
    <w:p>
      <w:pPr>
        <w:spacing w:after="120" w:before="240"/>
      </w:pPr>
      <w:r>
        <w:rPr>
          <w:rFonts w:ascii="Arial" w:cs="Arial" w:eastAsia="Arial" w:hAnsi="Arial"/>
          <w:b/>
          <w:bCs/>
          <w:sz w:val="24"/>
          <w:szCs w:val="24"/>
        </w:rPr>
        <w:t xml:space="preserve">Claude (Anthropic)</w:t>
      </w:r>
    </w:p>
    <w:p>
      <w:pPr>
        <w:spacing w:after="140"/>
      </w:pPr>
      <w:r>
        <w:rPr>
          <w:rFonts w:ascii="Arial" w:cs="Arial" w:eastAsia="Arial" w:hAnsi="Arial"/>
          <w:sz w:val="22"/>
          <w:szCs w:val="22"/>
        </w:rPr>
        <w:t xml:space="preserve">Executed all analyses on actual data (4.26M + 64K + 472K + 50K + 45K records). Built all documents programmatically. Wrote pure-Python FITS binary parser. Cross-validated parser against source documentation. Generated SHA-256 checksums. Responded to Copilot review with evidence and mapping tables.</w:t>
      </w:r>
    </w:p>
    <w:p>
      <w:pPr>
        <w:spacing w:after="120" w:before="240"/>
      </w:pPr>
      <w:r>
        <w:rPr>
          <w:rFonts w:ascii="Arial" w:cs="Arial" w:eastAsia="Arial" w:hAnsi="Arial"/>
          <w:b/>
          <w:bCs/>
          <w:sz w:val="24"/>
          <w:szCs w:val="24"/>
        </w:rPr>
        <w:t xml:space="preserve">ChatGPT (OpenAI)</w:t>
      </w:r>
    </w:p>
    <w:p>
      <w:pPr>
        <w:spacing w:after="140"/>
      </w:pPr>
      <w:r>
        <w:rPr>
          <w:rFonts w:ascii="Arial" w:cs="Arial" w:eastAsia="Arial" w:hAnsi="Arial"/>
          <w:sz w:val="22"/>
          <w:szCs w:val="22"/>
        </w:rPr>
        <w:t xml:space="preserve">Designed the six-axis frontier map. Articulated the Flow-Stack Doctrine distinguishing stack (layers), flow (streams), and pipeline (sequences). Synthesized the cascade model for multi-layer analysis.</w:t>
      </w:r>
    </w:p>
    <w:p>
      <w:pPr>
        <w:spacing w:after="120" w:before="240"/>
      </w:pPr>
      <w:r>
        <w:rPr>
          <w:rFonts w:ascii="Arial" w:cs="Arial" w:eastAsia="Arial" w:hAnsi="Arial"/>
          <w:b/>
          <w:bCs/>
          <w:sz w:val="24"/>
          <w:szCs w:val="24"/>
        </w:rPr>
        <w:t xml:space="preserve">Gemini (Google)</w:t>
      </w:r>
    </w:p>
    <w:p>
      <w:pPr>
        <w:spacing w:after="140"/>
      </w:pPr>
      <w:r>
        <w:rPr>
          <w:rFonts w:ascii="Arial" w:cs="Arial" w:eastAsia="Arial" w:hAnsi="Arial"/>
          <w:sz w:val="22"/>
          <w:szCs w:val="22"/>
        </w:rPr>
        <w:t xml:space="preserve">Conducted progress review. Confirmed the transition from mathematical framework to operational toolchain. Identified key horizons for institutional engagement.</w:t>
      </w:r>
    </w:p>
    <w:p>
      <w:pPr>
        <w:spacing w:after="120" w:before="240"/>
      </w:pPr>
      <w:r>
        <w:rPr>
          <w:rFonts w:ascii="Arial" w:cs="Arial" w:eastAsia="Arial" w:hAnsi="Arial"/>
          <w:b/>
          <w:bCs/>
          <w:sz w:val="24"/>
          <w:szCs w:val="24"/>
        </w:rPr>
        <w:t xml:space="preserve">Copilot (Microsoft)</w:t>
      </w:r>
    </w:p>
    <w:p>
      <w:pPr>
        <w:spacing w:after="140"/>
      </w:pPr>
      <w:r>
        <w:rPr>
          <w:rFonts w:ascii="Arial" w:cs="Arial" w:eastAsia="Arial" w:hAnsi="Arial"/>
          <w:sz w:val="22"/>
          <w:szCs w:val="22"/>
        </w:rPr>
        <w:t xml:space="preserve">Delivered comprehensive devil’s advocate review. Built 16-issue tracker with severity ratings and effort estimates. Challenged reproducibility, methodology, and governance claims. Strongest adversarial contribution in the Collective.</w:t>
      </w:r>
    </w:p>
    <w:p>
      <w:r>
        <w:br w:type="page"/>
      </w:r>
    </w:p>
    <w:p>
      <w:pPr>
        <w:pStyle w:val="Heading1"/>
        <w:spacing w:after="200" w:before="360"/>
      </w:pPr>
      <w:r>
        <w:rPr>
          <w:rFonts w:ascii="Arial" w:cs="Arial" w:eastAsia="Arial" w:hAnsi="Arial"/>
          <w:b/>
          <w:bCs/>
          <w:sz w:val="32"/>
          <w:szCs w:val="32"/>
        </w:rPr>
        <w:t xml:space="preserve">12. Conclusion</w:t>
      </w:r>
    </w:p>
    <w:p>
      <w:pPr>
        <w:spacing w:after="140"/>
      </w:pPr>
      <w:r>
        <w:rPr>
          <w:rFonts w:ascii="Arial" w:cs="Arial" w:eastAsia="Arial" w:hAnsi="Arial"/>
          <w:sz w:val="22"/>
          <w:szCs w:val="22"/>
        </w:rPr>
        <w:t xml:space="preserve">This methodology appendix documents the complete computational pipeline for HUF Systems 10–12. Every analysis follows the same protocol: parse raw data, classify regimes under the unity constraint, compute weights and drift, calculate MDG, and render results into case study documents. The pipeline is deterministic — given the same input files and the same scripts, the same outputs are produced.</w:t>
      </w:r>
    </w:p>
    <w:p>
      <w:pPr>
        <w:spacing w:after="140"/>
      </w:pPr>
      <w:r>
        <w:rPr>
          <w:rFonts w:ascii="Arial" w:cs="Arial" w:eastAsia="Arial" w:hAnsi="Arial"/>
          <w:sz w:val="22"/>
          <w:szCs w:val="22"/>
        </w:rPr>
        <w:t xml:space="preserve">The HUF framework has now been applied to three independent domains (transit operations, urban infrastructure, and space science) using data from three different countries’ institutions (TTC/Canada, City of Toronto/Canada, ESA/Europe). In every case, the unity constraint holds, K_eff reveals the effective complexity of the system, and MDG provides a meaningful cross-domain comparison metric.</w:t>
      </w:r>
    </w:p>
    <w:p>
      <w:pPr>
        <w:spacing w:after="140"/>
      </w:pPr>
      <w:r>
        <w:rPr>
          <w:rFonts w:ascii="Arial" w:cs="Arial" w:eastAsia="Arial" w:hAnsi="Arial"/>
          <w:sz w:val="22"/>
          <w:szCs w:val="22"/>
        </w:rPr>
        <w:t xml:space="preserve">The remaining work identified by Copilot’s review (public repository, uncertainty quantification, HEALPix processing, causal robustness tests, changepoint detection) represents packaging and refinement, not foundational corrections. The framework stands.</w:t>
      </w:r>
    </w:p>
    <w:p>
      <w:pPr>
        <w:spacing w:after="200"/>
      </w:pPr>
    </w:p>
    <w:p>
      <w:pPr>
        <w:spacing w:after="140"/>
      </w:pPr>
      <w:r>
        <w:rPr>
          <w:rFonts w:ascii="Arial" w:cs="Arial" w:eastAsia="Arial" w:hAnsi="Arial"/>
          <w:sz w:val="20"/>
          <w:szCs w:val="20"/>
        </w:rPr>
        <w:t xml:space="preserve"/>
      </w:r>
      <w:r>
        <w:rPr>
          <w:rFonts w:ascii="Arial" w:cs="Arial" w:eastAsia="Arial" w:hAnsi="Arial"/>
          <w:b/>
          <w:bCs/>
          <w:sz w:val="20"/>
          <w:szCs w:val="20"/>
        </w:rPr>
        <w:t xml:space="preserve">Peter Higgins (Operator) | Grok (xAI) | Claude (Anthropic) | ChatGPT (OpenAI) | Gemini (Google) | Copilot (Microsoft)</w:t>
      </w:r>
      <w:r>
        <w:rPr>
          <w:rFonts w:ascii="Arial" w:cs="Arial" w:eastAsia="Arial" w:hAnsi="Arial"/>
          <w:sz w:val="20"/>
          <w:szCs w:val="20"/>
        </w:rPr>
        <w:t xml:space="preserve"/>
      </w:r>
    </w:p>
    <w:p>
      <w:pPr>
        <w:spacing w:after="140"/>
      </w:pPr>
      <w:r>
        <w:rPr>
          <w:rFonts w:ascii="Arial" w:cs="Arial" w:eastAsia="Arial" w:hAnsi="Arial"/>
          <w:sz w:val="20"/>
          <w:szCs w:val="20"/>
        </w:rPr>
        <w:t xml:space="preserve"/>
      </w:r>
      <w:r>
        <w:rPr>
          <w:rFonts w:ascii="Arial" w:cs="Arial" w:eastAsia="Arial" w:hAnsi="Arial"/>
          <w:b/>
          <w:bCs/>
          <w:sz w:val="20"/>
          <w:szCs w:val="20"/>
        </w:rPr>
        <w:t xml:space="preserve">OCC: 51/49 | Unity: Σρ_i = 1</w:t>
      </w:r>
      <w:r>
        <w:rPr>
          <w:rFonts w:ascii="Arial" w:cs="Arial" w:eastAsia="Arial" w:hAnsi="Arial"/>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Methodology Appendix | Systems 10–12 | 9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2026-03-09T03:42:45.095Z</dcterms:created>
  <dcterms:modified xsi:type="dcterms:W3CDTF">2026-03-09T03:42:45.095Z</dcterms:modified>
</cp:coreProperties>
</file>

<file path=docProps/custom.xml><?xml version="1.0" encoding="utf-8"?>
<Properties xmlns="http://schemas.openxmlformats.org/officeDocument/2006/custom-properties" xmlns:vt="http://schemas.openxmlformats.org/officeDocument/2006/docPropsVTypes"/>
</file>