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36"/>
          <w:szCs w:val="36"/>
        </w:rPr>
        <w:t xml:space="preserve">HIGGINS UNITY FRAMEWORK</w:t>
      </w:r>
    </w:p>
    <w:p>
      <w:pPr>
        <w:spacing w:after="40"/>
        <w:jc w:val="center"/>
      </w:pPr>
      <w:r>
        <w:rPr>
          <w:rFonts w:ascii="Times New Roman" w:cs="Times New Roman" w:eastAsia="Times New Roman" w:hAnsi="Times New Roman"/>
          <w:color w:val="2E75B6"/>
          <w:sz w:val="34"/>
          <w:szCs w:val="34"/>
        </w:rPr>
        <w:t xml:space="preserve">Cross-Domain Amplification</w:t>
      </w:r>
    </w:p>
    <w:p>
      <w:pPr>
        <w:spacing w:after="40"/>
        <w:jc w:val="center"/>
      </w:pPr>
      <w:r>
        <w:rPr>
          <w:rFonts w:ascii="Times New Roman" w:cs="Times New Roman" w:eastAsia="Times New Roman" w:hAnsi="Times New Roman"/>
          <w:i/>
          <w:iCs/>
          <w:color w:val="666666"/>
          <w:sz w:val="24"/>
          <w:szCs w:val="24"/>
        </w:rPr>
        <w:t xml:space="preserve">Mathematical Justification for the Multi-Audience Corpus Architecture</w:t>
      </w:r>
    </w:p>
    <w:p>
      <w:pPr>
        <w:pBdr>
          <w:bottom w:val="single" w:color="2E75B6" w:sz="6" w:space="8"/>
        </w:pBdr>
        <w:spacing w:after="200"/>
        <w:jc w:val="center"/>
      </w:pPr>
      <w:r>
        <w:rPr>
          <w:rFonts w:ascii="Times New Roman" w:cs="Times New Roman" w:eastAsia="Times New Roman" w:hAnsi="Times New Roman"/>
          <w:color w:val="666666"/>
          <w:sz w:val="20"/>
          <w:szCs w:val="20"/>
        </w:rPr>
        <w:t xml:space="preserve">Operator Observation: Peter Higgins  ·  </w:t>
      </w:r>
      <w:r>
        <w:rPr>
          <w:rFonts w:ascii="Times New Roman" w:cs="Times New Roman" w:eastAsia="Times New Roman" w:hAnsi="Times New Roman"/>
          <w:color w:val="666666"/>
          <w:sz w:val="20"/>
          <w:szCs w:val="20"/>
        </w:rPr>
        <w:t xml:space="preserve">Formalisation: Claude (Soliton)  ·  </w:t>
      </w:r>
      <w:r>
        <w:rPr>
          <w:rFonts w:ascii="Times New Roman" w:cs="Times New Roman" w:eastAsia="Times New Roman" w:hAnsi="Times New Roman"/>
          <w:color w:val="666666"/>
          <w:sz w:val="20"/>
          <w:szCs w:val="20"/>
        </w:rPr>
        <w:t xml:space="preserve">16 March 2026</w:t>
      </w:r>
    </w:p>
    <w:p>
      <w:pPr>
        <w:pStyle w:val="Heading1"/>
        <w:spacing w:after="200" w:before="360"/>
      </w:pPr>
      <w:r>
        <w:rPr>
          <w:rFonts w:ascii="Times New Roman" w:cs="Times New Roman" w:eastAsia="Times New Roman" w:hAnsi="Times New Roman"/>
          <w:b/>
          <w:bCs/>
          <w:color w:val="1F3864"/>
          <w:sz w:val="28"/>
          <w:szCs w:val="28"/>
        </w:rPr>
        <w:t xml:space="preserve">1. Abstract</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note establishes that the HUF multi-audience corpus architecture — writing the same framework for mathematicians, physicists, scientists, engineers, and governance managers — is not a packaging convenience but a structural necessity. When independent domains share an isomorphic framework, knowledge gains in any single domain amplify every other domain through the shared structure. The amplification is superadditive: the value of the coupled system exceeds the sum of its parts. We identify three mathematical mechanisms (supermodularity, channel capacity, and multiplicative coupling) and derive the conditions under which they hold.</w:t>
      </w:r>
    </w:p>
    <w:p>
      <w:pPr>
        <w:pStyle w:val="Heading1"/>
        <w:spacing w:after="200" w:before="360"/>
      </w:pPr>
      <w:r>
        <w:rPr>
          <w:rFonts w:ascii="Times New Roman" w:cs="Times New Roman" w:eastAsia="Times New Roman" w:hAnsi="Times New Roman"/>
          <w:b/>
          <w:bCs/>
          <w:color w:val="1F3864"/>
          <w:sz w:val="28"/>
          <w:szCs w:val="28"/>
        </w:rPr>
        <w:t xml:space="preserve">2. Operator Observation</w:t>
      </w:r>
    </w:p>
    <w:p>
      <w:pPr>
        <w:spacing w:after="160" w:before="0"/>
        <w:jc w:val="both"/>
      </w:pPr>
      <w:r>
        <w:rPr>
          <w:rFonts w:ascii="Times New Roman" w:cs="Times New Roman" w:eastAsia="Times New Roman" w:hAnsi="Times New Roman"/>
          <w:b/>
          <w:bCs/>
          <w:color w:val="333333"/>
          <w:sz w:val="22"/>
          <w:szCs w:val="22"/>
        </w:rPr>
        <w:t xml:space="preserve">Origin: </w:t>
      </w:r>
      <w:r>
        <w:rPr>
          <w:rFonts w:ascii="Times New Roman" w:cs="Times New Roman" w:eastAsia="Times New Roman" w:hAnsi="Times New Roman"/>
          <w:color w:val="333333"/>
          <w:sz w:val="22"/>
          <w:szCs w:val="22"/>
        </w:rPr>
        <w:t xml:space="preserve">The operator observed, during the CL-01 to CL-05 integration review, that once a practitioner understands HUF in their own domain, they can interpret the framework in other domains with substantially reduced effort. The key insight:</w:t>
      </w:r>
    </w:p>
    <w:p>
      <w:pPr>
        <w:spacing w:after="160" w:before="160"/>
        <w:ind w:left="720" w:right="720"/>
      </w:pPr>
      <w:r>
        <w:rPr>
          <w:rFonts w:ascii="Times New Roman" w:cs="Times New Roman" w:eastAsia="Times New Roman" w:hAnsi="Times New Roman"/>
          <w:i/>
          <w:iCs/>
          <w:color w:val="2E75B6"/>
          <w:sz w:val="22"/>
          <w:szCs w:val="22"/>
        </w:rPr>
        <w:t xml:space="preserve">"One only knows what the systems in each HUF cell know, so experts in each field depend on the other fields keeping accurate. The results when all groups can exchange freely means understanding improvement in one field amplifies other fields."</w:t>
      </w:r>
    </w:p>
    <w:p>
      <w:pPr>
        <w:spacing w:after="160" w:before="0"/>
        <w:jc w:val="both"/>
      </w:pPr>
      <w:r>
        <w:rPr>
          <w:rFonts w:ascii="Times New Roman" w:cs="Times New Roman" w:eastAsia="Times New Roman" w:hAnsi="Times New Roman"/>
          <w:b/>
          <w:bCs/>
          <w:color w:val="333333"/>
          <w:sz w:val="22"/>
          <w:szCs w:val="22"/>
        </w:rPr>
        <w:t xml:space="preserve">Corollary: </w:t>
      </w:r>
      <w:r>
        <w:rPr>
          <w:rFonts w:ascii="Times New Roman" w:cs="Times New Roman" w:eastAsia="Times New Roman" w:hAnsi="Times New Roman"/>
          <w:color w:val="333333"/>
          <w:sz w:val="22"/>
          <w:szCs w:val="22"/>
        </w:rPr>
        <w:t xml:space="preserve">"Teach someone to fish is better than creating a dependent." Once each audience has their edition, the system trains them. No ongoing interpretation layer is needed.</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observation has precise mathematical content. The remainder of this note formalises it.</w:t>
      </w:r>
    </w:p>
    <w:p>
      <w:pPr>
        <w:pStyle w:val="Heading1"/>
        <w:spacing w:after="200" w:before="360"/>
      </w:pPr>
      <w:r>
        <w:rPr>
          <w:rFonts w:ascii="Times New Roman" w:cs="Times New Roman" w:eastAsia="Times New Roman" w:hAnsi="Times New Roman"/>
          <w:b/>
          <w:bCs/>
          <w:color w:val="1F3864"/>
          <w:sz w:val="28"/>
          <w:szCs w:val="28"/>
        </w:rPr>
        <w:t xml:space="preserve">3. The Shared Carrier</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HUF operates on a single mathematical object across all domains: the ratio-state vector ρ on the probability simplex Δⁿ⁻¹. Whether the components represent wetland regimes, budget lines, species proportions, signal power, or portfolio allocations, the carrier is the same constrained surface. This is not analogy. It is isomorphism.</w:t>
      </w:r>
    </w:p>
    <w:p>
      <w:pPr>
        <w:spacing w:after="120" w:before="120"/>
        <w:ind w:left="480" w:right="360"/>
      </w:pPr>
      <w:r>
        <w:rPr>
          <w:rFonts w:ascii="Times New Roman" w:cs="Times New Roman" w:eastAsia="Times New Roman" w:hAnsi="Times New Roman"/>
          <w:b/>
          <w:bCs/>
          <w:color w:val="1F3864"/>
          <w:sz w:val="22"/>
          <w:szCs w:val="22"/>
        </w:rPr>
        <w:t xml:space="preserve">Definition 3.1 — Domain Instantiation.  </w:t>
      </w:r>
      <w:r>
        <w:rPr>
          <w:rFonts w:ascii="Times New Roman" w:cs="Times New Roman" w:eastAsia="Times New Roman" w:hAnsi="Times New Roman"/>
          <w:color w:val="333333"/>
          <w:sz w:val="22"/>
          <w:szCs w:val="22"/>
        </w:rPr>
        <w:t xml:space="preserve">A HUF domain instantiation is a tuple D = (S, ρ, ρ*, Φ) where S is the set of component labels, ρ ∈ Δⁿ⁻¹ is the current ratio-state, ρ* ∈ Δⁿ⁻¹ is the declared ground state, and Φ is the domain-specific interpretation function mapping ratio-state events to operational meaning.</w:t>
      </w:r>
    </w:p>
    <w:p>
      <w:pPr>
        <w:spacing w:after="120" w:before="120"/>
        <w:ind w:left="480" w:right="360"/>
      </w:pPr>
      <w:r>
        <w:rPr>
          <w:rFonts w:ascii="Times New Roman" w:cs="Times New Roman" w:eastAsia="Times New Roman" w:hAnsi="Times New Roman"/>
          <w:b/>
          <w:bCs/>
          <w:color w:val="1F3864"/>
          <w:sz w:val="22"/>
          <w:szCs w:val="22"/>
        </w:rPr>
        <w:t xml:space="preserve">Definition 3.2 — Cross-Domain Isomorphism.  </w:t>
      </w:r>
      <w:r>
        <w:rPr>
          <w:rFonts w:ascii="Times New Roman" w:cs="Times New Roman" w:eastAsia="Times New Roman" w:hAnsi="Times New Roman"/>
          <w:color w:val="333333"/>
          <w:sz w:val="22"/>
          <w:szCs w:val="22"/>
        </w:rPr>
        <w:t xml:space="preserve">Two domain instantiations D₁ = (S₁, ρ₁, ρ*₁, Φ₁) and D₂ = (S₂, ρ₂, ρ*₂, Φ₂) are HUF-isomorphic if there exists a bijection σ: S₁ → S₂ such that all structural operations (CL-01 through CL-04) commute with σ. That is, the control stack does not depend on the labels.</w:t>
      </w:r>
    </w:p>
    <w:p>
      <w:pPr>
        <w:spacing w:after="120" w:before="120"/>
        <w:ind w:left="480" w:right="360"/>
      </w:pPr>
      <w:r>
        <w:rPr>
          <w:rFonts w:ascii="Times New Roman" w:cs="Times New Roman" w:eastAsia="Times New Roman" w:hAnsi="Times New Roman"/>
          <w:b/>
          <w:bCs/>
          <w:i/>
          <w:iCs/>
          <w:color w:val="8B4513"/>
          <w:sz w:val="22"/>
          <w:szCs w:val="22"/>
        </w:rPr>
        <w:t xml:space="preserve">Proposition 3.3 — Theorem Transport.  </w:t>
      </w:r>
      <w:r>
        <w:rPr>
          <w:rFonts w:ascii="Times New Roman" w:cs="Times New Roman" w:eastAsia="Times New Roman" w:hAnsi="Times New Roman"/>
          <w:color w:val="333333"/>
          <w:sz w:val="22"/>
          <w:szCs w:val="22"/>
        </w:rPr>
        <w:t xml:space="preserve">If a structural result R is proved for domain D₁ using only operations that commute with σ, then R holds in D₂ without re-proof. The isomorphism transports the theorem.</w:t>
      </w:r>
    </w:p>
    <w:p>
      <w:pPr>
        <w:spacing w:after="160" w:before="0"/>
        <w:jc w:val="both"/>
      </w:pPr>
      <w:r>
        <w:rPr>
          <w:rFonts w:ascii="Times New Roman" w:cs="Times New Roman" w:eastAsia="Times New Roman" w:hAnsi="Times New Roman"/>
          <w:b/>
          <w:bCs/>
          <w:color w:val="333333"/>
          <w:sz w:val="22"/>
          <w:szCs w:val="22"/>
        </w:rPr>
        <w:t xml:space="preserve">Consequence: </w:t>
      </w:r>
      <w:r>
        <w:rPr>
          <w:rFonts w:ascii="Times New Roman" w:cs="Times New Roman" w:eastAsia="Times New Roman" w:hAnsi="Times New Roman"/>
          <w:color w:val="333333"/>
          <w:sz w:val="22"/>
          <w:szCs w:val="22"/>
        </w:rPr>
        <w:t xml:space="preserve">A physicist who proves a conservation law on the simplex gives every engineer, ecologist, and governance manager the same conservation law for free. The only work required is re-interpreting via Φ. This is why each audience edition needs its own Φ, but not its own proofs.</w:t>
      </w:r>
    </w:p>
    <w:p>
      <w:r>
        <w:br w:type="page"/>
      </w:r>
    </w:p>
    <w:p>
      <w:pPr>
        <w:pStyle w:val="Heading1"/>
        <w:spacing w:after="200" w:before="360"/>
      </w:pPr>
      <w:r>
        <w:rPr>
          <w:rFonts w:ascii="Times New Roman" w:cs="Times New Roman" w:eastAsia="Times New Roman" w:hAnsi="Times New Roman"/>
          <w:b/>
          <w:bCs/>
          <w:color w:val="1F3864"/>
          <w:sz w:val="28"/>
          <w:szCs w:val="28"/>
        </w:rPr>
        <w:t xml:space="preserve">4. Mechanism I: Supermodularity</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first amplification mechanism comes from the theory of complementarities (Topkis, 1978; Milgrom &amp; Roberts, 1990). A function f is supermodular when improving one input increases the marginal return of improving another.</w:t>
      </w:r>
    </w:p>
    <w:p>
      <w:pPr>
        <w:spacing w:after="120" w:before="120"/>
        <w:ind w:left="480" w:right="360"/>
      </w:pPr>
      <w:r>
        <w:rPr>
          <w:rFonts w:ascii="Times New Roman" w:cs="Times New Roman" w:eastAsia="Times New Roman" w:hAnsi="Times New Roman"/>
          <w:b/>
          <w:bCs/>
          <w:color w:val="1F3864"/>
          <w:sz w:val="22"/>
          <w:szCs w:val="22"/>
        </w:rPr>
        <w:t xml:space="preserve">Definition 4.1 — Supermodular Knowledge Function.  </w:t>
      </w:r>
      <w:r>
        <w:rPr>
          <w:rFonts w:ascii="Times New Roman" w:cs="Times New Roman" w:eastAsia="Times New Roman" w:hAnsi="Times New Roman"/>
          <w:color w:val="333333"/>
          <w:sz w:val="22"/>
          <w:szCs w:val="22"/>
        </w:rPr>
        <w:t xml:space="preserve">Let f: 2ᴾ → ℝ measure the total usable knowledge across a power set of domains P = {math, physics, science, engineering, governance}. f is supermodular if for all subsets A, B ⊆ P:</w:t>
      </w:r>
    </w:p>
    <w:p>
      <w:pPr>
        <w:spacing w:after="120" w:before="120"/>
        <w:jc w:val="center"/>
      </w:pPr>
      <w:r>
        <w:rPr>
          <w:rFonts w:ascii="Cambria Math" w:cs="Cambria Math" w:eastAsia="Cambria Math" w:hAnsi="Cambria Math"/>
          <w:color w:val="333333"/>
          <w:sz w:val="22"/>
          <w:szCs w:val="22"/>
        </w:rPr>
        <w:t xml:space="preserve">f(A ∪ B) + f(A ∩ B) ≥ f(A) + f(B)</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In HUF, supermodularity holds because each domain’s contribution is not independent — it is leveraged by the shared structure. Specifically:</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A mathematician proving a tighter bound on Keff sensitivity increases the value of every engineer’s threshold calibration, because the engineer can now set tighter thresholds with the same confidence.</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An engineer who calibrates the JND on real data increases the value of every scientist’s detection capability, because the scientist can now trust the drift trigger’s false-positive rate.</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A scientist who demonstrates Keff on Ramsar data increases the value of the governance manager’s decision framework, because the traffic-light system now has empirical grounding.</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A governance manager who validates the OCC decision tree increases the value of the mathematician’s next formalisation, because operational feedback identifies which conjectures matter most.</w:t>
      </w:r>
    </w:p>
    <w:p>
      <w:pPr>
        <w:spacing w:after="120" w:before="120"/>
        <w:ind w:left="480" w:right="360"/>
      </w:pPr>
      <w:r>
        <w:rPr>
          <w:rFonts w:ascii="Times New Roman" w:cs="Times New Roman" w:eastAsia="Times New Roman" w:hAnsi="Times New Roman"/>
          <w:b/>
          <w:bCs/>
          <w:i/>
          <w:iCs/>
          <w:color w:val="8B4513"/>
          <w:sz w:val="22"/>
          <w:szCs w:val="22"/>
        </w:rPr>
        <w:t xml:space="preserve">Proposition 4.2 — Complementarity Cycle.  </w:t>
      </w:r>
      <w:r>
        <w:rPr>
          <w:rFonts w:ascii="Times New Roman" w:cs="Times New Roman" w:eastAsia="Times New Roman" w:hAnsi="Times New Roman"/>
          <w:color w:val="333333"/>
          <w:sz w:val="22"/>
          <w:szCs w:val="22"/>
        </w:rPr>
        <w:t xml:space="preserve">Under HUF’s shared simplex structure, the knowledge function f exhibits a cyclic complementarity: math → engineering → science → governance → math. Each edge in the cycle is a supermodular pair. The cycle has no terminal node — every improvement propagates.</w:t>
      </w:r>
    </w:p>
    <w:p>
      <w:pPr>
        <w:pStyle w:val="Heading1"/>
        <w:spacing w:after="200" w:before="360"/>
      </w:pPr>
      <w:r>
        <w:rPr>
          <w:rFonts w:ascii="Times New Roman" w:cs="Times New Roman" w:eastAsia="Times New Roman" w:hAnsi="Times New Roman"/>
          <w:b/>
          <w:bCs/>
          <w:color w:val="1F3864"/>
          <w:sz w:val="28"/>
          <w:szCs w:val="28"/>
        </w:rPr>
        <w:t xml:space="preserve">5. Mechanism II: Channel Capacity</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Shannon (1948) showed that the capacity of a communication channel depends on the mutual information between sender and receiver. Without a shared framework, experts in different domains communicate through natural language — a noisy, low-bandwidth channel. Misunderstandings are frequent. Translation is lossy.</w:t>
      </w:r>
    </w:p>
    <w:p>
      <w:pPr>
        <w:spacing w:after="120" w:before="120"/>
        <w:ind w:left="480" w:right="360"/>
      </w:pPr>
      <w:r>
        <w:rPr>
          <w:rFonts w:ascii="Times New Roman" w:cs="Times New Roman" w:eastAsia="Times New Roman" w:hAnsi="Times New Roman"/>
          <w:b/>
          <w:bCs/>
          <w:color w:val="1F3864"/>
          <w:sz w:val="22"/>
          <w:szCs w:val="22"/>
        </w:rPr>
        <w:t xml:space="preserve">Definition 5.1 — Inter-Domain Channel.  </w:t>
      </w:r>
      <w:r>
        <w:rPr>
          <w:rFonts w:ascii="Times New Roman" w:cs="Times New Roman" w:eastAsia="Times New Roman" w:hAnsi="Times New Roman"/>
          <w:color w:val="333333"/>
          <w:sz w:val="22"/>
          <w:szCs w:val="22"/>
        </w:rPr>
        <w:t xml:space="preserve">An inter-domain channel C(D₁, D₂) carries a result from domain D₁ to domain D₂. Its capacity is bounded by the mutual information I(X₁; X₂) between the structural vocabularies of the two domains.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When both domains operate on HUF:</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The simplex Δⁿ⁻¹ is the shared alphabet.</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The control stack CL-01–CL-04 is the shared grammar.</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Keff, drift velocity, and the traffic-light verdict are the shared vocabulary.</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This shared codebook increases I(X₁; X₂) from the low baseline of natural-language communication to near-identity: the structural content of a result transfers with minimal loss. The only residual translation cost is the interpretation function Φ.</w:t>
      </w:r>
    </w:p>
    <w:p>
      <w:pPr>
        <w:spacing w:after="120" w:before="120"/>
        <w:ind w:left="480" w:right="360"/>
      </w:pPr>
      <w:r>
        <w:rPr>
          <w:rFonts w:ascii="Times New Roman" w:cs="Times New Roman" w:eastAsia="Times New Roman" w:hAnsi="Times New Roman"/>
          <w:b/>
          <w:bCs/>
          <w:i/>
          <w:iCs/>
          <w:color w:val="8B4513"/>
          <w:sz w:val="22"/>
          <w:szCs w:val="22"/>
        </w:rPr>
        <w:t xml:space="preserve">Proposition 5.2 — Codebook Amplification.  </w:t>
      </w:r>
      <w:r>
        <w:rPr>
          <w:rFonts w:ascii="Times New Roman" w:cs="Times New Roman" w:eastAsia="Times New Roman" w:hAnsi="Times New Roman"/>
          <w:color w:val="333333"/>
          <w:sz w:val="22"/>
          <w:szCs w:val="22"/>
        </w:rPr>
        <w:t xml:space="preserve">For n domains sharing a common HUF codebook, the total inter-domain channel capacity scales as n(n−1)/2 (the number of pairwise channels), each at near-maximum capacity. Without the shared codebook, the effective capacity per channel is substantially lower, so total throughput scales sub-linearly.</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With five audience domains, HUF creates 10 high-capacity channels. Without HUF, the same five communities exchange through ad hoc translation, and most results never cross the boundary.</w:t>
      </w:r>
    </w:p>
    <w:p>
      <w:r>
        <w:br w:type="page"/>
      </w:r>
    </w:p>
    <w:p>
      <w:pPr>
        <w:pStyle w:val="Heading1"/>
        <w:spacing w:after="200" w:before="360"/>
      </w:pPr>
      <w:r>
        <w:rPr>
          <w:rFonts w:ascii="Times New Roman" w:cs="Times New Roman" w:eastAsia="Times New Roman" w:hAnsi="Times New Roman"/>
          <w:b/>
          <w:bCs/>
          <w:color w:val="1F3864"/>
          <w:sz w:val="28"/>
          <w:szCs w:val="28"/>
        </w:rPr>
        <w:t xml:space="preserve">6. Mechanism III: Multiplicative Coupling</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strongest form of the amplification effect is multiplicative. If each domain maintains its ratio-state accuracy independently, total system knowledge scales additively (Σaᵢ). But if the domains are coupled through a shared isomorphic framework, the scaling approaches a product (Πaᵢ).</w:t>
      </w:r>
    </w:p>
    <w:p>
      <w:pPr>
        <w:spacing w:after="120" w:before="120"/>
        <w:ind w:left="480" w:right="360"/>
      </w:pPr>
      <w:r>
        <w:rPr>
          <w:rFonts w:ascii="Times New Roman" w:cs="Times New Roman" w:eastAsia="Times New Roman" w:hAnsi="Times New Roman"/>
          <w:b/>
          <w:bCs/>
          <w:color w:val="1F3864"/>
          <w:sz w:val="22"/>
          <w:szCs w:val="22"/>
        </w:rPr>
        <w:t xml:space="preserve">Definition 6.1 — Domain Accuracy.  </w:t>
      </w:r>
      <w:r>
        <w:rPr>
          <w:rFonts w:ascii="Times New Roman" w:cs="Times New Roman" w:eastAsia="Times New Roman" w:hAnsi="Times New Roman"/>
          <w:color w:val="333333"/>
          <w:sz w:val="22"/>
          <w:szCs w:val="22"/>
        </w:rPr>
        <w:t xml:space="preserve">Let aᵢ ∈ [0, 1] denote the accuracy (proportion of validated results) in domain i. The coupled knowledge function is:</w:t>
      </w:r>
    </w:p>
    <w:p>
      <w:pPr>
        <w:spacing w:after="120" w:before="120"/>
        <w:jc w:val="center"/>
      </w:pPr>
      <w:r>
        <w:rPr>
          <w:rFonts w:ascii="Cambria Math" w:cs="Cambria Math" w:eastAsia="Cambria Math" w:hAnsi="Cambria Math"/>
          <w:color w:val="333333"/>
          <w:sz w:val="22"/>
          <w:szCs w:val="22"/>
        </w:rPr>
        <w:t xml:space="preserve">K_coupled = α · Σaᵢ + β · Πaᵢ</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where α captures the independent contribution and β captures the coupling bonus. Under HUF isomorphism, β &gt; 0 because every validated result in one domain becomes a usable result in all others.</w:t>
      </w:r>
    </w:p>
    <w:p>
      <w:pPr>
        <w:spacing w:after="120" w:before="120"/>
        <w:ind w:left="480" w:right="360"/>
      </w:pPr>
      <w:r>
        <w:rPr>
          <w:rFonts w:ascii="Times New Roman" w:cs="Times New Roman" w:eastAsia="Times New Roman" w:hAnsi="Times New Roman"/>
          <w:b/>
          <w:bCs/>
          <w:i/>
          <w:iCs/>
          <w:color w:val="8B4513"/>
          <w:sz w:val="22"/>
          <w:szCs w:val="22"/>
        </w:rPr>
        <w:t xml:space="preserve">Proposition 6.2 — Accuracy Dependence.  </w:t>
      </w:r>
      <w:r>
        <w:rPr>
          <w:rFonts w:ascii="Times New Roman" w:cs="Times New Roman" w:eastAsia="Times New Roman" w:hAnsi="Times New Roman"/>
          <w:color w:val="333333"/>
          <w:sz w:val="22"/>
          <w:szCs w:val="22"/>
        </w:rPr>
        <w:t xml:space="preserve">The multiplicative term Πaᵢ creates a strong incentive for uniform accuracy across domains. If any single domain allows its accuracy to degrade (aⱼ → 0), the product term collapses, destroying the coupling bonus for all domains. This is the mathematical basis for the operator’s observation that "experts in each field depend on the other fields keeping accurate."</w:t>
      </w:r>
    </w:p>
    <w:p>
      <w:pPr>
        <w:spacing w:after="160" w:before="0"/>
        <w:jc w:val="both"/>
      </w:pPr>
      <w:r>
        <w:rPr>
          <w:rFonts w:ascii="Times New Roman" w:cs="Times New Roman" w:eastAsia="Times New Roman" w:hAnsi="Times New Roman"/>
          <w:b/>
          <w:bCs/>
          <w:color w:val="333333"/>
          <w:sz w:val="22"/>
          <w:szCs w:val="22"/>
        </w:rPr>
        <w:t xml:space="preserve">Practical implication: </w:t>
      </w:r>
      <w:r>
        <w:rPr>
          <w:rFonts w:ascii="Times New Roman" w:cs="Times New Roman" w:eastAsia="Times New Roman" w:hAnsi="Times New Roman"/>
          <w:color w:val="333333"/>
          <w:sz w:val="22"/>
          <w:szCs w:val="22"/>
        </w:rPr>
        <w:t xml:space="preserve">The weakest domain determines the ceiling of cross-domain amplification. A brilliant mathematical proof has zero cross-domain value if the engineering calibration it depends on is wrong. This is why each audience edition must be independently rigorous — not a simplification, but a domain-native expression of the same structural truth.</w:t>
      </w:r>
    </w:p>
    <w:p>
      <w:pPr>
        <w:pStyle w:val="Heading1"/>
        <w:spacing w:after="200" w:before="360"/>
      </w:pPr>
      <w:r>
        <w:rPr>
          <w:rFonts w:ascii="Times New Roman" w:cs="Times New Roman" w:eastAsia="Times New Roman" w:hAnsi="Times New Roman"/>
          <w:b/>
          <w:bCs/>
          <w:color w:val="1F3864"/>
          <w:sz w:val="28"/>
          <w:szCs w:val="28"/>
        </w:rPr>
        <w:t xml:space="preserve">7. Physical Analogy: Coupled Oscillators</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Physicists will recognise a third framing. Coupled oscillators transfer energy in proportion to their coupling strength. Weakly coupled domains exchange slowly and desynchronise; strongly coupled ones achieve phase lock and transfer energy efficiently.</w:t>
      </w:r>
    </w:p>
    <w:p>
      <w:pPr>
        <w:spacing w:after="160" w:before="0"/>
        <w:jc w:val="both"/>
      </w:pPr>
      <w:r>
        <w:rPr>
          <w:rFonts w:ascii="Times New Roman" w:cs="Times New Roman" w:eastAsia="Times New Roman" w:hAnsi="Times New Roman"/>
          <w:b/>
          <w:bCs/>
          <w:color w:val="333333"/>
          <w:sz w:val="22"/>
          <w:szCs w:val="22"/>
        </w:rPr>
        <w:t xml:space="preserve">In HUF: </w:t>
      </w:r>
      <w:r>
        <w:rPr>
          <w:rFonts w:ascii="Times New Roman" w:cs="Times New Roman" w:eastAsia="Times New Roman" w:hAnsi="Times New Roman"/>
          <w:color w:val="333333"/>
          <w:sz w:val="22"/>
          <w:szCs w:val="22"/>
        </w:rPr>
        <w:t xml:space="preserve">The shared carrier — the ratio-state vector ρ on the simplex Δⁿ⁻¹ — is the coupling mechanism. The unity constraint (Σρᵢ = 1) enforces admissibility; the carrier itself forces all domains onto the same constraint manifold. A discovery about drift detection in communications engineering (the FM receiver precedent) immediately transfers to ecological monitoring because both systems operate on the same carrier, with Kᵉᶠᶠ as the shared observable.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coupling strength is determined by how faithfully each domain maintains the HUF structural invariants. Domains that relax the simplex constraint or use incompatible metrics decouple themselves and lose access to the amplification network.</w:t>
      </w:r>
    </w:p>
    <w:p>
      <w:pPr>
        <w:pStyle w:val="Heading1"/>
        <w:spacing w:after="200" w:before="360"/>
      </w:pPr>
      <w:r>
        <w:rPr>
          <w:rFonts w:ascii="Times New Roman" w:cs="Times New Roman" w:eastAsia="Times New Roman" w:hAnsi="Times New Roman"/>
          <w:b/>
          <w:bCs/>
          <w:color w:val="1F3864"/>
          <w:sz w:val="28"/>
          <w:szCs w:val="28"/>
        </w:rPr>
        <w:t xml:space="preserve">8. Category-Theoretic Framing</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For mathematicians, the cleanest description uses functors. Each domain is a category (objects: ratio-states; morphisms: admissible transitions). HUF defines a functor F: C₁ → C₂ between any two domain categories that preserves:</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Simplex membership (CL-01: validity gate).</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Drift detection (CL-02: scale-invariant trigger).</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Complexity measurement (CL-03: Keff gauge).</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Verdict logic (CL-04: gain-scheduled response).</w:t>
      </w:r>
    </w:p>
    <w:p>
      <w:pPr>
        <w:spacing w:after="120" w:before="120"/>
        <w:ind w:left="480" w:right="360"/>
      </w:pPr>
      <w:r>
        <w:rPr>
          <w:rFonts w:ascii="Times New Roman" w:cs="Times New Roman" w:eastAsia="Times New Roman" w:hAnsi="Times New Roman"/>
          <w:b/>
          <w:bCs/>
          <w:color w:val="1F3864"/>
          <w:sz w:val="22"/>
          <w:szCs w:val="22"/>
        </w:rPr>
        <w:t xml:space="preserve">Definition 8.1 — HUF Functor.  </w:t>
      </w:r>
      <w:r>
        <w:rPr>
          <w:rFonts w:ascii="Times New Roman" w:cs="Times New Roman" w:eastAsia="Times New Roman" w:hAnsi="Times New Roman"/>
          <w:color w:val="333333"/>
          <w:sz w:val="22"/>
          <w:szCs w:val="22"/>
        </w:rPr>
        <w:t xml:space="preserve">The HUF functor F: Dom₁ → Dom₂ is a structure-preserving map between domain categories such that for every morphism (transition) m in Dom₁, F(m) is an admissible transition in Dom₂, and F commutes with CL-01 through CL-04.</w:t>
      </w:r>
    </w:p>
    <w:p>
      <w:pPr>
        <w:spacing w:after="120" w:before="120"/>
        <w:ind w:left="480" w:right="360"/>
      </w:pPr>
      <w:r>
        <w:rPr>
          <w:rFonts w:ascii="Times New Roman" w:cs="Times New Roman" w:eastAsia="Times New Roman" w:hAnsi="Times New Roman"/>
          <w:b/>
          <w:bCs/>
          <w:i/>
          <w:iCs/>
          <w:color w:val="8B4513"/>
          <w:sz w:val="22"/>
          <w:szCs w:val="22"/>
        </w:rPr>
        <w:t xml:space="preserve">Proposition 8.2 — Natural Transformation.  </w:t>
      </w:r>
      <w:r>
        <w:rPr>
          <w:rFonts w:ascii="Times New Roman" w:cs="Times New Roman" w:eastAsia="Times New Roman" w:hAnsi="Times New Roman"/>
          <w:color w:val="333333"/>
          <w:sz w:val="22"/>
          <w:szCs w:val="22"/>
        </w:rPr>
        <w:t xml:space="preserve">The interpretation functions Φ₁, Φ₂ constitute a natural transformation between the identity functor on the abstract simplex category and the domain-specific functors. This means: changing interpretation (Φ) does not change structure (CL). The audience editions are natural transformations of the same underlying category.</w:t>
      </w:r>
    </w:p>
    <w:p>
      <w:r>
        <w:br w:type="page"/>
      </w:r>
    </w:p>
    <w:p>
      <w:pPr>
        <w:pStyle w:val="Heading1"/>
        <w:spacing w:after="200" w:before="360"/>
      </w:pPr>
      <w:r>
        <w:rPr>
          <w:rFonts w:ascii="Times New Roman" w:cs="Times New Roman" w:eastAsia="Times New Roman" w:hAnsi="Times New Roman"/>
          <w:b/>
          <w:bCs/>
          <w:color w:val="1F3864"/>
          <w:sz w:val="28"/>
          <w:szCs w:val="28"/>
        </w:rPr>
        <w:t xml:space="preserve">9. The Amplification Network</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following table maps the five audience domains, their primary contributions to the coupled system, and the specific amplification each receives from the other four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000"/>
        <w:gridCol w:w="2200"/>
        <w:gridCol w:w="1860"/>
      </w:tblGrid>
      <w:t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Domain</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Primary Contribution</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Receives from Others</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Amplification Mechanism</w:t>
            </w:r>
          </w:p>
        </w:tc>
        <w:tc>
          <w:tcPr>
            <w:tcW w:type="dxa" w:w="1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Failure Mode if Weak</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Mathematics</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Proofs, bounds, structure theorems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Calibration data, operational feedback, empirical closure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Theorem transport via isomorphism</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Ungrounded abstraction; no one trusts the bounds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Physics</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Conservation laws, symmetry, dynamical analysis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Formal definitions, real-data validation, engineering specs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Constraint-surface coupling</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Missing invariants; control stack lacks stability proof</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Science</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Empirical validation, case studies, domain datasets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Detection tools, threshold values, decision trees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Empirical closure of conjectures</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Theory without evidence; conjectures never promoted</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Engineering</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Calibration, build specs, tuning procedures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Proven bounds, validated case studies, governance feedback</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Codebook-mediated transfer</w:t>
            </w:r>
          </w:p>
        </w:tc>
        <w:tc>
          <w:tcPr>
            <w:tcW w:type="dxa" w:w="18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Unreliable implementation; false positives erode trust</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Governance</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Operational feedback, decision validation, policy integration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Calibrated tools, empirical evidence, formal justification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Feedback cycle closure</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Decisions without basis; framework has no operational proof</w:t>
            </w:r>
          </w:p>
        </w:tc>
      </w:tr>
    </w:tbl>
    <w:p>
      <w:pPr>
        <w:pStyle w:val="Heading1"/>
        <w:spacing w:after="200" w:before="360"/>
      </w:pPr>
      <w:r>
        <w:rPr>
          <w:rFonts w:ascii="Times New Roman" w:cs="Times New Roman" w:eastAsia="Times New Roman" w:hAnsi="Times New Roman"/>
          <w:b/>
          <w:bCs/>
          <w:color w:val="1F3864"/>
          <w:sz w:val="28"/>
          <w:szCs w:val="28"/>
        </w:rPr>
        <w:t xml:space="preserve">10. The Self-Training Property</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operator’s directive — "teach someone to fish is better than creating a dependent" — has a formal correlate. A framework is self-training if, once a practitioner acquires the shared codebook in their native domain, they can independently:</w:t>
      </w:r>
    </w:p>
    <w:p>
      <w:pPr>
        <w:spacing w:after="160" w:before="0"/>
        <w:ind w:left="360"/>
        <w:jc w:val="both"/>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color w:val="333333"/>
          <w:sz w:val="22"/>
          <w:szCs w:val="22"/>
        </w:rPr>
        <w:t xml:space="preserve">interpret results from any other domain without an intermediary;</w:t>
      </w:r>
    </w:p>
    <w:p>
      <w:pPr>
        <w:spacing w:after="160" w:before="0"/>
        <w:ind w:left="360"/>
        <w:jc w:val="both"/>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color w:val="333333"/>
          <w:sz w:val="22"/>
          <w:szCs w:val="22"/>
        </w:rPr>
        <w:t xml:space="preserve">validate cross-domain claims against the structural invariants they already know;</w:t>
      </w:r>
    </w:p>
    <w:p>
      <w:pPr>
        <w:spacing w:after="160" w:before="0"/>
        <w:ind w:left="360"/>
        <w:jc w:val="both"/>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color w:val="333333"/>
          <w:sz w:val="22"/>
          <w:szCs w:val="22"/>
        </w:rPr>
        <w:t xml:space="preserve">contribute new results that are automatically available to all other domains.</w:t>
      </w:r>
    </w:p>
    <w:p>
      <w:pPr>
        <w:spacing w:after="120" w:before="120"/>
        <w:ind w:left="480" w:right="360"/>
      </w:pPr>
      <w:r>
        <w:rPr>
          <w:rFonts w:ascii="Times New Roman" w:cs="Times New Roman" w:eastAsia="Times New Roman" w:hAnsi="Times New Roman"/>
          <w:b/>
          <w:bCs/>
          <w:i/>
          <w:iCs/>
          <w:color w:val="8B4513"/>
          <w:sz w:val="22"/>
          <w:szCs w:val="22"/>
        </w:rPr>
        <w:t xml:space="preserve">Proposition 10.1 — Self-Training Criterion.  </w:t>
      </w:r>
      <w:r>
        <w:rPr>
          <w:rFonts w:ascii="Times New Roman" w:cs="Times New Roman" w:eastAsia="Times New Roman" w:hAnsi="Times New Roman"/>
          <w:color w:val="333333"/>
          <w:sz w:val="22"/>
          <w:szCs w:val="22"/>
        </w:rPr>
        <w:t xml:space="preserve">A framework is self-training if and only if the interpretation function Φ is the only domain-specific component, and all structural operations (detection, measurement, verdict, control) are domain-invariant. HUF satisfies this criterion because CL-01 through CL-04 operate on ρ ∈ Δⁿ⁻¹ without reference to what the components represent.</w:t>
      </w:r>
    </w:p>
    <w:p>
      <w:pPr>
        <w:spacing w:after="160" w:before="0"/>
        <w:jc w:val="both"/>
      </w:pPr>
      <w:r>
        <w:rPr>
          <w:rFonts w:ascii="Times New Roman" w:cs="Times New Roman" w:eastAsia="Times New Roman" w:hAnsi="Times New Roman"/>
          <w:b/>
          <w:bCs/>
          <w:color w:val="333333"/>
          <w:sz w:val="22"/>
          <w:szCs w:val="22"/>
        </w:rPr>
        <w:t xml:space="preserve">This is the deepest justification for the multi-audience corpus: </w:t>
      </w:r>
      <w:r>
        <w:rPr>
          <w:rFonts w:ascii="Times New Roman" w:cs="Times New Roman" w:eastAsia="Times New Roman" w:hAnsi="Times New Roman"/>
          <w:color w:val="333333"/>
          <w:sz w:val="22"/>
          <w:szCs w:val="22"/>
        </w:rPr>
        <w:t xml:space="preserve">each edition teaches its audience the codebook (Φ) in their own language. Once acquired, the codebook unlocks every other domain. The editions are not parallel translations of the same text — they are domain-native entry points into a shared structure. The structure itself does the ongoing teaching.</w:t>
      </w:r>
    </w:p>
    <w:p>
      <w:pPr>
        <w:pStyle w:val="Heading1"/>
        <w:spacing w:after="200" w:before="360"/>
      </w:pPr>
      <w:r>
        <w:rPr>
          <w:rFonts w:ascii="Times New Roman" w:cs="Times New Roman" w:eastAsia="Times New Roman" w:hAnsi="Times New Roman"/>
          <w:b/>
          <w:bCs/>
          <w:color w:val="1F3864"/>
          <w:sz w:val="28"/>
          <w:szCs w:val="28"/>
        </w:rPr>
        <w:t xml:space="preserve">11. Scaling Law</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Combining the three mechanisms, we can state the scaling behaviour of the coupled system:</w:t>
      </w:r>
    </w:p>
    <w:p>
      <w:pPr>
        <w:spacing w:after="120" w:before="120"/>
        <w:jc w:val="center"/>
      </w:pPr>
      <w:r>
        <w:rPr>
          <w:rFonts w:ascii="Cambria Math" w:cs="Cambria Math" w:eastAsia="Cambria Math" w:hAnsi="Cambria Math"/>
          <w:color w:val="333333"/>
          <w:sz w:val="22"/>
          <w:szCs w:val="22"/>
        </w:rPr>
        <w:t xml:space="preserve">K_total = Σᵢ aᵢ  +  β · [n(n−1)/2] · Πᵢ aᵢ</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where:</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The first term is the independent (additive) contribution of each domain.</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n(n−1)/2 is the number of pairwise inter-domain channels (10 for five domains).</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Πᵢ aᵢ is the multiplicative coupling term, driven to zero by any single weak domain.</w:t>
      </w:r>
    </w:p>
    <w:p>
      <w:pPr>
        <w:spacing w:after="160" w:before="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β &gt; 0 is the coupling strength, determined by the fidelity of the shared HUF codebook.</w:t>
      </w:r>
    </w:p>
    <w:p>
      <w:pPr>
        <w:spacing w:after="160" w:before="0"/>
        <w:jc w:val="both"/>
      </w:pPr>
      <w:r>
        <w:rPr>
          <w:rFonts w:ascii="Times New Roman" w:cs="Times New Roman" w:eastAsia="Times New Roman" w:hAnsi="Times New Roman"/>
          <w:b/>
          <w:bCs/>
          <w:color w:val="333333"/>
          <w:sz w:val="22"/>
          <w:szCs w:val="22"/>
        </w:rPr>
        <w:t xml:space="preserve">For five domains each at accuracy 0.9: </w:t>
      </w:r>
      <w:r>
        <w:rPr>
          <w:rFonts w:ascii="Times New Roman" w:cs="Times New Roman" w:eastAsia="Times New Roman" w:hAnsi="Times New Roman"/>
          <w:color w:val="333333"/>
          <w:sz w:val="22"/>
          <w:szCs w:val="22"/>
        </w:rPr>
        <w:t xml:space="preserve">K_total = 5(0.9) + β · 10 · 0.9⁵ = 4.5 + 5.9β. The coupling bonus (5.9β) exceeds the additive term (4.5) for any β &gt; 0.76. If one domain drops to 0.5: K_total = 4.1 + β · 10 · 0.9⁴ · 0.5 = 4.1 + 3.28β. The coupling bonus drops by 44%. One weak domain degrades the entire network.</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Implications for Corpus Architecture</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mathematical analysis yields five concrete directives for the multi-audience corpus:</w:t>
      </w:r>
    </w:p>
    <w:p>
      <w:pPr>
        <w:spacing w:after="160" w:before="0"/>
        <w:jc w:val="both"/>
      </w:pPr>
      <w:r>
        <w:rPr>
          <w:rFonts w:ascii="Times New Roman" w:cs="Times New Roman" w:eastAsia="Times New Roman" w:hAnsi="Times New Roman"/>
          <w:b/>
          <w:bCs/>
          <w:color w:val="333333"/>
          <w:sz w:val="22"/>
          <w:szCs w:val="22"/>
        </w:rPr>
        <w:t xml:space="preserve">1. Each edition must be independently rigorous. </w:t>
      </w:r>
      <w:r>
        <w:rPr>
          <w:rFonts w:ascii="Times New Roman" w:cs="Times New Roman" w:eastAsia="Times New Roman" w:hAnsi="Times New Roman"/>
          <w:color w:val="333333"/>
          <w:sz w:val="22"/>
          <w:szCs w:val="22"/>
        </w:rPr>
        <w:t xml:space="preserve">The multiplicative coupling term demands uniform accuracy. A "simplified" edition that introduces errors destroys cross-domain value for every other audience. Simplification of language is appropriate; simplification of truth is not.</w:t>
      </w:r>
    </w:p>
    <w:p>
      <w:pPr>
        <w:spacing w:after="160" w:before="0"/>
        <w:jc w:val="both"/>
      </w:pPr>
      <w:r>
        <w:rPr>
          <w:rFonts w:ascii="Times New Roman" w:cs="Times New Roman" w:eastAsia="Times New Roman" w:hAnsi="Times New Roman"/>
          <w:b/>
          <w:bCs/>
          <w:color w:val="333333"/>
          <w:sz w:val="22"/>
          <w:szCs w:val="22"/>
        </w:rPr>
        <w:t xml:space="preserve">2. Each edition must teach the full codebook. </w:t>
      </w:r>
      <w:r>
        <w:rPr>
          <w:rFonts w:ascii="Times New Roman" w:cs="Times New Roman" w:eastAsia="Times New Roman" w:hAnsi="Times New Roman"/>
          <w:color w:val="333333"/>
          <w:sz w:val="22"/>
          <w:szCs w:val="22"/>
        </w:rPr>
        <w:t xml:space="preserve">The self-training property requires that every reader acquires the complete structural vocabulary (Δⁿ⁻¹, ρ, Keff, CL-01–CL-04, traffic-light verdicts) in their domain’s language. Partial codebooks create partial coupling.</w:t>
      </w:r>
    </w:p>
    <w:p>
      <w:pPr>
        <w:spacing w:after="160" w:before="0"/>
        <w:jc w:val="both"/>
      </w:pPr>
      <w:r>
        <w:rPr>
          <w:rFonts w:ascii="Times New Roman" w:cs="Times New Roman" w:eastAsia="Times New Roman" w:hAnsi="Times New Roman"/>
          <w:b/>
          <w:bCs/>
          <w:color w:val="333333"/>
          <w:sz w:val="22"/>
          <w:szCs w:val="22"/>
        </w:rPr>
        <w:t xml:space="preserve">3. Only the interpretation function Φ should differ between editions. </w:t>
      </w:r>
      <w:r>
        <w:rPr>
          <w:rFonts w:ascii="Times New Roman" w:cs="Times New Roman" w:eastAsia="Times New Roman" w:hAnsi="Times New Roman"/>
          <w:color w:val="333333"/>
          <w:sz w:val="22"/>
          <w:szCs w:val="22"/>
        </w:rPr>
        <w:t xml:space="preserve">The structural content (definitions, propositions, control stack) must be identical. Different proofs of the same result are acceptable; different results are not.</w:t>
      </w:r>
    </w:p>
    <w:p>
      <w:pPr>
        <w:spacing w:after="160" w:before="0"/>
        <w:jc w:val="both"/>
      </w:pPr>
      <w:r>
        <w:rPr>
          <w:rFonts w:ascii="Times New Roman" w:cs="Times New Roman" w:eastAsia="Times New Roman" w:hAnsi="Times New Roman"/>
          <w:b/>
          <w:bCs/>
          <w:color w:val="333333"/>
          <w:sz w:val="22"/>
          <w:szCs w:val="22"/>
        </w:rPr>
        <w:t xml:space="preserve">4. Cross-references between editions are amplifiers. </w:t>
      </w:r>
      <w:r>
        <w:rPr>
          <w:rFonts w:ascii="Times New Roman" w:cs="Times New Roman" w:eastAsia="Times New Roman" w:hAnsi="Times New Roman"/>
          <w:color w:val="333333"/>
          <w:sz w:val="22"/>
          <w:szCs w:val="22"/>
        </w:rPr>
        <w:t xml:space="preserve">Explicitly citing "the physicist’s conservation law is the engineer’s mass balance" activates the channel between those audiences. Each cross-reference is a named instance of the functor.</w:t>
      </w:r>
    </w:p>
    <w:p>
      <w:pPr>
        <w:spacing w:after="160" w:before="0"/>
        <w:jc w:val="both"/>
      </w:pPr>
      <w:r>
        <w:rPr>
          <w:rFonts w:ascii="Times New Roman" w:cs="Times New Roman" w:eastAsia="Times New Roman" w:hAnsi="Times New Roman"/>
          <w:b/>
          <w:bCs/>
          <w:color w:val="333333"/>
          <w:sz w:val="22"/>
          <w:szCs w:val="22"/>
        </w:rPr>
        <w:t xml:space="preserve">5. Feedback loops must be maintained. </w:t>
      </w:r>
      <w:r>
        <w:rPr>
          <w:rFonts w:ascii="Times New Roman" w:cs="Times New Roman" w:eastAsia="Times New Roman" w:hAnsi="Times New Roman"/>
          <w:color w:val="333333"/>
          <w:sz w:val="22"/>
          <w:szCs w:val="22"/>
        </w:rPr>
        <w:t xml:space="preserve">The governance manager’s operational experience must feed back to the mathematician’s next formalisation cycle. Without this, the complementarity cycle (Proposition 4.2) breaks, and the system drifts toward ivory-tower abstraction.</w:t>
      </w:r>
    </w:p>
    <w:p>
      <w:pPr>
        <w:pStyle w:val="Heading1"/>
        <w:spacing w:after="200" w:before="360"/>
      </w:pPr>
      <w:r>
        <w:rPr>
          <w:rFonts w:ascii="Times New Roman" w:cs="Times New Roman" w:eastAsia="Times New Roman" w:hAnsi="Times New Roman"/>
          <w:b/>
          <w:bCs/>
          <w:color w:val="1F3864"/>
          <w:sz w:val="28"/>
          <w:szCs w:val="28"/>
        </w:rPr>
        <w:t xml:space="preserve">13. Evidentiary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Claim</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Tier</w:t>
            </w:r>
          </w:p>
        </w:tc>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Basis</w:t>
            </w:r>
          </w:p>
        </w:tc>
        <w:tc>
          <w:tcPr>
            <w:tcW w:type="dxa" w:w="2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Promotion Path</w:t>
            </w:r>
          </w:p>
        </w:tc>
      </w:tr>
      <w:tr>
        <w:tc>
          <w:tcPr>
            <w:tcW w:type="dxa" w:w="2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Simplex isomorphism transports theorems</w:t>
            </w:r>
          </w:p>
        </w:tc>
        <w:tc>
          <w:tcPr>
            <w:tcW w:type="dxa" w:w="1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[PROPOSITION]</w:t>
            </w:r>
          </w:p>
        </w:tc>
        <w:tc>
          <w:tcPr>
            <w:tcW w:type="dxa" w:w="2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Standard category theory</w:t>
            </w:r>
          </w:p>
        </w:tc>
        <w:tc>
          <w:tcPr>
            <w:tcW w:type="dxa" w:w="2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Proof by construction; already established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Knowledge function is supermodular under shared framework</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Topkis/Milgrom-Roberts applied to HUF structure</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Formal proof requires axiomatising the knowledge function</w:t>
            </w:r>
          </w:p>
        </w:tc>
      </w:tr>
      <w:tr>
        <w:tc>
          <w:tcPr>
            <w:tcW w:type="dxa" w:w="2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Channel capacity increases with shared codebook</w:t>
            </w:r>
          </w:p>
        </w:tc>
        <w:tc>
          <w:tcPr>
            <w:tcW w:type="dxa" w:w="1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[PROPOSITION]</w:t>
            </w:r>
          </w:p>
        </w:tc>
        <w:tc>
          <w:tcPr>
            <w:tcW w:type="dxa" w:w="2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Shannon mutual information; standard result</w:t>
            </w:r>
          </w:p>
        </w:tc>
        <w:tc>
          <w:tcPr>
            <w:tcW w:type="dxa" w:w="2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Application to HUF codebook is direct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Coupling scales multiplicatively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Structural argument from coupled-system theory</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Requires empirical measurement of cross-domain transfer rates</w:t>
            </w:r>
          </w:p>
        </w:tc>
      </w:tr>
      <w:tr>
        <w:tc>
          <w:tcPr>
            <w:tcW w:type="dxa" w:w="2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Self-training property holds for HUF</w:t>
            </w:r>
          </w:p>
        </w:tc>
        <w:tc>
          <w:tcPr>
            <w:tcW w:type="dxa" w:w="1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[IDENTITY]</w:t>
            </w:r>
          </w:p>
        </w:tc>
        <w:tc>
          <w:tcPr>
            <w:tcW w:type="dxa" w:w="28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Direct from domain-invariance of CL-01–CL-04</w:t>
            </w:r>
          </w:p>
        </w:tc>
        <w:tc>
          <w:tcPr>
            <w:tcW w:type="dxa" w:w="25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Tautological once codebook completeness is verified</w:t>
            </w:r>
          </w:p>
        </w:tc>
      </w:tr>
    </w:tbl>
    <w:p>
      <w:pPr>
        <w:pStyle w:val="Heading1"/>
        <w:spacing w:after="200" w:before="360"/>
      </w:pPr>
      <w:r>
        <w:rPr>
          <w:rFonts w:ascii="Times New Roman" w:cs="Times New Roman" w:eastAsia="Times New Roman" w:hAnsi="Times New Roman"/>
          <w:b/>
          <w:bCs/>
          <w:color w:val="1F3864"/>
          <w:sz w:val="28"/>
          <w:szCs w:val="28"/>
        </w:rPr>
        <w:t xml:space="preserve">14. Closing Statement</w:t>
      </w:r>
    </w:p>
    <w:p>
      <w:pPr>
        <w:spacing w:after="160" w:before="0"/>
        <w:jc w:val="both"/>
      </w:pPr>
      <w:r>
        <w:rPr>
          <w:rFonts w:ascii="Times New Roman" w:cs="Times New Roman" w:eastAsia="Times New Roman" w:hAnsi="Times New Roman"/>
          <w:b w:val="false"/>
          <w:bCs w:val="false"/>
          <w:i w:val="false"/>
          <w:iCs w:val="false"/>
          <w:color w:val="333333"/>
          <w:sz w:val="22"/>
          <w:szCs w:val="22"/>
        </w:rPr>
        <w:t xml:space="preserve">The multi-audience corpus is not a communication strategy. It is a structural amplifier. Each edition that faithfully expresses HUF in its domain’s native language creates a new node in a coupled network whose value scales super-linearly with the number of accurate nodes. The mathematical basis is clear: supermodularity, channel capacity, and multiplicative coupling all point to the same conclusion.</w:t>
      </w:r>
    </w:p>
    <w:p>
      <w:pPr>
        <w:spacing w:after="160" w:before="0"/>
        <w:jc w:val="both"/>
      </w:pPr>
      <w:r>
        <w:rPr>
          <w:rFonts w:ascii="Times New Roman" w:cs="Times New Roman" w:eastAsia="Times New Roman" w:hAnsi="Times New Roman"/>
          <w:b/>
          <w:bCs/>
          <w:i/>
          <w:iCs/>
          <w:color w:val="2E75B6"/>
          <w:sz w:val="22"/>
          <w:szCs w:val="22"/>
        </w:rPr>
        <w:t xml:space="preserve">Write it once per domain. Let the structure teach. The framework amplifies itself.</w:t>
      </w:r>
    </w:p>
    <w:p>
      <w:pPr>
        <w:spacing w:after="160" w:before="0"/>
        <w:jc w:val="both"/>
      </w:pPr>
      <w:r>
        <w:rPr>
          <w:rFonts w:ascii="Times New Roman" w:cs="Times New Roman" w:eastAsia="Times New Roman" w:hAnsi="Times New Roman"/>
          <w:b/>
          <w:bCs/>
          <w:color w:val="333333"/>
          <w:sz w:val="22"/>
          <w:szCs w:val="22"/>
        </w:rPr>
        <w:t xml:space="preserve">Governance status: </w:t>
      </w:r>
      <w:r>
        <w:rPr>
          <w:rFonts w:ascii="Times New Roman" w:cs="Times New Roman" w:eastAsia="Times New Roman" w:hAnsi="Times New Roman"/>
          <w:color w:val="333333"/>
          <w:sz w:val="22"/>
          <w:szCs w:val="22"/>
        </w:rPr>
        <w:t xml:space="preserve">This note is classified as [FRAMEWORK] tier. The supermodularity and channel-capacity arguments are standard results applied to HUF. The multiplicative scaling law is [CONJECTURE] pending empirical measurement of actual cross-domain transfer rates. The self-training property is [IDENTITY] — it follows directly from the domain-invariance of the control stack.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 Cross-Domain Amplification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Cross-Domain Amplification — Formal Note</w:t>
    </w:r>
    <w:r>
      <w:rPr>
        <w:rFonts w:ascii="Times New Roman" w:cs="Times New Roman" w:eastAsia="Times New Roman" w:hAnsi="Times New Roman"/>
        <w:i/>
        <w:iCs/>
        <w:color w:val="2E75B6"/>
        <w:sz w:val="18"/>
        <w:szCs w:val="18"/>
      </w:rPr>
      <w:t xml:space="preserve">	16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2026-03-17T02:33:46.208Z</dcterms:created>
  <dcterms:modified xsi:type="dcterms:W3CDTF">2026-03-17T02:33:46.209Z</dcterms:modified>
</cp:coreProperties>
</file>

<file path=docProps/custom.xml><?xml version="1.0" encoding="utf-8"?>
<Properties xmlns="http://schemas.openxmlformats.org/officeDocument/2006/custom-properties" xmlns:vt="http://schemas.openxmlformats.org/officeDocument/2006/docPropsVTypes"/>
</file>