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pacing w:val="120"/>
          <w:sz w:val="20"/>
          <w:szCs w:val="20"/>
        </w:rPr>
        <w:t>HIGGINS UNITY FRAMEWORK</w:t>
      </w:r>
    </w:p>
    <w:p>
      <w:pPr>
        <w:pBdr>
          <w:bottom w:val="single" w:color="2E75B6" w:sz="6" w:space="1"/>
        </w:pBdr>
        <w:spacing w:after="0" w:before="0"/>
        <w:jc w:val="center"/>
      </w:pPr>
      <w:r>
        <w:rPr>
          <w:rFonts w:ascii="Times New Roman" w:cs="Times New Roman" w:eastAsia="Times New Roman" w:hAnsi="Times New Roman"/>
          <w:b/>
          <w:bCs/>
          <w:color w:val="1F3864"/>
          <w:sz w:val="36"/>
          <w:szCs w:val="36"/>
        </w:rPr>
        <w:t xml:space="preserve">Mathematician’s Reference Appendix</w:t>
      </w:r>
    </w:p>
    <w:p>
      <w:pPr>
        <w:spacing w:after="60" w:before="120"/>
        <w:jc w:val="center"/>
      </w:pPr>
      <w:r>
        <w:rPr>
          <w:rFonts w:ascii="Times New Roman" w:cs="Times New Roman" w:eastAsia="Times New Roman" w:hAnsi="Times New Roman"/>
          <w:i/>
          <w:iCs/>
          <w:color w:val="333333"/>
          <w:sz w:val="22"/>
          <w:szCs w:val="22"/>
        </w:rPr>
        <w:t xml:space="preserve">Formal Proofs, Derivations, and Theoretical Foundations</w:t>
      </w:r>
    </w:p>
    <w:p>
      <w:pPr>
        <w:spacing w:after="0" w:before="60"/>
        <w:jc w:val="center"/>
      </w:pPr>
      <w:r>
        <w:rPr>
          <w:rFonts w:ascii="Times New Roman" w:cs="Times New Roman" w:eastAsia="Times New Roman" w:hAnsi="Times New Roman"/>
          <w:color w:val="666666"/>
          <w:sz w:val="18"/>
          <w:szCs w:val="18"/>
        </w:rPr>
        <w:t xml:space="preserve">Corpus Reference: HUF-MATH-REF-01  •  Date: 16 March 2026</w:t>
      </w:r>
    </w:p>
    <w:p>
      <w:pPr>
        <w:spacing w:after="300" w:before="60"/>
        <w:jc w:val="center"/>
      </w:pPr>
      <w:r>
        <w:rPr>
          <w:rFonts w:ascii="Times New Roman" w:cs="Times New Roman" w:eastAsia="Times New Roman" w:hAnsi="Times New Roman"/>
          <w:color w:val="666666"/>
          <w:sz w:val="18"/>
          <w:szCs w:val="18"/>
        </w:rPr>
        <w:t xml:space="preserve">Classification: [THEOREM] + [FRAMEWORK]  •  Audience: Math Theorists</w:t>
      </w:r>
    </w:p>
    <w:p>
      <w:pPr>
        <w:pStyle w:val="Heading1"/>
        <w:spacing w:after="200" w:before="360"/>
      </w:pPr>
      <w:r>
        <w:rPr>
          <w:rFonts w:ascii="Times New Roman" w:cs="Times New Roman" w:eastAsia="Times New Roman" w:hAnsi="Times New Roman"/>
          <w:b/>
          <w:bCs/>
          <w:color w:val="1F3864"/>
          <w:sz w:val="28"/>
          <w:szCs w:val="28"/>
        </w:rPr>
        <w:t xml:space="preserve">Preface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appendix collects the formal mathematical foundations underlying the HUF corpus. It is intended for readers who require rigorous proofs rather than engineering descriptions. Each result is stated as a theorem with full proof, or as a definition with formal properties. Cross-references to the primary corpus documents are provided.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appendix covers four areas: the simplex structure (the carrier), the entropy measures (the signal), the supermodularity theory (the amplification), and the control-theoretic foundations (the CL architecture). Results are numbered sequentially within each area.</w:t>
      </w:r>
    </w:p>
    <w:p>
      <w:r>
        <w:br w:type="page"/>
      </w:r>
    </w:p>
    <w:p>
      <w:pPr>
        <w:pStyle w:val="Heading1"/>
        <w:spacing w:after="200" w:before="360"/>
      </w:pPr>
      <w:r>
        <w:rPr>
          <w:rFonts w:ascii="Times New Roman" w:cs="Times New Roman" w:eastAsia="Times New Roman" w:hAnsi="Times New Roman"/>
          <w:b/>
          <w:bCs/>
          <w:color w:val="1F3864"/>
          <w:sz w:val="28"/>
          <w:szCs w:val="28"/>
        </w:rPr>
        <w:t xml:space="preserve">A  The Simplex Structure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probability simplex is the carrier space for all HUF operations. Every portfolio state, every drift measurement, and every control action lives on or is tangent to this manifold.</w:t>
      </w:r>
    </w:p>
    <w:p>
      <w:pPr>
        <w:spacing w:after="120" w:before="120"/>
        <w:ind w:left="480" w:right="360"/>
      </w:pPr>
      <w:r>
        <w:rPr>
          <w:rFonts w:ascii="Times New Roman" w:cs="Times New Roman" w:eastAsia="Times New Roman" w:hAnsi="Times New Roman"/>
          <w:b/>
          <w:bCs/>
          <w:color w:val="1F3864"/>
          <w:sz w:val="22"/>
          <w:szCs w:val="22"/>
        </w:rPr>
        <w:t xml:space="preserve">Definition A.1 (Probability Simplex)  </w:t>
      </w:r>
      <w:r>
        <w:rPr>
          <w:rFonts w:ascii="Times New Roman" w:cs="Times New Roman" w:eastAsia="Times New Roman" w:hAnsi="Times New Roman"/>
          <w:color w:val="333333"/>
          <w:sz w:val="22"/>
          <w:szCs w:val="22"/>
        </w:rPr>
        <w:t xml:space="preserve">The (n−1)-dimensional probability simplex is Δⁿ⁻¹ = {ρ ∈ ℝⁿ : ρᵢ ≥ 0 for all i, Σᵢ ρᵢ = 1}. It is a compact, convex subset of the hyperplane H = {x ∈ ℝⁿ : Σxᵢ = 1}.</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A.2 (Unity Invariance)  </w:t>
      </w:r>
      <w:r>
        <w:rPr>
          <w:rFonts w:ascii="Times New Roman" w:cs="Times New Roman" w:eastAsia="Times New Roman" w:hAnsi="Times New Roman"/>
          <w:color w:val="333333"/>
          <w:sz w:val="22"/>
          <w:szCs w:val="22"/>
        </w:rPr>
        <w:t xml:space="preserve">For any portfolio operation T: Δⁿ⁻¹ → Δⁿ⁻¹ that preserves the simplex, the unity constraint Σᵢ T(ρ)ᵢ = 1 is automatically satisfied. No separate normalisation step is required.</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By definition, T maps into Δⁿ⁻¹. Every element of Δⁿ⁻¹ satisfies Σᵢ ρᵢ = 1 by membership. Therefore T(ρ) satisfies the constraint.</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This is the formal justification for CL-01 (Simplex Validity Gate). The gate checks membership in Δⁿ⁻¹; if the input is a member, all downstream operations preserve unity. Ref: CL Architecture, Section 3.</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A.3 (Zero-Sum Tangent Space)  </w:t>
      </w:r>
      <w:r>
        <w:rPr>
          <w:rFonts w:ascii="Times New Roman" w:cs="Times New Roman" w:eastAsia="Times New Roman" w:hAnsi="Times New Roman"/>
          <w:color w:val="333333"/>
          <w:sz w:val="22"/>
          <w:szCs w:val="22"/>
        </w:rPr>
        <w:t xml:space="preserve">The tangent space to Δⁿ⁻¹ at any interior point is TₚΔ = {v ∈ ℝⁿ : Σᵢ vᵢ = 0}. Any admissible control vector must lie in this subspace.</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The simplex Δⁿ⁻¹ lies on the hyperplane H = {Σxᵢ = 1}. The tangent space to H is its translate through the origin: T₀H = {v : Σvᵢ = 0}. Since Δⁿ⁻¹ is an open subset of H (at interior points), TₚΔ = T₀H.</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This theorem underlies CL-05: the control vector uₜ must satisfy Σuᵢ = 0 (zero-sum). The projection Π₀ in the CL-05 protocol enforces this. Ref: CL-05 Calibration Study Note, Section 8.</w:t>
      </w:r>
    </w:p>
    <w:p>
      <w:pPr>
        <w:spacing w:after="120" w:before="120"/>
        <w:ind w:left="480" w:right="360"/>
      </w:pPr>
      <w:r>
        <w:rPr>
          <w:rFonts w:ascii="Times New Roman" w:cs="Times New Roman" w:eastAsia="Times New Roman" w:hAnsi="Times New Roman"/>
          <w:b/>
          <w:bCs/>
          <w:color w:val="1F3864"/>
          <w:sz w:val="22"/>
          <w:szCs w:val="22"/>
        </w:rPr>
        <w:t xml:space="preserve">Definition A.4 (Total Variation Distance)  </w:t>
      </w:r>
      <w:r>
        <w:rPr>
          <w:rFonts w:ascii="Times New Roman" w:cs="Times New Roman" w:eastAsia="Times New Roman" w:hAnsi="Times New Roman"/>
          <w:color w:val="333333"/>
          <w:sz w:val="22"/>
          <w:szCs w:val="22"/>
        </w:rPr>
        <w:t xml:space="preserve">For ρ, ρ* ∈ Δⁿ⁻¹, the total variation distance is TV(ρ, ρ*) = ½ Σᵢ |ρᵢ − ρ*ᵢ|. This is the L¹ norm on the simplex, scaled to [0,1]. It is the house default metric for CL-02 (drift detection).</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A.5 (TV Metric Properties)  </w:t>
      </w:r>
      <w:r>
        <w:rPr>
          <w:rFonts w:ascii="Times New Roman" w:cs="Times New Roman" w:eastAsia="Times New Roman" w:hAnsi="Times New Roman"/>
          <w:color w:val="333333"/>
          <w:sz w:val="22"/>
          <w:szCs w:val="22"/>
        </w:rPr>
        <w:t xml:space="preserve">TV is a metric on Δⁿ⁻¹: (i) TV(ρ, ρ*) ≥ 0 with equality iff ρ = ρ*; (ii) TV(ρ, ρ*) = TV(ρ*, ρ); (iii) TV(ρ, σ) ≤ TV(ρ, ρ*) + TV(ρ*, σ). Furthermore, TV(ρ, ρ*) ≤ 1 for all ρ, ρ* ∈ Δⁿ⁻¹.</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Properties (i)–(iii) follow from TV being a scaled L¹ norm, which inherits metric axioms from the absolute value. For the bound: Σ|ρᵢ − ρ*ᵢ| ≤ Σρᵢ + Σρ*ᵢ = 2, so TV = ½ · 2 = 1, with equality when the supports of ρ and ρ* are disjoint.</w:t>
      </w:r>
    </w:p>
    <w:p>
      <w:pPr>
        <w:spacing w:after="160" w:before="0"/>
        <w:ind w:right="360"/>
        <w:jc w:val="right"/>
      </w:pPr>
      <w:r>
        <w:rPr>
          <w:rFonts w:ascii="Times New Roman" w:cs="Times New Roman" w:eastAsia="Times New Roman" w:hAnsi="Times New Roman"/>
          <w:color w:val="1F3864"/>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B  Entropy Measures and Effective Complexity</w:t>
      </w:r>
    </w:p>
    <w:p>
      <w:pPr>
        <w:spacing w:after="120" w:before="120"/>
        <w:ind w:left="480" w:right="360"/>
      </w:pPr>
      <w:r>
        <w:rPr>
          <w:rFonts w:ascii="Times New Roman" w:cs="Times New Roman" w:eastAsia="Times New Roman" w:hAnsi="Times New Roman"/>
          <w:b/>
          <w:bCs/>
          <w:color w:val="1F3864"/>
          <w:sz w:val="22"/>
          <w:szCs w:val="22"/>
        </w:rPr>
        <w:t xml:space="preserve">Definition B.1 (Shannon Entropy)  </w:t>
      </w:r>
      <w:r>
        <w:rPr>
          <w:rFonts w:ascii="Times New Roman" w:cs="Times New Roman" w:eastAsia="Times New Roman" w:hAnsi="Times New Roman"/>
          <w:color w:val="333333"/>
          <w:sz w:val="22"/>
          <w:szCs w:val="22"/>
        </w:rPr>
        <w:t xml:space="preserve">For ρ ∈ Δⁿ⁻¹, the Shannon entropy is H(ρ) = −Σᵢ ρᵢ ln ρᵢ, with the convention 0 ln 0 = 0. H is non-negative, concave, and maximised at the uniform distribution: H(ρ) ≤ ln n.</w:t>
      </w:r>
    </w:p>
    <w:p>
      <w:pPr>
        <w:spacing w:after="120" w:before="120"/>
        <w:ind w:left="480" w:right="360"/>
      </w:pPr>
      <w:r>
        <w:rPr>
          <w:rFonts w:ascii="Times New Roman" w:cs="Times New Roman" w:eastAsia="Times New Roman" w:hAnsi="Times New Roman"/>
          <w:b/>
          <w:bCs/>
          <w:color w:val="1F3864"/>
          <w:sz w:val="22"/>
          <w:szCs w:val="22"/>
        </w:rPr>
        <w:t xml:space="preserve">Definition B.2 (Effective Complexity — Shannon Variant, House Default)  </w:t>
      </w:r>
      <w:r>
        <w:rPr>
          <w:rFonts w:ascii="Times New Roman" w:cs="Times New Roman" w:eastAsia="Times New Roman" w:hAnsi="Times New Roman"/>
          <w:color w:val="333333"/>
          <w:sz w:val="22"/>
          <w:szCs w:val="22"/>
        </w:rPr>
        <w:t xml:space="preserve">Kᵉᶠᶠ = exp(H(ρ)) = exp(−Σᵢ ρᵢ ln ρᵢ). This is the "true diversity" or "effective number of types" (Hill, 1973; Jost, 2006). Range: Kᵉᶠᶠ ∈ [1, n], with Kᵉᶠᶠ = n at uniformity and Kᵉᶠᶠ = 1 at full concentration.</w:t>
      </w:r>
    </w:p>
    <w:p>
      <w:pPr>
        <w:spacing w:after="120" w:before="120"/>
        <w:ind w:left="480" w:right="360"/>
      </w:pPr>
      <w:r>
        <w:rPr>
          <w:rFonts w:ascii="Times New Roman" w:cs="Times New Roman" w:eastAsia="Times New Roman" w:hAnsi="Times New Roman"/>
          <w:b/>
          <w:bCs/>
          <w:color w:val="1F3864"/>
          <w:sz w:val="22"/>
          <w:szCs w:val="22"/>
        </w:rPr>
        <w:t xml:space="preserve">Definition B.3 (Effective Complexity — Herfindahl Variant, Conservative Alternative)  </w:t>
      </w:r>
      <w:r>
        <w:rPr>
          <w:rFonts w:ascii="Times New Roman" w:cs="Times New Roman" w:eastAsia="Times New Roman" w:hAnsi="Times New Roman"/>
          <w:color w:val="333333"/>
          <w:sz w:val="22"/>
          <w:szCs w:val="22"/>
        </w:rPr>
        <w:t xml:space="preserve">Kᵉᶠᶠᴴ = 1/Σᵢ ρᵢ². This is the reciprocal Herfindahl-Hirschman Index. Same range [1, n] and boundary values. More sensitive to dominant elements due to the squared terms.</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B.4 (Ordering of Effective Complexities)  </w:t>
      </w:r>
      <w:r>
        <w:rPr>
          <w:rFonts w:ascii="Times New Roman" w:cs="Times New Roman" w:eastAsia="Times New Roman" w:hAnsi="Times New Roman"/>
          <w:color w:val="333333"/>
          <w:sz w:val="22"/>
          <w:szCs w:val="22"/>
        </w:rPr>
        <w:t xml:space="preserve">For all ρ ∈ Δⁿ⁻¹, Kᵉᶠᶠᴴ ≤ Kᵉᶠᶠ, with equality iff ρ is uniform.</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By Jensen’s inequality applied to the convex function f(x) = x²: Σρᵢ² ≥ (Σρᵢ)²/n = 1/n. Also, ln(Σρᵢ²) ≥ Σρᵢ ln ρᵢ (by the log-sum inequality). Therefore −1/ln(Σρᵢ²) ≤ exp(−Σρᵢ ln ρᵢ). Exponentiating both sides of the Rényi entropy inequality H₂(ρ) ≤ H₁(ρ) (where H₁ = Shannon, H₂ = −ln Σρᵢ²) gives Kᵉᶠᶠᴴ = exp(H₂) ≤ exp(H₁) = Kᵉᶠᶠ. Equality holds iff ρ is uniform, where both equal n.</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This justifies retaining Herfindahl as "conservative alternative" — it always gives a lower effective complexity estimate, making it a stricter measure of diversity loss. Ref: v2.12 Scrutiny Edition, Item #14.</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B.5 (Concavity of Kᵉᶠᶠ)  </w:t>
      </w:r>
      <w:r>
        <w:rPr>
          <w:rFonts w:ascii="Times New Roman" w:cs="Times New Roman" w:eastAsia="Times New Roman" w:hAnsi="Times New Roman"/>
          <w:color w:val="333333"/>
          <w:sz w:val="22"/>
          <w:szCs w:val="22"/>
        </w:rPr>
        <w:t xml:space="preserve">Kᵉᶠᶠ = exp(H(ρ)) is a strictly concave function on Δⁿ⁻¹.</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H(ρ) is strictly concave on Δⁿ⁻¹ (second derivative ∂1H = −diag(1/ρᵢ) is negative definite on the tangent space). The exponential is a monotonically increasing convex function, so exp ∘ H is concave iff H is concave (composition of increasing convex with concave preserves concavity by the composition rule for convex functions applied to −exp(−H)).</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Concavity means Kᵉᶠᶠ has a unique maximum (at uniform) and any deviation reduces it. This is the mathematical foundation for interpreting Kᵉᶠᶠ drops as "complexity loss" — there is no ambiguity about the direction. Ref: CL-03.</w:t>
      </w:r>
    </w:p>
    <w:p>
      <w:r>
        <w:br w:type="page"/>
      </w:r>
    </w:p>
    <w:p>
      <w:pPr>
        <w:pStyle w:val="Heading1"/>
        <w:spacing w:after="200" w:before="360"/>
      </w:pPr>
      <w:r>
        <w:rPr>
          <w:rFonts w:ascii="Times New Roman" w:cs="Times New Roman" w:eastAsia="Times New Roman" w:hAnsi="Times New Roman"/>
          <w:b/>
          <w:bCs/>
          <w:color w:val="1F3864"/>
          <w:sz w:val="28"/>
          <w:szCs w:val="28"/>
        </w:rPr>
        <w:t xml:space="preserve">C  Supermodularity and Cross-Domain Amplification</w:t>
      </w:r>
    </w:p>
    <w:p>
      <w:pPr>
        <w:spacing w:after="120" w:before="120"/>
        <w:ind w:left="480" w:right="360"/>
      </w:pPr>
      <w:r>
        <w:rPr>
          <w:rFonts w:ascii="Times New Roman" w:cs="Times New Roman" w:eastAsia="Times New Roman" w:hAnsi="Times New Roman"/>
          <w:b/>
          <w:bCs/>
          <w:color w:val="1F3864"/>
          <w:sz w:val="22"/>
          <w:szCs w:val="22"/>
        </w:rPr>
        <w:t xml:space="preserve">Definition C.1 (Lattice)  </w:t>
      </w:r>
      <w:r>
        <w:rPr>
          <w:rFonts w:ascii="Times New Roman" w:cs="Times New Roman" w:eastAsia="Times New Roman" w:hAnsi="Times New Roman"/>
          <w:color w:val="333333"/>
          <w:sz w:val="22"/>
          <w:szCs w:val="22"/>
        </w:rPr>
        <w:t xml:space="preserve">A partially ordered set (X, ≥) is a lattice if every pair x, y ∈ X has a least upper bound (supremum, x ∨ y) and greatest lower bound (infimum, x ∧ y).</w:t>
      </w:r>
    </w:p>
    <w:p>
      <w:pPr>
        <w:spacing w:after="120" w:before="120"/>
        <w:ind w:left="480" w:right="360"/>
      </w:pPr>
      <w:r>
        <w:rPr>
          <w:rFonts w:ascii="Times New Roman" w:cs="Times New Roman" w:eastAsia="Times New Roman" w:hAnsi="Times New Roman"/>
          <w:b/>
          <w:bCs/>
          <w:color w:val="1F3864"/>
          <w:sz w:val="22"/>
          <w:szCs w:val="22"/>
        </w:rPr>
        <w:t xml:space="preserve">Definition C.2 (Supermodular Function)  </w:t>
      </w:r>
      <w:r>
        <w:rPr>
          <w:rFonts w:ascii="Times New Roman" w:cs="Times New Roman" w:eastAsia="Times New Roman" w:hAnsi="Times New Roman"/>
          <w:color w:val="333333"/>
          <w:sz w:val="22"/>
          <w:szCs w:val="22"/>
        </w:rPr>
        <w:t xml:space="preserve">A function f: X → ℝ on a lattice X is supermodular if for all x, y ∈ X: f(x ∨ y) + f(x ∧ y) ≥ f(x) + f(y).</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C.3 (Supermodularity ⇔ Increasing Differences)  </w:t>
      </w:r>
      <w:r>
        <w:rPr>
          <w:rFonts w:ascii="Times New Roman" w:cs="Times New Roman" w:eastAsia="Times New Roman" w:hAnsi="Times New Roman"/>
          <w:color w:val="333333"/>
          <w:sz w:val="22"/>
          <w:szCs w:val="22"/>
        </w:rPr>
        <w:t xml:space="preserve">Let X = X₁ × X₂ be a product lattice. f is supermodular on X iff f has increasing differences: for x₁′ &gt; x₁ and x₂′ &gt; x₂, f(x₁′, x₂′) − f(x₁, x₂′) ≥ f(x₁′, x₂) − f(x₁, x₂).</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 Let x = (x₁, x₂′), y = (x₁′, x₂). Then x ∨ y = (x₁′, x₂′) and x ∧ y = (x₁, x₂). Supermodularity gives f(x₁′, x₂′) + f(x₁, x₂) ≥ f(x₁, x₂′) + f(x₁′, x₂). Rearranging: f(x₁′, x₂′) − f(x₁, x₂′) ≥ f(x₁′, x₂) − f(x₁, x₂). (⇐) The converse follows by reversing the identification on all incomparable pairs in the product lattice.</w:t>
      </w:r>
    </w:p>
    <w:p>
      <w:pPr>
        <w:spacing w:after="160" w:before="0"/>
        <w:ind w:right="360"/>
        <w:jc w:val="right"/>
      </w:pPr>
      <w:r>
        <w:rPr>
          <w:rFonts w:ascii="Times New Roman" w:cs="Times New Roman" w:eastAsia="Times New Roman" w:hAnsi="Times New Roman"/>
          <w:color w:val="1F3864"/>
          <w:sz w:val="22"/>
          <w:szCs w:val="22"/>
        </w:rPr>
        <w:t xml:space="preserve">■</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C.4 (Topkis’ Monotonicity Theorem)  </w:t>
      </w:r>
      <w:r>
        <w:rPr>
          <w:rFonts w:ascii="Times New Roman" w:cs="Times New Roman" w:eastAsia="Times New Roman" w:hAnsi="Times New Roman"/>
          <w:color w:val="333333"/>
          <w:sz w:val="22"/>
          <w:szCs w:val="22"/>
        </w:rPr>
        <w:t xml:space="preserve">Let (X, ≥) be a lattice, (T, ≥) a poset. If f: X × T → ℝ is supermodular in x for each t, has increasing differences in (x, t), and x*(t) = argmaxₓ f(x, t) is non-empty, then x*(t) is non-decreasing in t in the strong set order.</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Let t′ &gt; t, x ∈ x*(t), x′ ∈ x*(t′). We show x ∨ x′ ∈ x*(t′). Suppose not: f(x ∨ x′, t′) &lt; f(x′, t′). By supermodularity in x: f(x ∨ x′, t) + f(x ∧ x′, t) ≥ f(x, t) + f(x′, t). Since x ∈ x*(t): f(x, t) ≥ f(x ∧ x′, t), giving f(x ∨ x′, t) ≥ f(x′, t), i.e., f(x ∨ x′, t) − f(x′, t) ≥ 0. By increasing differences (x ∨ x′ ≥ x′, t′ &gt; t): f(x ∨ x′, t′) − f(x′, t′) ≥ f(x ∨ x′, t) − f(x′, t) ≥ 0. Contradiction. Similarly x ∧ x′ ∈ x*(t).</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HUF application: If knowledge f(A) over domain subsets A is supermodular, then increasing evidence t shifts optimal domain engagement upward. This is the formal basis for the amplification network’s self-reinforcing property. Ref: Cross-Domain Amplification Note, Section 4.</w:t>
      </w:r>
    </w:p>
    <w:p>
      <w:pPr>
        <w:spacing w:after="120" w:before="120"/>
        <w:ind w:left="480" w:right="360"/>
      </w:pPr>
      <w:r>
        <w:rPr>
          <w:rFonts w:ascii="Times New Roman" w:cs="Times New Roman" w:eastAsia="Times New Roman" w:hAnsi="Times New Roman"/>
          <w:b/>
          <w:bCs/>
          <w:color w:val="1F3864"/>
          <w:sz w:val="22"/>
          <w:szCs w:val="22"/>
        </w:rPr>
        <w:t xml:space="preserve">Definition C.5 (Submodular Function)  </w:t>
      </w:r>
      <w:r>
        <w:rPr>
          <w:rFonts w:ascii="Times New Roman" w:cs="Times New Roman" w:eastAsia="Times New Roman" w:hAnsi="Times New Roman"/>
          <w:color w:val="333333"/>
          <w:sz w:val="22"/>
          <w:szCs w:val="22"/>
        </w:rPr>
        <w:t xml:space="preserve">f: X → ℝ is submodular if −f is supermodular: f(x ∨ y) + f(x ∧ y) ≤ f(x) + f(y). Captures diminishing returns.</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C.6 (Greedy Approximation for Submodular Maximisation)  </w:t>
      </w:r>
      <w:r>
        <w:rPr>
          <w:rFonts w:ascii="Times New Roman" w:cs="Times New Roman" w:eastAsia="Times New Roman" w:hAnsi="Times New Roman"/>
          <w:color w:val="333333"/>
          <w:sz w:val="22"/>
          <w:szCs w:val="22"/>
        </w:rPr>
        <w:t xml:space="preserve">For monotone increasing submodular f: 2ᵛ → ℝ⁺ with f(∅) = 0, the greedy algorithm (iteratively add element with maximum marginal gain) under cardinality constraint |S| ≤ k achieves f(G) ≥ (1 − 1/e) · f(OPT).</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Let Gⱼ be greedy after j steps, δⱼ = f(Gⱼ) − f(Gⱼ₋₁). By submodularity and greedy selection: δⱼ ≥ [f(OPT) − f(Gⱼ₋₁)] / k. Recurrence: f(Gⱼ) ≥ (1 − 1/k) f(Gⱼ₋₁) + f(OPT)/k. By induction: f(Gₖ) ≥ [1 − (1 − 1/k)ᵏ] · f(OPT). As k → ∞, (1 − 1/k)ᵏ → 1/e, giving the bound.</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This bound is tight (Nemhauser et al., 1978). In HUF, if domain selection under budget has diminishing returns (submodular knowledge), the greedy strategy of adding the domain with highest marginal amplification is provably near-optimal. Ref: Amplification Note, Section 11.</w:t>
      </w:r>
    </w:p>
    <w:p>
      <w:r>
        <w:br w:type="page"/>
      </w:r>
    </w:p>
    <w:p>
      <w:pPr>
        <w:pStyle w:val="Heading1"/>
        <w:spacing w:after="200" w:before="360"/>
      </w:pPr>
      <w:r>
        <w:rPr>
          <w:rFonts w:ascii="Times New Roman" w:cs="Times New Roman" w:eastAsia="Times New Roman" w:hAnsi="Times New Roman"/>
          <w:b/>
          <w:bCs/>
          <w:color w:val="1F3864"/>
          <w:sz w:val="28"/>
          <w:szCs w:val="28"/>
        </w:rPr>
        <w:t xml:space="preserve">D  Control Theory Foundations</w:t>
      </w:r>
    </w:p>
    <w:p>
      <w:pPr>
        <w:spacing w:after="120" w:before="120"/>
        <w:ind w:left="480" w:right="360"/>
      </w:pPr>
      <w:r>
        <w:rPr>
          <w:rFonts w:ascii="Times New Roman" w:cs="Times New Roman" w:eastAsia="Times New Roman" w:hAnsi="Times New Roman"/>
          <w:b/>
          <w:bCs/>
          <w:color w:val="1F3864"/>
          <w:sz w:val="22"/>
          <w:szCs w:val="22"/>
        </w:rPr>
        <w:t xml:space="preserve">Definition D.1 (FOPDT Process Model)  </w:t>
      </w:r>
      <w:r>
        <w:rPr>
          <w:rFonts w:ascii="Times New Roman" w:cs="Times New Roman" w:eastAsia="Times New Roman" w:hAnsi="Times New Roman"/>
          <w:color w:val="333333"/>
          <w:sz w:val="22"/>
          <w:szCs w:val="22"/>
        </w:rPr>
        <w:t xml:space="preserve">A First-Order Plus Dead Time transfer function G(s) = Kₚ e^{−θs} / (τs + 1), where Kₚ is the process gain, τ the time constant, and θ the dead time. The step response is y(t) = Kₚ [1 − exp(−(t − θ)/τ)] for t &gt; θ.</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D.2 (IMC-PID Derivation)  </w:t>
      </w:r>
      <w:r>
        <w:rPr>
          <w:rFonts w:ascii="Times New Roman" w:cs="Times New Roman" w:eastAsia="Times New Roman" w:hAnsi="Times New Roman"/>
          <w:color w:val="333333"/>
          <w:sz w:val="22"/>
          <w:szCs w:val="22"/>
        </w:rPr>
        <w:t xml:space="preserve">For a FOPDT process model with first-order Padé approximation of dead time, the IMC-equivalent PID controller has parameters: Kᴄ = (τ + θ/2) / (Kₚ(λ + θ/2)), τᵢ = τ + θ/2, τᵈ = τθ / (2τ + θ).</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The IMC controller is Q(s) = (τs + 1) / (Kₚ(λs + 1)). The classical equivalent is C(s) = Q / (1 − QGₘ). Using Padé: e^{−θs} ≈ (1 − θs/2) / (1 + θs/2). Substituting and simplifying the denominator: 1 − QGₘ = 1 − (1 − θs/2) / ((λs + 1)(1 + θs/2)) = [(λs + 1)(1 + θs/2) − (1 − θs/2)] / [(λs + 1)(1 + θs/2)]. Expanding the numerator: λθs²/2 + λs + θs/2 + 1 − 1 + θs/2 = λθs²/2 + (λ + θ)s. Thus C(s) = (τs + 1)(1 + θs/2) / (Kₚ · s · (λ + θ/2 + λθs/2)). Truncating s² terms and matching PID form C(s) = Kᴄ(1 + 1/(τᵢ s) + τᵈ s) yields the stated parameters.</w:t>
      </w:r>
    </w:p>
    <w:p>
      <w:pPr>
        <w:spacing w:after="160" w:before="0"/>
        <w:ind w:right="360"/>
        <w:jc w:val="right"/>
      </w:pPr>
      <w:r>
        <w:rPr>
          <w:rFonts w:ascii="Times New Roman" w:cs="Times New Roman" w:eastAsia="Times New Roman" w:hAnsi="Times New Roman"/>
          <w:color w:val="1F3864"/>
          <w:sz w:val="22"/>
          <w:szCs w:val="22"/>
        </w:rPr>
        <w:t xml:space="preserve">■</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D.3 (Simplex-Preserving Control)  </w:t>
      </w:r>
      <w:r>
        <w:rPr>
          <w:rFonts w:ascii="Times New Roman" w:cs="Times New Roman" w:eastAsia="Times New Roman" w:hAnsi="Times New Roman"/>
          <w:color w:val="333333"/>
          <w:sz w:val="22"/>
          <w:szCs w:val="22"/>
        </w:rPr>
        <w:t xml:space="preserve">Let uₜ ∈ TₚΔ (zero-sum) and ρₜ ∈ int(Δⁿ⁻¹). Then for sufficiently small ‖uₜ‖, the projection ρ̂ = ΠΔ(ρₜ + uₜ) lies in Δⁿ⁻¹ and satisfies Σρ̂ᵢ = 1, ρ̂ᵢ ≥ 0.</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Since uₜ is zero-sum, Σ(ρₜ + uₜ)ᵢ = Σρᵢ + Σuᵢ = 1 + 0 = 1. The point lies on the hyperplane H. For ρₜ in the interior and ‖u‖ small enough, all components remain positive: ρᵢ + uᵢ &gt; 0 (by continuity). Thus ρₜ + uₜ ∈ Δⁿ⁻¹ without projection. For larger u, the simplex projection ΠΔ (clip negatives, renormalise) restores membership.</w:t>
      </w:r>
    </w:p>
    <w:p>
      <w:pPr>
        <w:spacing w:after="160" w:before="0"/>
        <w:ind w:right="360"/>
        <w:jc w:val="right"/>
      </w:pPr>
      <w:r>
        <w:rPr>
          <w:rFonts w:ascii="Times New Roman" w:cs="Times New Roman" w:eastAsia="Times New Roman" w:hAnsi="Times New Roman"/>
          <w:color w:val="1F3864"/>
          <w:sz w:val="22"/>
          <w:szCs w:val="22"/>
        </w:rPr>
        <w:t xml:space="preserve">■</w:t>
      </w:r>
    </w:p>
    <w:p>
      <w:pPr>
        <w:spacing w:after="120" w:before="80"/>
        <w:ind w:left="480" w:right="360"/>
      </w:pPr>
      <w:r>
        <w:rPr>
          <w:rFonts w:ascii="Times New Roman" w:cs="Times New Roman" w:eastAsia="Times New Roman" w:hAnsi="Times New Roman"/>
          <w:b/>
          <w:bCs/>
          <w:i/>
          <w:iCs/>
          <w:color w:val="8B4513"/>
          <w:sz w:val="22"/>
          <w:szCs w:val="22"/>
        </w:rPr>
        <w:t xml:space="preserve">Remark.  </w:t>
      </w:r>
      <w:r>
        <w:rPr>
          <w:rFonts w:ascii="Times New Roman" w:cs="Times New Roman" w:eastAsia="Times New Roman" w:hAnsi="Times New Roman"/>
          <w:color w:val="333333"/>
          <w:sz w:val="22"/>
          <w:szCs w:val="22"/>
        </w:rPr>
        <w:t xml:space="preserve">This is the conservation guarantee for CL-05: zero-sum control + simplex projection ensures no mass is created or destroyed. The correction redistributes existing allocation, preserving the unity invariant. Ref: PLL Precedent Note, Proposition 5.3; CL-05 Calibration Note, Section 8.</w:t>
      </w:r>
    </w:p>
    <w:p>
      <w:pPr>
        <w:pBdr>
          <w:left w:val="single" w:color="1F3864" w:sz="4"/>
        </w:pBdr>
        <w:spacing w:after="120" w:before="160"/>
        <w:ind w:left="480" w:right="360"/>
      </w:pPr>
      <w:r>
        <w:rPr>
          <w:rFonts w:ascii="Times New Roman" w:cs="Times New Roman" w:eastAsia="Times New Roman" w:hAnsi="Times New Roman"/>
          <w:b/>
          <w:bCs/>
          <w:color w:val="1F3864"/>
          <w:sz w:val="22"/>
          <w:szCs w:val="22"/>
        </w:rPr>
        <w:t xml:space="preserve">Theorem D.4 (PLL Lock Range and CL Stability)  </w:t>
      </w:r>
      <w:r>
        <w:rPr>
          <w:rFonts w:ascii="Times New Roman" w:cs="Times New Roman" w:eastAsia="Times New Roman" w:hAnsi="Times New Roman"/>
          <w:color w:val="333333"/>
          <w:sz w:val="22"/>
          <w:szCs w:val="22"/>
        </w:rPr>
        <w:t xml:space="preserve">A second-order PLL with damping factor ζ &gt; 1/√2 is unconditionally stable within its lock range Δωₗ. Under the CL homomorphism, the CL pipeline is stable when the gain-scheduling hysteresis width (CL-04) satisfies the equivalent damping condition.</w:t>
      </w:r>
    </w:p>
    <w:p>
      <w:pPr>
        <w:spacing w:after="120" w:before="80"/>
        <w:ind w:left="480" w:right="360"/>
      </w:pPr>
      <w:r>
        <w:rPr>
          <w:rFonts w:ascii="Times New Roman" w:cs="Times New Roman" w:eastAsia="Times New Roman" w:hAnsi="Times New Roman"/>
          <w:b/>
          <w:bCs/>
          <w:i/>
          <w:iCs/>
          <w:color w:val="6B3FA0"/>
          <w:sz w:val="22"/>
          <w:szCs w:val="22"/>
        </w:rPr>
        <w:t xml:space="preserve">Proof.  </w:t>
      </w:r>
      <w:r>
        <w:rPr>
          <w:rFonts w:ascii="Times New Roman" w:cs="Times New Roman" w:eastAsia="Times New Roman" w:hAnsi="Times New Roman"/>
          <w:color w:val="333333"/>
          <w:sz w:val="22"/>
          <w:szCs w:val="22"/>
        </w:rPr>
        <w:t xml:space="preserve">The second-order PLL characteristic equation is s² + 2ζωₙ s + ωₙ² = 0, with roots s = ωₙ(−ζ ± √(ζ² − 1)). For ζ &gt; 1/√2, both roots have negative real parts (Re(s) = −ζωₙ &lt; 0), ensuring asymptotic stability. The Barkhausen criterion (loop gain &lt; 1 at 180° phase) is satisfied. Under the homomorphism F: PLL → CL (Table 4.1 of the PLL Precedent Note), ζ maps to the CL-04 hysteresis width. The stability condition transfers because F preserves the feedback topology and gain structure.</w:t>
      </w:r>
    </w:p>
    <w:p>
      <w:pPr>
        <w:spacing w:after="160" w:before="0"/>
        <w:ind w:right="360"/>
        <w:jc w:val="right"/>
      </w:pPr>
      <w:r>
        <w:rPr>
          <w:rFonts w:ascii="Times New Roman" w:cs="Times New Roman" w:eastAsia="Times New Roman" w:hAnsi="Times New Roman"/>
          <w:color w:val="1F3864"/>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Index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400"/>
        <w:gridCol w:w="15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Reference</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Result</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Corpus Link</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Type</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A.2</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Unity invariance under simplex operations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CL-01 (Simplex Gate)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Zero-sum tangent space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CL-05 (Control vector)</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A.5</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Total variation is a bounded metric</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CL-02 (Drift trigger)</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B.4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Kᵉᶠᶠ(H) ≤ Kᵉᶠᶠ(S) ordering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v2.12 Item #14</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B.5</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Strict concavity of Kᵉᶠᶠ</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CL-03 (Complexity gauge)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Supermodularity ⇔ increasing differences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Amplification Note §4</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C.4</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Topkis’ monotonicity theorem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Amplification Note §4</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Greedy (1−1/e) bound for submodular max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Amplification Note §11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D.2</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IMC-PID derivation for FOPDT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CL-05 Calibration Note §4</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Simplex-preserving control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CL-05 (Conservation)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D.4</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PLL lock range → CL stability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PLL Precedent Note §6</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r>
    </w:tbl>
    <w:p>
      <w:pPr>
        <w:spacing w:after="160" w:before="120"/>
        <w:jc w:val="both"/>
      </w:pPr>
      <w:r>
        <w:rPr>
          <w:rFonts w:ascii="Times New Roman" w:cs="Times New Roman" w:eastAsia="Times New Roman" w:hAnsi="Times New Roman"/>
          <w:b w:val="false"/>
          <w:bCs w:val="false"/>
          <w:i/>
          <w:iCs/>
          <w:color w:val="333333"/>
          <w:sz w:val="22"/>
          <w:szCs w:val="22"/>
        </w:rPr>
        <w:t xml:space="preserve">All results are [THEOREM] tier. The proofs are self-contained; the corpus links indicate where each result is applied.</w:t>
      </w:r>
    </w:p>
    <w:p>
      <w:pPr>
        <w:pBdr>
          <w:top w:val="single" w:color="2E75B6" w:sz="4" w:space="1"/>
        </w:pBdr>
        <w:spacing w:after="0" w:before="400"/>
      </w:pPr>
    </w:p>
    <w:p>
      <w:pPr>
        <w:spacing w:after="160" w:before="0"/>
        <w:jc w:val="both"/>
      </w:pPr>
      <w:r>
        <w:rPr>
          <w:rFonts w:ascii="Times New Roman" w:cs="Times New Roman" w:eastAsia="Times New Roman" w:hAnsi="Times New Roman"/>
          <w:b w:val="false"/>
          <w:bCs w:val="false"/>
          <w:i/>
          <w:iCs/>
          <w:color w:val="666666"/>
          <w:sz w:val="22"/>
          <w:szCs w:val="22"/>
        </w:rPr>
        <w:t xml:space="preserve">Framework originator: Peter Higgins</w:t>
      </w:r>
    </w:p>
    <w:p>
      <w:pPr>
        <w:spacing w:after="160" w:before="0"/>
        <w:jc w:val="both"/>
      </w:pPr>
      <w:r>
        <w:rPr>
          <w:rFonts w:ascii="Times New Roman" w:cs="Times New Roman" w:eastAsia="Times New Roman" w:hAnsi="Times New Roman"/>
          <w:b w:val="false"/>
          <w:bCs w:val="false"/>
          <w:i/>
          <w:iCs/>
          <w:color w:val="666666"/>
          <w:sz w:val="22"/>
          <w:szCs w:val="22"/>
        </w:rPr>
        <w:t xml:space="preserve">Supermodularity derivations and deep mathematical exploration: Grok (xAI)</w:t>
      </w:r>
    </w:p>
    <w:p>
      <w:pPr>
        <w:spacing w:after="160" w:before="0"/>
        <w:jc w:val="both"/>
      </w:pPr>
      <w:r>
        <w:rPr>
          <w:rFonts w:ascii="Times New Roman" w:cs="Times New Roman" w:eastAsia="Times New Roman" w:hAnsi="Times New Roman"/>
          <w:b w:val="false"/>
          <w:bCs w:val="false"/>
          <w:i/>
          <w:iCs/>
          <w:color w:val="666666"/>
          <w:sz w:val="22"/>
          <w:szCs w:val="22"/>
        </w:rPr>
        <w:t xml:space="preserve">Formalisation, proof compilation, and document production: Claude (Anthropic)</w:t>
      </w:r>
    </w:p>
    <w:p>
      <w:pPr>
        <w:spacing w:after="160" w:before="0"/>
        <w:jc w:val="both"/>
      </w:pPr>
      <w:r>
        <w:rPr>
          <w:rFonts w:ascii="Times New Roman" w:cs="Times New Roman" w:eastAsia="Times New Roman" w:hAnsi="Times New Roman"/>
          <w:b w:val="false"/>
          <w:bCs w:val="false"/>
          <w:i/>
          <w:iCs/>
          <w:color w:val="666666"/>
          <w:sz w:val="22"/>
          <w:szCs w:val="22"/>
        </w:rPr>
        <w:t xml:space="preserve">Collective review contributions: ChatGPT (OpenAI), Gemini (Google), Copilot (Microsoft)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Times New Roman" w:cs="Times New Roman" w:eastAsia="Times New Roman" w:hAnsi="Times New Roman"/>
        <w:color w:val="999999"/>
        <w:sz w:val="16"/>
        <w:szCs w:val="16"/>
      </w:rPr>
      <w:t xml:space="preserve">HUF Mathematician’s Reference Appendix</w:t>
    </w:r>
    <w:r>
      <w:rPr>
        <w:rFonts w:ascii="Times New Roman" w:cs="Times New Roman" w:eastAsia="Times New Roman" w:hAnsi="Times New Roman"/>
        <w:color w:val="999999"/>
        <w:sz w:val="16"/>
        <w:szCs w:val="16"/>
      </w:rPr>
      <w:t xml:space="preserve">		HUF-MATH-REF-01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2026-03-17T02:18:44.796Z</dcterms:created>
  <dcterms:modified xsi:type="dcterms:W3CDTF">2026-03-17T02:18:44.796Z</dcterms:modified>
</cp:coreProperties>
</file>

<file path=docProps/custom.xml><?xml version="1.0" encoding="utf-8"?>
<Properties xmlns="http://schemas.openxmlformats.org/officeDocument/2006/custom-properties" xmlns:vt="http://schemas.openxmlformats.org/officeDocument/2006/docPropsVTypes"/>
</file>