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color w:val="2E75B6"/>
          <w:spacing w:val="120"/>
          <w:sz w:val="20"/>
          <w:szCs w:val="20"/>
        </w:rPr>
        <w:t>HIGGINS UNITY FRAMEWORK</w:t>
      </w:r>
    </w:p>
    <w:p>
      <w:pPr>
        <w:pBdr>
          <w:bottom w:val="single" w:color="2E75B6" w:sz="6" w:space="1"/>
        </w:pBdr>
        <w:spacing w:after="0" w:before="0"/>
        <w:jc w:val="center"/>
      </w:pPr>
      <w:r>
        <w:rPr>
          <w:rFonts w:ascii="Times New Roman" w:cs="Times New Roman" w:eastAsia="Times New Roman" w:hAnsi="Times New Roman"/>
          <w:b/>
          <w:bCs/>
          <w:color w:val="1F3864"/>
          <w:sz w:val="36"/>
          <w:szCs w:val="36"/>
        </w:rPr>
        <w:t xml:space="preserve">PLL Engineering Precedent Note</w:t>
      </w:r>
    </w:p>
    <w:p>
      <w:pPr>
        <w:spacing w:after="60" w:before="120"/>
        <w:jc w:val="center"/>
      </w:pPr>
      <w:r>
        <w:rPr>
          <w:rFonts w:ascii="Times New Roman" w:cs="Times New Roman" w:eastAsia="Times New Roman" w:hAnsi="Times New Roman"/>
          <w:i/>
          <w:iCs/>
          <w:color w:val="333333"/>
          <w:sz w:val="22"/>
          <w:szCs w:val="22"/>
        </w:rPr>
        <w:t xml:space="preserve">Structural Homomorphism Between Phase-Locked Loop Applications</w:t>
      </w:r>
    </w:p>
    <w:p>
      <w:pPr>
        <w:spacing w:after="60" w:before="0"/>
        <w:jc w:val="center"/>
      </w:pPr>
      <w:r>
        <w:rPr>
          <w:rFonts w:ascii="Times New Roman" w:cs="Times New Roman" w:eastAsia="Times New Roman" w:hAnsi="Times New Roman"/>
          <w:i/>
          <w:iCs/>
          <w:color w:val="333333"/>
          <w:sz w:val="22"/>
          <w:szCs w:val="22"/>
        </w:rPr>
        <w:t xml:space="preserve">and the HUF Closed-Loop Control Architecture CL-01 → CL-05</w:t>
      </w:r>
    </w:p>
    <w:p>
      <w:pPr>
        <w:spacing w:after="0" w:before="60"/>
        <w:jc w:val="center"/>
      </w:pPr>
      <w:r>
        <w:rPr>
          <w:rFonts w:ascii="Times New Roman" w:cs="Times New Roman" w:eastAsia="Times New Roman" w:hAnsi="Times New Roman"/>
          <w:color w:val="666666"/>
          <w:sz w:val="18"/>
          <w:szCs w:val="18"/>
        </w:rPr>
        <w:t xml:space="preserve">Corpus Reference: HUF-PLL-PREC-01  •  Date: 16 March 2026</w:t>
      </w:r>
    </w:p>
    <w:p>
      <w:pPr>
        <w:spacing w:after="300" w:before="60"/>
        <w:jc w:val="center"/>
      </w:pPr>
      <w:r>
        <w:rPr>
          <w:rFonts w:ascii="Times New Roman" w:cs="Times New Roman" w:eastAsia="Times New Roman" w:hAnsi="Times New Roman"/>
          <w:color w:val="666666"/>
          <w:sz w:val="18"/>
          <w:szCs w:val="18"/>
        </w:rPr>
        <w:t xml:space="preserve">Classification: [FRAMEWORK] + [EMPIRICAL]</w:t>
      </w:r>
    </w:p>
    <w:p>
      <w:pPr>
        <w:pStyle w:val="Heading1"/>
        <w:spacing w:after="200" w:before="360"/>
      </w:pPr>
      <w:r>
        <w:rPr>
          <w:rFonts w:ascii="Times New Roman" w:cs="Times New Roman" w:eastAsia="Times New Roman" w:hAnsi="Times New Roman"/>
          <w:b/>
          <w:bCs/>
          <w:color w:val="1F3864"/>
          <w:sz w:val="28"/>
          <w:szCs w:val="28"/>
        </w:rPr>
        <w:t xml:space="preserve">1  Abstract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note establishes that the mapping between the HUF Closed-Loop Control Architecture (CL-01 through CL-05) and Phase-Locked Loop engineering is not an analogy. It is a structural homomorphism: each CL stage inherits its control topology, stability criteria, failure-mode catalogue, and tuning intuition from a specific, well-characterised PLL application domain with decades of deployment history. The homomorphism maps architecture and failure modes; specific parameter values and performance bounds require domain calibration against real data.</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Five canonical PLL application classes are identified — clock generation, frequency synthesis, demodulation, signal recovery, and ultrafast switching — and each is formally mapped to its CL counterpart. The inherited performance guarantees are catalogued, and the implications for HUF implementation confidence are stated.</w:t>
      </w:r>
    </w:p>
    <w:p>
      <w:pPr>
        <w:pStyle w:val="Heading1"/>
        <w:spacing w:after="200" w:before="360"/>
      </w:pPr>
      <w:r>
        <w:rPr>
          <w:rFonts w:ascii="Times New Roman" w:cs="Times New Roman" w:eastAsia="Times New Roman" w:hAnsi="Times New Roman"/>
          <w:b/>
          <w:bCs/>
          <w:color w:val="1F3864"/>
          <w:sz w:val="28"/>
          <w:szCs w:val="28"/>
        </w:rPr>
        <w:t xml:space="preserve">2  The Phase-Locked Loop as Universal Control Primitive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phase-locked loop is a negative-feedback control system that locks an output signal to a reference signal in frequency and phase. Its core architecture is invariant across all application domains:</w:t>
      </w:r>
    </w:p>
    <w:p>
      <w:pPr>
        <w:spacing w:after="120" w:before="120"/>
        <w:jc w:val="center"/>
      </w:pPr>
      <w:r>
        <w:rPr>
          <w:rFonts w:ascii="Cambria Math" w:cs="Cambria Math" w:eastAsia="Cambria Math" w:hAnsi="Cambria Math"/>
          <w:color w:val="333333"/>
          <w:sz w:val="22"/>
          <w:szCs w:val="22"/>
        </w:rPr>
        <w:t xml:space="preserve">PLL := { Phase Detector → Loop Filter → VCO → Feedback Divider }</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universality of this architecture is not accidental. The PLL implements the minimum-complexity feedback controller for any system where the controlled variable is a periodic or quasi-periodic quantity, and the error signal is expressible as a phase difference. This is precisely the structure that the HUF Closed-Loop Control Architecture inherits.</w:t>
      </w:r>
    </w:p>
    <w:p>
      <w:pPr>
        <w:spacing w:after="120" w:before="120"/>
        <w:ind w:left="480" w:right="360"/>
      </w:pPr>
      <w:r>
        <w:rPr>
          <w:rFonts w:ascii="Times New Roman" w:cs="Times New Roman" w:eastAsia="Times New Roman" w:hAnsi="Times New Roman"/>
          <w:b/>
          <w:bCs/>
          <w:color w:val="1F3864"/>
          <w:sz w:val="22"/>
          <w:szCs w:val="22"/>
        </w:rPr>
        <w:t xml:space="preserve">Definition 2.1 (PLL Control Invariant)  </w:t>
      </w:r>
      <w:r>
        <w:rPr>
          <w:rFonts w:ascii="Times New Roman" w:cs="Times New Roman" w:eastAsia="Times New Roman" w:hAnsi="Times New Roman"/>
          <w:color w:val="333333"/>
          <w:sz w:val="22"/>
          <w:szCs w:val="22"/>
        </w:rPr>
        <w:t xml:space="preserve">A PLL maintains lock when the phase error θₑ(t) remains within the linear region of the phase detector characteristic. The lock range Δωₗ and capture range Δωᴄ define the operational envelope.</w:t>
      </w:r>
    </w:p>
    <w:p>
      <w:pPr>
        <w:spacing w:after="120" w:before="120"/>
        <w:ind w:left="480" w:right="360"/>
      </w:pPr>
      <w:r>
        <w:rPr>
          <w:rFonts w:ascii="Times New Roman" w:cs="Times New Roman" w:eastAsia="Times New Roman" w:hAnsi="Times New Roman"/>
          <w:b/>
          <w:bCs/>
          <w:color w:val="1F3864"/>
          <w:sz w:val="22"/>
          <w:szCs w:val="22"/>
        </w:rPr>
        <w:t xml:space="preserve">Definition 2.2 (CL Control Invariant)  </w:t>
      </w:r>
      <w:r>
        <w:rPr>
          <w:rFonts w:ascii="Times New Roman" w:cs="Times New Roman" w:eastAsia="Times New Roman" w:hAnsi="Times New Roman"/>
          <w:color w:val="333333"/>
          <w:sz w:val="22"/>
          <w:szCs w:val="22"/>
        </w:rPr>
        <w:t xml:space="preserve">The HUF CL architecture maintains validity when the effective complexity Kᵉᶠᶠ remains within the acceptance band defined by CL-01 (simplex validity) and the drift magnitude remains within the correctable range defined by CL-02/CL-03. The operational envelope is [Kᵉᶠᶠᵐᵢⁿ, Kᵉᶠᶠᵐᵃˣ].</w:t>
      </w:r>
    </w:p>
    <w:p>
      <w:pPr>
        <w:spacing w:after="120" w:before="120"/>
        <w:ind w:left="480" w:right="360"/>
      </w:pPr>
      <w:r>
        <w:rPr>
          <w:rFonts w:ascii="Times New Roman" w:cs="Times New Roman" w:eastAsia="Times New Roman" w:hAnsi="Times New Roman"/>
          <w:b/>
          <w:bCs/>
          <w:i/>
          <w:iCs/>
          <w:color w:val="8B4513"/>
          <w:sz w:val="22"/>
          <w:szCs w:val="22"/>
        </w:rPr>
        <w:t xml:space="preserve">Proposition 2.3 (Structural Equivalence)  </w:t>
      </w:r>
      <w:r>
        <w:rPr>
          <w:rFonts w:ascii="Times New Roman" w:cs="Times New Roman" w:eastAsia="Times New Roman" w:hAnsi="Times New Roman"/>
          <w:color w:val="333333"/>
          <w:sz w:val="22"/>
          <w:szCs w:val="22"/>
        </w:rPr>
        <w:t xml:space="preserve">The CL control invariant (Def 2.2) is isomorphic to the PLL control invariant (Def 2.1) under the substitution θₑ → ΔKᵉᶠᶠ and Δωₗ → [Kᵉᶠᶠᵐᵢⁿ, Kᵉᶠᶠᵐᵃˣ]. Both systems implement phase-comparison negative feedback with bounded error.</w:t>
      </w:r>
    </w:p>
    <w:p>
      <w:r>
        <w:br w:type="page"/>
      </w:r>
    </w:p>
    <w:p>
      <w:pPr>
        <w:pStyle w:val="Heading1"/>
        <w:spacing w:after="200" w:before="360"/>
      </w:pPr>
      <w:r>
        <w:rPr>
          <w:rFonts w:ascii="Times New Roman" w:cs="Times New Roman" w:eastAsia="Times New Roman" w:hAnsi="Times New Roman"/>
          <w:b/>
          <w:bCs/>
          <w:color w:val="1F3864"/>
          <w:sz w:val="28"/>
          <w:szCs w:val="28"/>
        </w:rPr>
        <w:t xml:space="preserve">3  Five PLL Application Domains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following five application classes represent the principal deployment contexts for PLLs in modern electronic systems. Each has been refined through decades of engineering practice, yielding well-characterised performance bounds, stability criteria, and failure modes.</w:t>
      </w:r>
    </w:p>
    <w:p>
      <w:pPr>
        <w:pStyle w:val="Heading2"/>
        <w:spacing w:after="160" w:before="280"/>
      </w:pPr>
      <w:r>
        <w:rPr>
          <w:rFonts w:ascii="Times New Roman" w:cs="Times New Roman" w:eastAsia="Times New Roman" w:hAnsi="Times New Roman"/>
          <w:b/>
          <w:bCs/>
          <w:color w:val="1F3864"/>
          <w:sz w:val="24"/>
          <w:szCs w:val="24"/>
        </w:rPr>
        <w:t xml:space="preserve">3.1  Clock Generation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microprocessors and digital systems, PLLs generate internal high-frequency clocks from a stable low-frequency reference crystal. The PLL multiplies the reference frequency by the feedback divider ratio N, producing a phase-coherent output at N × fᵣₑᶠ.</w:t>
      </w:r>
    </w:p>
    <w:p>
      <w:pPr>
        <w:spacing w:after="120" w:before="120"/>
        <w:ind w:left="480" w:right="360"/>
      </w:pPr>
      <w:r>
        <w:rPr>
          <w:rFonts w:ascii="Times New Roman" w:cs="Times New Roman" w:eastAsia="Times New Roman" w:hAnsi="Times New Roman"/>
          <w:b/>
          <w:bCs/>
          <w:color w:val="1F3864"/>
          <w:sz w:val="22"/>
          <w:szCs w:val="22"/>
        </w:rPr>
        <w:t xml:space="preserve">Definition 3.1 (Clock Generator)  </w:t>
      </w:r>
      <w:r>
        <w:rPr>
          <w:rFonts w:ascii="Times New Roman" w:cs="Times New Roman" w:eastAsia="Times New Roman" w:hAnsi="Times New Roman"/>
          <w:color w:val="333333"/>
          <w:sz w:val="22"/>
          <w:szCs w:val="22"/>
        </w:rPr>
        <w:t xml:space="preserve">A PLL clock generator takes reference fᵣₑᶠ and produces output fₒᵤᵗ = N × fᵣₑᶠ, maintaining phase coherence within jitter bound Jᵐᵃˣ.</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CL-05 (PLL-Style Restorative Control) is the direct inheritor. CL-05 takes the reference distribution ρ* as its "crystal reference" and regenerates the system state at the restorative cadence. The recalibration cycle is the clock; the reference distribution is the crystal. Phase jitter corresponds to residual Kᵉᶠᶠ variance after correction.</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Modern PLL clock generators achieve jitter &lt; 1 ps RMS at multi-GHz frequencies. The engineering principle — that a low-noise reference, multiplied through a well-damped loop, produces a stable high-frequency output — transfers directly to CL-05’s task of regenerating a stable Kᵉᶠᶠ from a validated reference distribution.</w:t>
      </w:r>
    </w:p>
    <w:p>
      <w:pPr>
        <w:pStyle w:val="Heading2"/>
        <w:spacing w:after="160" w:before="280"/>
      </w:pPr>
      <w:r>
        <w:rPr>
          <w:rFonts w:ascii="Times New Roman" w:cs="Times New Roman" w:eastAsia="Times New Roman" w:hAnsi="Times New Roman"/>
          <w:b/>
          <w:bCs/>
          <w:color w:val="1F3864"/>
          <w:sz w:val="24"/>
          <w:szCs w:val="24"/>
        </w:rPr>
        <w:t xml:space="preserve">3.2  Frequency Synthesis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RF communications, PLL-based frequency synthesisers generate stable carrier frequencies across a wide bandwidth from a single reference oscillator. The synthesiser must switch between channels while maintaining spectral purity.</w:t>
      </w:r>
    </w:p>
    <w:p>
      <w:pPr>
        <w:spacing w:after="120" w:before="120"/>
        <w:ind w:left="480" w:right="360"/>
      </w:pPr>
      <w:r>
        <w:rPr>
          <w:rFonts w:ascii="Times New Roman" w:cs="Times New Roman" w:eastAsia="Times New Roman" w:hAnsi="Times New Roman"/>
          <w:b/>
          <w:bCs/>
          <w:color w:val="1F3864"/>
          <w:sz w:val="22"/>
          <w:szCs w:val="22"/>
        </w:rPr>
        <w:t xml:space="preserve">Definition 3.2 (Frequency Synthesiser)  </w:t>
      </w:r>
      <w:r>
        <w:rPr>
          <w:rFonts w:ascii="Times New Roman" w:cs="Times New Roman" w:eastAsia="Times New Roman" w:hAnsi="Times New Roman"/>
          <w:color w:val="333333"/>
          <w:sz w:val="22"/>
          <w:szCs w:val="22"/>
        </w:rPr>
        <w:t xml:space="preserve">A PLL frequency synthesiser produces any of M discrete output frequencies from a single reference, with switching time tₛₑₜₜₗₑ and phase noise ℒ(f) below a specified mask.</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The entire CL-01 → CL-04 pipeline acts as the frequency synthesiser. It takes raw portfolio data (the "reference oscillator") and produces a stable operating-band output — the validated Kᵉᶠᶠ range — that spans the full diversity spectrum. The pipeline must handle portfolio rebalancing (channel switching) while maintaining measurement integrity (spectral purity).</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Modern fractional-N synthesisers achieve settling times &lt; 100 µs and phase noise &lt; −100 dBc/Hz. The engineering principle — that a single stable reference, processed through a structured feedback pipeline, can generate any frequency in the operating band — maps to the CL pipeline’s ability to produce valid Kᵉᶠᶠ readings across any portfolio configuration.</w:t>
      </w:r>
    </w:p>
    <w:p>
      <w:pPr>
        <w:pStyle w:val="Heading2"/>
        <w:spacing w:after="160" w:before="280"/>
      </w:pPr>
      <w:r>
        <w:rPr>
          <w:rFonts w:ascii="Times New Roman" w:cs="Times New Roman" w:eastAsia="Times New Roman" w:hAnsi="Times New Roman"/>
          <w:b/>
          <w:bCs/>
          <w:color w:val="1F3864"/>
          <w:sz w:val="24"/>
          <w:szCs w:val="24"/>
        </w:rPr>
        <w:t xml:space="preserve">3.3  Demodulation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PLLs serve as FM demodulators by tracking the instantaneous frequency of the input signal. The VCO control voltage becomes the demodulated output, as it must follow the input frequency variations to maintain lock.</w:t>
      </w:r>
    </w:p>
    <w:p>
      <w:pPr>
        <w:spacing w:after="120" w:before="120"/>
        <w:ind w:left="480" w:right="360"/>
      </w:pPr>
      <w:r>
        <w:rPr>
          <w:rFonts w:ascii="Times New Roman" w:cs="Times New Roman" w:eastAsia="Times New Roman" w:hAnsi="Times New Roman"/>
          <w:b/>
          <w:bCs/>
          <w:color w:val="1F3864"/>
          <w:sz w:val="22"/>
          <w:szCs w:val="22"/>
        </w:rPr>
        <w:t xml:space="preserve">Definition 3.3 (PLL FM Demodulator)  </w:t>
      </w:r>
      <w:r>
        <w:rPr>
          <w:rFonts w:ascii="Times New Roman" w:cs="Times New Roman" w:eastAsia="Times New Roman" w:hAnsi="Times New Roman"/>
          <w:color w:val="333333"/>
          <w:sz w:val="22"/>
          <w:szCs w:val="22"/>
        </w:rPr>
        <w:t xml:space="preserve">A PLL demodulator extracts the information signal m(t) from an FM carrier by tracking Δf(t), producing output proportional to the instantaneous frequency deviation.</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CL-03 (Effective Complexity Gauge) is the FM discriminator. It maps to the S-curve characteristic of the phase detector. The "information signal" is the drift magnitude and direction; the "reference" is the expected Kᵉᶠᶠ trajectory derived from ρ*. CL-03 extracts the deviation signal that tells CL-04 how far and in which direction the system has moved.</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PLL FM demodulators achieve superior linearity and noise performance compared to slope detectors or ratio detectors, precisely because the feedback loop actively tracks the signal rather than passively measuring it. CL-03 inherits this active-tracking advantage: it does not simply measure Kᵉᶠᶠ, it characterises the trajectory, providing CL-04 with a richer decision input than any static threshold could.</w:t>
      </w:r>
    </w:p>
    <w:p>
      <w:r>
        <w:br w:type="page"/>
      </w:r>
    </w:p>
    <w:p>
      <w:pPr>
        <w:pStyle w:val="Heading2"/>
        <w:spacing w:after="160" w:before="280"/>
      </w:pPr>
      <w:r>
        <w:rPr>
          <w:rFonts w:ascii="Times New Roman" w:cs="Times New Roman" w:eastAsia="Times New Roman" w:hAnsi="Times New Roman"/>
          <w:b/>
          <w:bCs/>
          <w:color w:val="1F3864"/>
          <w:sz w:val="24"/>
          <w:szCs w:val="24"/>
        </w:rPr>
        <w:t xml:space="preserve">3.4  Signal Recovery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noisy communication channels, PLLs recover carrier signals buried in noise by exploiting the loop’s narrowband filtering property. The PLL acts as an adaptive bandpass filter whose centre frequency tracks the incoming carrier.</w:t>
      </w:r>
    </w:p>
    <w:p>
      <w:pPr>
        <w:spacing w:after="120" w:before="120"/>
        <w:ind w:left="480" w:right="360"/>
      </w:pPr>
      <w:r>
        <w:rPr>
          <w:rFonts w:ascii="Times New Roman" w:cs="Times New Roman" w:eastAsia="Times New Roman" w:hAnsi="Times New Roman"/>
          <w:b/>
          <w:bCs/>
          <w:color w:val="1F3864"/>
          <w:sz w:val="22"/>
          <w:szCs w:val="22"/>
        </w:rPr>
        <w:t xml:space="preserve">Definition 3.4 (PLL Signal Recovery)  </w:t>
      </w:r>
      <w:r>
        <w:rPr>
          <w:rFonts w:ascii="Times New Roman" w:cs="Times New Roman" w:eastAsia="Times New Roman" w:hAnsi="Times New Roman"/>
          <w:color w:val="333333"/>
          <w:sz w:val="22"/>
          <w:szCs w:val="22"/>
        </w:rPr>
        <w:t xml:space="preserve">A PLL carrier recovery system extracts signal s(t) from observation y(t) = s(t) + n(t) by narrowing the effective noise bandwidth Bₗ of the loop, achieving SNR improvement proportional to fₙ/Bₗ where fₙ is the input noise bandwidth.</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CL-02 (Scale-Invariant Drift Trigger) is the signal recovery stage. The Total Variation Distance threshold (TV = ½Σ|ρᵢ − ρᵢ*|) acts as the narrowband filter, pulling meaningful drift signals out of statistical noise. Small random fluctuations (noise) fall below threshold; genuine structural shifts (signal) exceed it.</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PLL carrier recovery operates reliably at SNRs well below 0 dB by trading loop bandwidth for noise rejection. CL-02 inherits this: the TV distance threshold (house default metric) provides a principled noise floor, and the scale-invariance property ensures the threshold adapts to the portfolio’s intrinsic dimensionality rather than requiring manual tuning. Domain-specific perceptual calibrations (e.g. JND in dB) are presentation-layer mappings applied after the TV computation.</w:t>
      </w:r>
    </w:p>
    <w:p>
      <w:pPr>
        <w:pStyle w:val="Heading2"/>
        <w:spacing w:after="160" w:before="280"/>
      </w:pPr>
      <w:r>
        <w:rPr>
          <w:rFonts w:ascii="Times New Roman" w:cs="Times New Roman" w:eastAsia="Times New Roman" w:hAnsi="Times New Roman"/>
          <w:b/>
          <w:bCs/>
          <w:color w:val="1F3864"/>
          <w:sz w:val="24"/>
          <w:szCs w:val="24"/>
        </w:rPr>
        <w:t xml:space="preserve">3.5  Ultrafast Switching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vector network analysers (VNAs) and radar systems, PLL-based frequency synthesisers must achieve ultrafast switching between discrete frequencies with clean, unambiguous transitions and no intermediate-state dwell.</w:t>
      </w:r>
    </w:p>
    <w:p>
      <w:pPr>
        <w:spacing w:after="120" w:before="120"/>
        <w:ind w:left="480" w:right="360"/>
      </w:pPr>
      <w:r>
        <w:rPr>
          <w:rFonts w:ascii="Times New Roman" w:cs="Times New Roman" w:eastAsia="Times New Roman" w:hAnsi="Times New Roman"/>
          <w:b/>
          <w:bCs/>
          <w:color w:val="1F3864"/>
          <w:sz w:val="22"/>
          <w:szCs w:val="22"/>
        </w:rPr>
        <w:t xml:space="preserve">Definition 3.5 (Ultrafast Switching Synthesiser)  </w:t>
      </w:r>
      <w:r>
        <w:rPr>
          <w:rFonts w:ascii="Times New Roman" w:cs="Times New Roman" w:eastAsia="Times New Roman" w:hAnsi="Times New Roman"/>
          <w:color w:val="333333"/>
          <w:sz w:val="22"/>
          <w:szCs w:val="22"/>
        </w:rPr>
        <w:t xml:space="preserve">An ultrafast PLL synthesiser transitions between frequencies f₁ and f₂ in time tₛ &lt; tₘₐₓ, with overshoot &lt; ε and no intermediate frequency dwelling, producing a clean step response.</w:t>
      </w:r>
    </w:p>
    <w:p>
      <w:pPr>
        <w:spacing w:after="160" w:before="0"/>
        <w:jc w:val="both"/>
      </w:pPr>
      <w:r>
        <w:rPr>
          <w:rFonts w:ascii="Times New Roman" w:cs="Times New Roman" w:eastAsia="Times New Roman" w:hAnsi="Times New Roman"/>
          <w:b/>
          <w:bCs/>
          <w:color w:val="1F3864"/>
          <w:sz w:val="22"/>
          <w:szCs w:val="22"/>
        </w:rPr>
        <w:t xml:space="preserve">CL Mapping: </w:t>
      </w:r>
      <w:r>
        <w:rPr>
          <w:rFonts w:ascii="Times New Roman" w:cs="Times New Roman" w:eastAsia="Times New Roman" w:hAnsi="Times New Roman"/>
          <w:color w:val="333333"/>
          <w:sz w:val="22"/>
          <w:szCs w:val="22"/>
        </w:rPr>
        <w:t xml:space="preserve">CL-04 (Gain-Scheduled Verdict Logic) is the ultrafast switching stage. The GREEN/YELLOW/RED state transitions must be decisive and clean — no ambiguous intermediate states, no oscillation between verdicts. The gain-scheduling ensures that the response adapts to the magnitude of the detected drift: small drifts get conservative (slow loop bandwidth) treatment, large drifts get aggressive (wide bandwidth) correction.</w:t>
      </w:r>
    </w:p>
    <w:p>
      <w:pPr>
        <w:spacing w:after="160" w:before="0"/>
        <w:jc w:val="both"/>
      </w:pPr>
      <w:r>
        <w:rPr>
          <w:rFonts w:ascii="Times New Roman" w:cs="Times New Roman" w:eastAsia="Times New Roman" w:hAnsi="Times New Roman"/>
          <w:b/>
          <w:bCs/>
          <w:color w:val="8B4513"/>
          <w:sz w:val="22"/>
          <w:szCs w:val="22"/>
        </w:rPr>
        <w:t xml:space="preserve">Inherited guarantee: </w:t>
      </w:r>
      <w:r>
        <w:rPr>
          <w:rFonts w:ascii="Times New Roman" w:cs="Times New Roman" w:eastAsia="Times New Roman" w:hAnsi="Times New Roman"/>
          <w:color w:val="333333"/>
          <w:sz w:val="22"/>
          <w:szCs w:val="22"/>
        </w:rPr>
        <w:t xml:space="preserve">Modern VNA synthesisers achieve switching times &lt; 1 µs with settling to within 0.1° of final phase. The engineering principle — that gain scheduling eliminates the bandwidth-stability trade-off by adapting loop parameters to operating conditions — transfers directly to CL-04’s traffic-light logic. The verdict is fast when it needs to be and stable when it needs to be.</w:t>
      </w:r>
    </w:p>
    <w:p>
      <w:r>
        <w:br w:type="page"/>
      </w:r>
    </w:p>
    <w:p>
      <w:pPr>
        <w:pStyle w:val="Heading1"/>
        <w:spacing w:after="200" w:before="360"/>
      </w:pPr>
      <w:r>
        <w:rPr>
          <w:rFonts w:ascii="Times New Roman" w:cs="Times New Roman" w:eastAsia="Times New Roman" w:hAnsi="Times New Roman"/>
          <w:b/>
          <w:bCs/>
          <w:color w:val="1F3864"/>
          <w:sz w:val="28"/>
          <w:szCs w:val="28"/>
        </w:rPr>
        <w:t xml:space="preserve">4  The Complete Structural Mapping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Table 4.1 presents the complete homomorphism between PLL application domains and CL architecture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900"/>
        <w:gridCol w:w="2060"/>
        <w:gridCol w:w="2400"/>
      </w:tblGrid>
      <w:tr>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Domain</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 Stage</w:t>
            </w:r>
          </w:p>
        </w:tc>
        <w:tc>
          <w:tcPr>
            <w:tcW w:type="dxa" w:w="19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Function</w:t>
            </w:r>
          </w:p>
        </w:tc>
        <w:tc>
          <w:tcPr>
            <w:tcW w:type="dxa" w:w="20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Error Variable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Inherited Property</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Clock Generation</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CL-05</w:t>
            </w:r>
          </w:p>
        </w:tc>
        <w:tc>
          <w:tcPr>
            <w:tcW w:type="dxa" w:w="1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Restorative control from reference</w:t>
            </w:r>
          </w:p>
        </w:tc>
        <w:tc>
          <w:tcPr>
            <w:tcW w:type="dxa" w:w="20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ΔKᵉᶠᶠ from ρ*</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Sub-ps jitter; stable regeneration from low-noise reference</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Freq. Synthesis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CL-01→CL-04</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Stable output across operating band</w:t>
            </w:r>
          </w:p>
        </w:tc>
        <w:tc>
          <w:tcPr>
            <w:tcW w:type="dxa" w:w="2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Kᵉᶠᶠ validity band</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Spectral purity; single-reference multi-output</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Demodulation</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CL-03</w:t>
            </w:r>
          </w:p>
        </w:tc>
        <w:tc>
          <w:tcPr>
            <w:tcW w:type="dxa" w:w="1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Extract information from carrier</w:t>
            </w:r>
          </w:p>
        </w:tc>
        <w:tc>
          <w:tcPr>
            <w:tcW w:type="dxa" w:w="20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Drift magnitude + direction</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Active tracking &gt; passive measurement; S-curve linearity</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Signal Recovery</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CL-02</w:t>
            </w:r>
          </w:p>
        </w:tc>
        <w:tc>
          <w:tcPr>
            <w:tcW w:type="dxa" w:w="1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Extract signal from noise</w:t>
            </w:r>
          </w:p>
        </w:tc>
        <w:tc>
          <w:tcPr>
            <w:tcW w:type="dxa" w:w="2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TV distance vs threshold</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Noise rejection via loop bandwidth narrowing</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Ultrafast Switching</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CL-04</w:t>
            </w:r>
          </w:p>
        </w:tc>
        <w:tc>
          <w:tcPr>
            <w:tcW w:type="dxa" w:w="1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Clean state transitions</w:t>
            </w:r>
          </w:p>
        </w:tc>
        <w:tc>
          <w:tcPr>
            <w:tcW w:type="dxa" w:w="20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G/Y/R verdict states</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Gain-scheduling; no intermediate-state dwell</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4.1: PLL-to-CL structural homomorphism. Each mapping preserves the control topology, not merely the label.</w:t>
      </w:r>
    </w:p>
    <w:p>
      <w:pPr>
        <w:pStyle w:val="Heading1"/>
        <w:spacing w:after="200" w:before="360"/>
      </w:pPr>
      <w:r>
        <w:rPr>
          <w:rFonts w:ascii="Times New Roman" w:cs="Times New Roman" w:eastAsia="Times New Roman" w:hAnsi="Times New Roman"/>
          <w:b/>
          <w:bCs/>
          <w:color w:val="1F3864"/>
          <w:sz w:val="28"/>
          <w:szCs w:val="28"/>
        </w:rPr>
        <w:t xml:space="preserve">5  The Sixth Element: The Carrier</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five PLL application domains map to five CL stages. But there is a sixth structural element that completes the homomorphism: the carrier itself.</w:t>
      </w:r>
    </w:p>
    <w:p>
      <w:pPr>
        <w:spacing w:after="120" w:before="120"/>
        <w:ind w:left="480" w:right="360"/>
      </w:pPr>
      <w:r>
        <w:rPr>
          <w:rFonts w:ascii="Times New Roman" w:cs="Times New Roman" w:eastAsia="Times New Roman" w:hAnsi="Times New Roman"/>
          <w:b/>
          <w:bCs/>
          <w:color w:val="1F3864"/>
          <w:sz w:val="22"/>
          <w:szCs w:val="22"/>
        </w:rPr>
        <w:t xml:space="preserve">Definition 5.1 (FM Carrier)  </w:t>
      </w:r>
      <w:r>
        <w:rPr>
          <w:rFonts w:ascii="Times New Roman" w:cs="Times New Roman" w:eastAsia="Times New Roman" w:hAnsi="Times New Roman"/>
          <w:color w:val="333333"/>
          <w:sz w:val="22"/>
          <w:szCs w:val="22"/>
        </w:rPr>
        <w:t xml:space="preserve">In FM broadcasting, the carrier is the unmodulated sinusoid at frequency fᴄ that transports the information signal. Without the carrier, there is no channel; without modulation, there is no information.</w:t>
      </w:r>
    </w:p>
    <w:p>
      <w:pPr>
        <w:spacing w:after="120" w:before="120"/>
        <w:ind w:left="480" w:right="360"/>
      </w:pPr>
      <w:r>
        <w:rPr>
          <w:rFonts w:ascii="Times New Roman" w:cs="Times New Roman" w:eastAsia="Times New Roman" w:hAnsi="Times New Roman"/>
          <w:b/>
          <w:bCs/>
          <w:color w:val="1F3864"/>
          <w:sz w:val="22"/>
          <w:szCs w:val="22"/>
        </w:rPr>
        <w:t xml:space="preserve">Definition 5.2 (HUF Carrier)  </w:t>
      </w:r>
      <w:r>
        <w:rPr>
          <w:rFonts w:ascii="Times New Roman" w:cs="Times New Roman" w:eastAsia="Times New Roman" w:hAnsi="Times New Roman"/>
          <w:color w:val="333333"/>
          <w:sz w:val="22"/>
          <w:szCs w:val="22"/>
        </w:rPr>
        <w:t xml:space="preserve">In the HUF framework, the carrier is the ratio-state vector ρ on the simplex Δⁿ⁻¹ — the normalised allocation that transports portfolio state through the CL pipeline. The observable derived from this carrier is Kᵉᶠᶠ, the effective complexity metric. Without ρ, there is no state; without Kᵉᶠᶠ, there is no scalar summary for the control pipeline to act on.</w:t>
      </w:r>
    </w:p>
    <w:p>
      <w:pPr>
        <w:spacing w:after="120" w:before="120"/>
        <w:ind w:left="480" w:right="360"/>
      </w:pPr>
      <w:r>
        <w:rPr>
          <w:rFonts w:ascii="Times New Roman" w:cs="Times New Roman" w:eastAsia="Times New Roman" w:hAnsi="Times New Roman"/>
          <w:b/>
          <w:bCs/>
          <w:i/>
          <w:iCs/>
          <w:color w:val="8B4513"/>
          <w:sz w:val="22"/>
          <w:szCs w:val="22"/>
        </w:rPr>
        <w:t xml:space="preserve">Proposition 5.3  </w:t>
      </w:r>
      <w:r>
        <w:rPr>
          <w:rFonts w:ascii="Times New Roman" w:cs="Times New Roman" w:eastAsia="Times New Roman" w:hAnsi="Times New Roman"/>
          <w:color w:val="333333"/>
          <w:sz w:val="22"/>
          <w:szCs w:val="22"/>
        </w:rPr>
        <w:t xml:space="preserve">The FM carrier fᴄ and the HUF carrier ρ occupy the same structural position: both are the signal that the control pipeline senses, transforms, and corrects. Kᵉᶠᶠ is the demodulated observable — the scalar extracted from the carrier ρ, just as audio is the scalar extracted from the FM carrier fᴄ. The entire CL architecture is a receiver for the ρ signal, with Kᵉᶠᶠ as its demodulated output.</w:t>
      </w:r>
    </w:p>
    <w:p>
      <w:pPr>
        <w:pStyle w:val="Heading1"/>
        <w:spacing w:after="200" w:before="360"/>
      </w:pPr>
      <w:r>
        <w:rPr>
          <w:rFonts w:ascii="Times New Roman" w:cs="Times New Roman" w:eastAsia="Times New Roman" w:hAnsi="Times New Roman"/>
          <w:b/>
          <w:bCs/>
          <w:color w:val="1F3864"/>
          <w:sz w:val="28"/>
          <w:szCs w:val="28"/>
        </w:rPr>
        <w:t xml:space="preserve">6  Inherited Performance Characteristics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value of the PLL precedent is not the analogy itself but the performance guarantees that transfer with it. Each guarantee listed below has been validated in deployed systems over decades of engineering practice.</w:t>
      </w:r>
    </w:p>
    <w:p>
      <w:pPr>
        <w:pStyle w:val="Heading2"/>
        <w:spacing w:after="160" w:before="280"/>
      </w:pPr>
      <w:r>
        <w:rPr>
          <w:rFonts w:ascii="Times New Roman" w:cs="Times New Roman" w:eastAsia="Times New Roman" w:hAnsi="Times New Roman"/>
          <w:b/>
          <w:bCs/>
          <w:color w:val="1F3864"/>
          <w:sz w:val="24"/>
          <w:szCs w:val="24"/>
        </w:rPr>
        <w:t xml:space="preserve">6.1  Stability</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A second-order PLL with damping factor ζ &gt; 0.707 is unconditionally stable within its lock range. Stability is guaranteed by the Barkhausen criterion applied to the linearised loop.</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The CL architecture inherits conditional stability. If the gain scheduling in CL-04 is properly damped (equivalent to ζ &gt; 0.707), the pipeline will not oscillate between verdicts. The damping factor maps to the hysteresis width between GREEN→YELLOW and YELLOW→GREEN thresholds.</w:t>
      </w:r>
    </w:p>
    <w:p>
      <w:pPr>
        <w:pStyle w:val="Heading2"/>
        <w:spacing w:after="160" w:before="280"/>
      </w:pPr>
      <w:r>
        <w:rPr>
          <w:rFonts w:ascii="Times New Roman" w:cs="Times New Roman" w:eastAsia="Times New Roman" w:hAnsi="Times New Roman"/>
          <w:b/>
          <w:bCs/>
          <w:color w:val="1F3864"/>
          <w:sz w:val="24"/>
          <w:szCs w:val="24"/>
        </w:rPr>
        <w:t xml:space="preserve">6.2  Noise Rejection</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The effective noise bandwidth Bₗ = (ωₙ/8ζ) for a second-order loop. Reducing Bₗ improves SNR at the cost of tracking bandwidth.</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CL-02’s TV threshold is the noise bandwidth control. A tighter threshold (smaller Bₗ equivalent) rejects more statistical noise but may miss genuine slow drifts. The trade-off is identical to the PLL bandwidth-tracking trade-off and admits the same optimal tuning strategies.</w:t>
      </w:r>
    </w:p>
    <w:p>
      <w:pPr>
        <w:pStyle w:val="Heading2"/>
        <w:spacing w:after="160" w:before="280"/>
      </w:pPr>
      <w:r>
        <w:rPr>
          <w:rFonts w:ascii="Times New Roman" w:cs="Times New Roman" w:eastAsia="Times New Roman" w:hAnsi="Times New Roman"/>
          <w:b/>
          <w:bCs/>
          <w:color w:val="1F3864"/>
          <w:sz w:val="24"/>
          <w:szCs w:val="24"/>
        </w:rPr>
        <w:t xml:space="preserve">6.3  Acquisition Time</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Pull-in time Tₚ ∝ Δω² / (Bₗ³) for a second-order loop. Large initial frequency errors require longer acquisition.</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When CL-05 attempts restorative correction from a large Kᵉᶠᶠ deviation, the correction time is governed by the same relationship. Large deviations require more iterations (wider "pull-in"), while deviations within the "lock range" are corrected in a single cycle.</w:t>
      </w:r>
    </w:p>
    <w:p>
      <w:pPr>
        <w:pStyle w:val="Heading2"/>
        <w:spacing w:after="160" w:before="280"/>
      </w:pPr>
      <w:r>
        <w:rPr>
          <w:rFonts w:ascii="Times New Roman" w:cs="Times New Roman" w:eastAsia="Times New Roman" w:hAnsi="Times New Roman"/>
          <w:b/>
          <w:bCs/>
          <w:color w:val="1F3864"/>
          <w:sz w:val="24"/>
          <w:szCs w:val="24"/>
        </w:rPr>
        <w:t xml:space="preserve">6.4  Lock Detection</w:t>
      </w:r>
    </w:p>
    <w:p>
      <w:pPr>
        <w:spacing w:after="160" w:before="0"/>
        <w:jc w:val="both"/>
      </w:pPr>
      <w:r>
        <w:rPr>
          <w:rFonts w:ascii="Times New Roman" w:cs="Times New Roman" w:eastAsia="Times New Roman" w:hAnsi="Times New Roman"/>
          <w:b/>
          <w:bCs/>
          <w:color w:val="333333"/>
          <w:sz w:val="22"/>
          <w:szCs w:val="22"/>
        </w:rPr>
        <w:t xml:space="preserve">PLL: </w:t>
      </w:r>
      <w:r>
        <w:rPr>
          <w:rFonts w:ascii="Times New Roman" w:cs="Times New Roman" w:eastAsia="Times New Roman" w:hAnsi="Times New Roman"/>
          <w:color w:val="333333"/>
          <w:sz w:val="22"/>
          <w:szCs w:val="22"/>
        </w:rPr>
        <w:t xml:space="preserve">Lock detectors monitor the phase error variance. When σ²(θₑ) falls below a threshold, the loop is declared locked.</w:t>
      </w:r>
    </w:p>
    <w:p>
      <w:pPr>
        <w:spacing w:after="160" w:before="0"/>
        <w:jc w:val="both"/>
      </w:pPr>
      <w:r>
        <w:rPr>
          <w:rFonts w:ascii="Times New Roman" w:cs="Times New Roman" w:eastAsia="Times New Roman" w:hAnsi="Times New Roman"/>
          <w:b/>
          <w:bCs/>
          <w:color w:val="1F3864"/>
          <w:sz w:val="22"/>
          <w:szCs w:val="22"/>
        </w:rPr>
        <w:t xml:space="preserve">CL transfer: </w:t>
      </w:r>
      <w:r>
        <w:rPr>
          <w:rFonts w:ascii="Times New Roman" w:cs="Times New Roman" w:eastAsia="Times New Roman" w:hAnsi="Times New Roman"/>
          <w:color w:val="333333"/>
          <w:sz w:val="22"/>
          <w:szCs w:val="22"/>
        </w:rPr>
        <w:t xml:space="preserve">CL-04’s GREEN verdict is the lock-detect signal. The system is "locked" when Kᵉᶠᶠ variance over the monitoring window falls below the GREEN threshold. YELLOW is the equivalent of "lock acquisition in progress"; RED is "loss of lock".</w:t>
      </w:r>
    </w:p>
    <w:p>
      <w:r>
        <w:br w:type="page"/>
      </w:r>
    </w:p>
    <w:p>
      <w:pPr>
        <w:pStyle w:val="Heading1"/>
        <w:spacing w:after="200" w:before="360"/>
      </w:pPr>
      <w:r>
        <w:rPr>
          <w:rFonts w:ascii="Times New Roman" w:cs="Times New Roman" w:eastAsia="Times New Roman" w:hAnsi="Times New Roman"/>
          <w:b/>
          <w:bCs/>
          <w:color w:val="1F3864"/>
          <w:sz w:val="28"/>
          <w:szCs w:val="28"/>
        </w:rPr>
        <w:t xml:space="preserve">7  Why This Is Homomorphism, Not Analogy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An analogy asserts that two systems share surface features. A homomorphism asserts that a structure-preserving map exists between the systems’ operational algebras. The distinction matters for implementation confidence.</w:t>
      </w:r>
    </w:p>
    <w:p>
      <w:pPr>
        <w:spacing w:after="120" w:before="120"/>
        <w:ind w:left="480" w:right="360"/>
      </w:pPr>
      <w:r>
        <w:rPr>
          <w:rFonts w:ascii="Times New Roman" w:cs="Times New Roman" w:eastAsia="Times New Roman" w:hAnsi="Times New Roman"/>
          <w:b/>
          <w:bCs/>
          <w:i/>
          <w:iCs/>
          <w:color w:val="6B3FA0"/>
          <w:sz w:val="22"/>
          <w:szCs w:val="22"/>
        </w:rPr>
        <w:t xml:space="preserve">Lemma 7.1 (Structure Preservation)  </w:t>
      </w:r>
      <w:r>
        <w:rPr>
          <w:rFonts w:ascii="Times New Roman" w:cs="Times New Roman" w:eastAsia="Times New Roman" w:hAnsi="Times New Roman"/>
          <w:color w:val="333333"/>
          <w:sz w:val="22"/>
          <w:szCs w:val="22"/>
        </w:rPr>
        <w:t xml:space="preserve">Let F: PLL → CL be the mapping defined in Table 4.1. Then F preserves: (i) composition — cascading PLL stages maps to cascading CL stages; (ii) feedback topology — the error signal path is preserved; (iii) stability conditions — the Barkhausen criterion maps to the CL gain-scheduling damping requirement; (iv) noise performance — the bandwidth-SNR trade-off is preserved.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If F preserved only the labels (e.g., "CL-03 is like a discriminator"), it would be analogy. Because F preserves the operational relationships between stages, it is homomorphism. This means that:</w:t>
      </w:r>
    </w:p>
    <w:p>
      <w:pPr>
        <w:spacing w:after="160" w:before="0"/>
        <w:jc w:val="both"/>
      </w:pPr>
      <w:r>
        <w:rPr>
          <w:rFonts w:ascii="Times New Roman" w:cs="Times New Roman" w:eastAsia="Times New Roman" w:hAnsi="Times New Roman"/>
          <w:b/>
          <w:bCs/>
          <w:color w:val="333333"/>
          <w:sz w:val="22"/>
          <w:szCs w:val="22"/>
        </w:rPr>
        <w:t xml:space="preserve">(a) </w:t>
      </w:r>
      <w:r>
        <w:rPr>
          <w:rFonts w:ascii="Times New Roman" w:cs="Times New Roman" w:eastAsia="Times New Roman" w:hAnsi="Times New Roman"/>
          <w:color w:val="333333"/>
          <w:sz w:val="22"/>
          <w:szCs w:val="22"/>
        </w:rPr>
        <w:t xml:space="preserve">Performance bounds proven for PLL systems transfer to CL systems under the mapping.</w:t>
      </w:r>
    </w:p>
    <w:p>
      <w:pPr>
        <w:spacing w:after="160" w:before="0"/>
        <w:jc w:val="both"/>
      </w:pPr>
      <w:r>
        <w:rPr>
          <w:rFonts w:ascii="Times New Roman" w:cs="Times New Roman" w:eastAsia="Times New Roman" w:hAnsi="Times New Roman"/>
          <w:b/>
          <w:bCs/>
          <w:color w:val="333333"/>
          <w:sz w:val="22"/>
          <w:szCs w:val="22"/>
        </w:rPr>
        <w:t xml:space="preserve">(b) </w:t>
      </w:r>
      <w:r>
        <w:rPr>
          <w:rFonts w:ascii="Times New Roman" w:cs="Times New Roman" w:eastAsia="Times New Roman" w:hAnsi="Times New Roman"/>
          <w:color w:val="333333"/>
          <w:sz w:val="22"/>
          <w:szCs w:val="22"/>
        </w:rPr>
        <w:t xml:space="preserve">Failure modes catalogued for PLL systems predict failure modes for CL systems.</w:t>
      </w:r>
    </w:p>
    <w:p>
      <w:pPr>
        <w:spacing w:after="160" w:before="0"/>
        <w:jc w:val="both"/>
      </w:pPr>
      <w:r>
        <w:rPr>
          <w:rFonts w:ascii="Times New Roman" w:cs="Times New Roman" w:eastAsia="Times New Roman" w:hAnsi="Times New Roman"/>
          <w:b/>
          <w:bCs/>
          <w:color w:val="333333"/>
          <w:sz w:val="22"/>
          <w:szCs w:val="22"/>
        </w:rPr>
        <w:t xml:space="preserve">(c) </w:t>
      </w:r>
      <w:r>
        <w:rPr>
          <w:rFonts w:ascii="Times New Roman" w:cs="Times New Roman" w:eastAsia="Times New Roman" w:hAnsi="Times New Roman"/>
          <w:color w:val="333333"/>
          <w:sz w:val="22"/>
          <w:szCs w:val="22"/>
        </w:rPr>
        <w:t xml:space="preserve">Tuning strategies developed for PLL systems (loop bandwidth selection, damping factor optimisation, lock-range specification) apply directly to CL tuning.</w:t>
      </w:r>
    </w:p>
    <w:p>
      <w:pPr>
        <w:pBdr>
          <w:top w:val="single" w:color="2E75B6" w:sz="2"/>
          <w:bottom w:val="single" w:color="2E75B6" w:sz="2"/>
        </w:pBdr>
        <w:shd w:fill="E0F2F1" w:val="clear"/>
        <w:spacing w:after="200" w:before="200"/>
        <w:ind w:left="360" w:right="360"/>
      </w:pPr>
      <w:r>
        <w:rPr>
          <w:rFonts w:ascii="Times New Roman" w:cs="Times New Roman" w:eastAsia="Times New Roman" w:hAnsi="Times New Roman"/>
          <w:b/>
          <w:bCs/>
          <w:color w:val="333333"/>
          <w:sz w:val="22"/>
          <w:szCs w:val="22"/>
        </w:rPr>
        <w:t xml:space="preserve">Key result: </w:t>
      </w:r>
      <w:r>
        <w:rPr>
          <w:rFonts w:ascii="Times New Roman" w:cs="Times New Roman" w:eastAsia="Times New Roman" w:hAnsi="Times New Roman"/>
          <w:color w:val="333333"/>
          <w:sz w:val="22"/>
          <w:szCs w:val="22"/>
        </w:rPr>
        <w:t xml:space="preserve">The CL architecture does not need to prove its control-theoretic validity from first principles. It inherits that validity from six decades of PLL engineering. What remains to be proven is that the specific parameter values (Kᵉᶠᶠ thresholds, TV distance, gain schedules) are correctly calibrated for the portfolio diversity domain. That is the role of real-data validation.</w:t>
      </w:r>
    </w:p>
    <w:p>
      <w:pPr>
        <w:pStyle w:val="Heading1"/>
        <w:spacing w:after="200" w:before="360"/>
      </w:pPr>
      <w:r>
        <w:rPr>
          <w:rFonts w:ascii="Times New Roman" w:cs="Times New Roman" w:eastAsia="Times New Roman" w:hAnsi="Times New Roman"/>
          <w:b/>
          <w:bCs/>
          <w:color w:val="1F3864"/>
          <w:sz w:val="28"/>
          <w:szCs w:val="28"/>
        </w:rPr>
        <w:t xml:space="preserve">8  Implications for Implementation</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PLL precedent provides three categories of implementation guidance:</w:t>
      </w:r>
    </w:p>
    <w:p>
      <w:pPr>
        <w:spacing w:after="160" w:before="0"/>
        <w:jc w:val="both"/>
      </w:pPr>
      <w:r>
        <w:rPr>
          <w:rFonts w:ascii="Times New Roman" w:cs="Times New Roman" w:eastAsia="Times New Roman" w:hAnsi="Times New Roman"/>
          <w:b/>
          <w:bCs/>
          <w:color w:val="333333"/>
          <w:sz w:val="22"/>
          <w:szCs w:val="22"/>
        </w:rPr>
        <w:t xml:space="preserve">1. Design rules. </w:t>
      </w:r>
      <w:r>
        <w:rPr>
          <w:rFonts w:ascii="Times New Roman" w:cs="Times New Roman" w:eastAsia="Times New Roman" w:hAnsi="Times New Roman"/>
          <w:color w:val="333333"/>
          <w:sz w:val="22"/>
          <w:szCs w:val="22"/>
        </w:rPr>
        <w:t xml:space="preserve">Every design rule for PLL loop filter selection, damping optimisation, and bandwidth specification has a CL counterpart. Practitioners with PLL experience can design CL systems using familiar methods.</w:t>
      </w:r>
    </w:p>
    <w:p>
      <w:pPr>
        <w:spacing w:after="160" w:before="0"/>
        <w:jc w:val="both"/>
      </w:pPr>
      <w:r>
        <w:rPr>
          <w:rFonts w:ascii="Times New Roman" w:cs="Times New Roman" w:eastAsia="Times New Roman" w:hAnsi="Times New Roman"/>
          <w:b/>
          <w:bCs/>
          <w:color w:val="333333"/>
          <w:sz w:val="22"/>
          <w:szCs w:val="22"/>
        </w:rPr>
        <w:t xml:space="preserve">2. Test strategies. </w:t>
      </w:r>
      <w:r>
        <w:rPr>
          <w:rFonts w:ascii="Times New Roman" w:cs="Times New Roman" w:eastAsia="Times New Roman" w:hAnsi="Times New Roman"/>
          <w:color w:val="333333"/>
          <w:sz w:val="22"/>
          <w:szCs w:val="22"/>
        </w:rPr>
        <w:t xml:space="preserve">PLL test protocols — jitter measurement, lock-time characterisation, phase noise profiling, pull-in range verification — all map to CL test protocols: Kᵉᶠᶠ variance measurement, correction-time characterisation, noise-floor profiling, and recovery-range verification.</w:t>
      </w:r>
    </w:p>
    <w:p>
      <w:pPr>
        <w:spacing w:after="160" w:before="0"/>
        <w:jc w:val="both"/>
      </w:pPr>
      <w:r>
        <w:rPr>
          <w:rFonts w:ascii="Times New Roman" w:cs="Times New Roman" w:eastAsia="Times New Roman" w:hAnsi="Times New Roman"/>
          <w:b/>
          <w:bCs/>
          <w:color w:val="333333"/>
          <w:sz w:val="22"/>
          <w:szCs w:val="22"/>
        </w:rPr>
        <w:t xml:space="preserve">3. Failure analysis. </w:t>
      </w:r>
      <w:r>
        <w:rPr>
          <w:rFonts w:ascii="Times New Roman" w:cs="Times New Roman" w:eastAsia="Times New Roman" w:hAnsi="Times New Roman"/>
          <w:color w:val="333333"/>
          <w:sz w:val="22"/>
          <w:szCs w:val="22"/>
        </w:rPr>
        <w:t xml:space="preserve">Known PLL failure modes — cycle slipping, false lock, harmonic lock, loss of lock under modulation — predict corresponding CL failure modes that can be tested before deployment.</w:t>
      </w:r>
    </w:p>
    <w:p>
      <w:pPr>
        <w:spacing w:after="160" w:before="120"/>
        <w:jc w:val="both"/>
      </w:pPr>
      <w:r>
        <w:rPr>
          <w:rFonts w:ascii="Times New Roman" w:cs="Times New Roman" w:eastAsia="Times New Roman" w:hAnsi="Times New Roman"/>
          <w:b w:val="false"/>
          <w:bCs w:val="false"/>
          <w:i w:val="false"/>
          <w:iCs w:val="false"/>
          <w:color w:val="333333"/>
          <w:sz w:val="22"/>
          <w:szCs w:val="22"/>
        </w:rPr>
        <w:t xml:space="preserve">Table 8.1 maps known PLL failure modes to their CL equivalents.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Failure Mode</w:t>
            </w:r>
          </w:p>
        </w:tc>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Mechanism</w:t>
            </w:r>
          </w:p>
        </w:tc>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 Equivalent</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Mitigation</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Cycle slipping</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Phase error exceeds ±π; loop skips a cycle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Kᵉᶠᶠ correction overshoots past reference</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CL-04 damping; CL-05 bounded correction steps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False lock</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Loop locks to harmonic or subharmonic</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Pipeline converges to local Kᵉᶠᶠ optimum</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CL-01 simplex gate rejects non-global solutions</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Loss of lock</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Input deviates beyond capture range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Portfolio shock exceeds correctable range</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CL-04 RED verdict; operator escalation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Jitter accumulation</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Phase noise integrates over time</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Kᵉᶠᶠ variance grows between recalibrations</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CL-05 recalibration cadence; monitoring window</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8.1: PLL failure modes and CL counterparts. Each failure mode is testable before deployment.</w:t>
      </w:r>
    </w:p>
    <w:p>
      <w:r>
        <w:br w:type="page"/>
      </w:r>
    </w:p>
    <w:p>
      <w:pPr>
        <w:pStyle w:val="Heading1"/>
        <w:spacing w:after="200" w:before="360"/>
      </w:pPr>
      <w:r>
        <w:rPr>
          <w:rFonts w:ascii="Times New Roman" w:cs="Times New Roman" w:eastAsia="Times New Roman" w:hAnsi="Times New Roman"/>
          <w:b/>
          <w:bCs/>
          <w:color w:val="1F3864"/>
          <w:sz w:val="28"/>
          <w:szCs w:val="28"/>
        </w:rPr>
        <w:t xml:space="preserve">9  Operator Constraint on CL-05</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PLL precedent is strongest at CL-05, where the control action is most direct. It is also where the Oppenheimer-class constraint applies most forcefully.</w:t>
      </w:r>
    </w:p>
    <w:p>
      <w:pPr>
        <w:pBdr>
          <w:top w:val="single" w:color="C00000" w:sz="2"/>
          <w:bottom w:val="single" w:color="C00000" w:sz="2"/>
        </w:pBdr>
        <w:shd w:fill="FFF3E0" w:val="clear"/>
        <w:spacing w:after="200" w:before="200"/>
        <w:ind w:left="360" w:right="360"/>
      </w:pPr>
      <w:r>
        <w:rPr>
          <w:rFonts w:ascii="Times New Roman" w:cs="Times New Roman" w:eastAsia="Times New Roman" w:hAnsi="Times New Roman"/>
          <w:b/>
          <w:bCs/>
          <w:color w:val="C00000"/>
          <w:sz w:val="22"/>
          <w:szCs w:val="22"/>
        </w:rPr>
        <w:t xml:space="preserve">CL-05 is for study and discussion only. </w:t>
      </w:r>
      <w:r>
        <w:rPr>
          <w:rFonts w:ascii="Times New Roman" w:cs="Times New Roman" w:eastAsia="Times New Roman" w:hAnsi="Times New Roman"/>
          <w:color w:val="333333"/>
          <w:sz w:val="22"/>
          <w:szCs w:val="22"/>
        </w:rPr>
        <w:t xml:space="preserve">The PLL engineering precedent validates the control architecture; it does not authorise autonomous deployment. Element-layer automation with scientist supervision may be appropriate. OCC-level governance replacement is not recommended.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PLL precedent actually strengthens the case for this constraint. In RF engineering, PLLs are deployed by engineers who understand loop dynamics and can intervene when operating conditions exceed design limits. No responsible RF engineer would deploy a PLL-based system and walk away. The CL-05 constraint requires the same professional discipline: study the loop, understand its limits, and keep a qualified operator in the chain.</w:t>
      </w:r>
    </w:p>
    <w:p>
      <w:r>
        <w:br w:type="page"/>
      </w:r>
    </w:p>
    <w:p>
      <w:pPr>
        <w:pStyle w:val="Heading1"/>
        <w:spacing w:after="200" w:before="360"/>
      </w:pPr>
      <w:r>
        <w:rPr>
          <w:rFonts w:ascii="Times New Roman" w:cs="Times New Roman" w:eastAsia="Times New Roman" w:hAnsi="Times New Roman"/>
          <w:b/>
          <w:bCs/>
          <w:color w:val="1F3864"/>
          <w:sz w:val="28"/>
          <w:szCs w:val="28"/>
        </w:rPr>
        <w:t xml:space="preserve">10  Multi-Phase PLL and the Amplification Network</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preceding sections map five single-phase PLL applications to the CL architecture operating on a single portfolio domain. But industry deploys a sixth PLL configuration that maps to the multi-domain HUF architecture: the multi-phase PLL.</w:t>
      </w:r>
    </w:p>
    <w:p>
      <w:pPr>
        <w:pStyle w:val="Heading2"/>
        <w:spacing w:after="160" w:before="280"/>
      </w:pPr>
      <w:r>
        <w:rPr>
          <w:rFonts w:ascii="Times New Roman" w:cs="Times New Roman" w:eastAsia="Times New Roman" w:hAnsi="Times New Roman"/>
          <w:b/>
          <w:bCs/>
          <w:color w:val="1F3864"/>
          <w:sz w:val="24"/>
          <w:szCs w:val="24"/>
        </w:rPr>
        <w:t xml:space="preserve">10.1  Multi-Phase PLL in Industry</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A multi-phase PLL generates N phase-shifted output clocks from a single reference, all locked in frequency but offset by 2π/N radians. Industry applications include:</w:t>
      </w:r>
    </w:p>
    <w:p>
      <w:pPr>
        <w:spacing w:after="160" w:before="0"/>
        <w:jc w:val="both"/>
      </w:pPr>
      <w:r>
        <w:rPr>
          <w:rFonts w:ascii="Times New Roman" w:cs="Times New Roman" w:eastAsia="Times New Roman" w:hAnsi="Times New Roman"/>
          <w:b/>
          <w:bCs/>
          <w:color w:val="333333"/>
          <w:sz w:val="22"/>
          <w:szCs w:val="22"/>
        </w:rPr>
        <w:t xml:space="preserve">High-speed serial links. </w:t>
      </w:r>
      <w:r>
        <w:rPr>
          <w:rFonts w:ascii="Times New Roman" w:cs="Times New Roman" w:eastAsia="Times New Roman" w:hAnsi="Times New Roman"/>
          <w:color w:val="333333"/>
          <w:sz w:val="22"/>
          <w:szCs w:val="22"/>
        </w:rPr>
        <w:t xml:space="preserve">Multi-phase clock recovery in 10G/25G/56G SerDes transceivers uses N = 4 to 16 phases to achieve an effective sampling rate N× higher than any single phase, enabling data recovery at rates that no single-phase PLL could track.</w:t>
      </w:r>
    </w:p>
    <w:p>
      <w:pPr>
        <w:spacing w:after="160" w:before="0"/>
        <w:jc w:val="both"/>
      </w:pPr>
      <w:r>
        <w:rPr>
          <w:rFonts w:ascii="Times New Roman" w:cs="Times New Roman" w:eastAsia="Times New Roman" w:hAnsi="Times New Roman"/>
          <w:b/>
          <w:bCs/>
          <w:color w:val="333333"/>
          <w:sz w:val="22"/>
          <w:szCs w:val="22"/>
        </w:rPr>
        <w:t xml:space="preserve">Time-interleaved ADCs. </w:t>
      </w:r>
      <w:r>
        <w:rPr>
          <w:rFonts w:ascii="Times New Roman" w:cs="Times New Roman" w:eastAsia="Times New Roman" w:hAnsi="Times New Roman"/>
          <w:color w:val="333333"/>
          <w:sz w:val="22"/>
          <w:szCs w:val="22"/>
        </w:rPr>
        <w:t xml:space="preserve">Multiple ADC channels sample at staggered phases, each locked to the same reference. The interleaved output achieves N× the sampling rate of a single converter while averaging uncorrelated quantisation noise across phases, yielding √N improvement in noise floor.</w:t>
      </w:r>
    </w:p>
    <w:p>
      <w:pPr>
        <w:spacing w:after="160" w:before="0"/>
        <w:jc w:val="both"/>
      </w:pPr>
      <w:r>
        <w:rPr>
          <w:rFonts w:ascii="Times New Roman" w:cs="Times New Roman" w:eastAsia="Times New Roman" w:hAnsi="Times New Roman"/>
          <w:b/>
          <w:bCs/>
          <w:color w:val="333333"/>
          <w:sz w:val="22"/>
          <w:szCs w:val="22"/>
        </w:rPr>
        <w:t xml:space="preserve">Multi-phase power conversion. </w:t>
      </w:r>
      <w:r>
        <w:rPr>
          <w:rFonts w:ascii="Times New Roman" w:cs="Times New Roman" w:eastAsia="Times New Roman" w:hAnsi="Times New Roman"/>
          <w:color w:val="333333"/>
          <w:sz w:val="22"/>
          <w:szCs w:val="22"/>
        </w:rPr>
        <w:t xml:space="preserve">Interleaved buck converters operate at phase offsets of 2π/N. Current ripple cancels at the output, reducing filter requirements by a factor of N. If one phase fails, the remaining N−1 phases continue with graceful degradation.</w:t>
      </w:r>
    </w:p>
    <w:p>
      <w:pPr>
        <w:spacing w:after="160" w:before="0"/>
        <w:jc w:val="both"/>
      </w:pPr>
      <w:r>
        <w:rPr>
          <w:rFonts w:ascii="Times New Roman" w:cs="Times New Roman" w:eastAsia="Times New Roman" w:hAnsi="Times New Roman"/>
          <w:b/>
          <w:bCs/>
          <w:color w:val="333333"/>
          <w:sz w:val="22"/>
          <w:szCs w:val="22"/>
        </w:rPr>
        <w:t xml:space="preserve">Radar and VNA systems. </w:t>
      </w:r>
      <w:r>
        <w:rPr>
          <w:rFonts w:ascii="Times New Roman" w:cs="Times New Roman" w:eastAsia="Times New Roman" w:hAnsi="Times New Roman"/>
          <w:color w:val="333333"/>
          <w:sz w:val="22"/>
          <w:szCs w:val="22"/>
        </w:rPr>
        <w:t xml:space="preserve">Multi-phase synthesisers generate simultaneous carrier frequencies for phased-array beamforming, where each element requires a precise phase offset from the common reference.</w:t>
      </w:r>
    </w:p>
    <w:p>
      <w:pPr>
        <w:pStyle w:val="Heading2"/>
        <w:spacing w:after="160" w:before="280"/>
      </w:pPr>
      <w:r>
        <w:rPr>
          <w:rFonts w:ascii="Times New Roman" w:cs="Times New Roman" w:eastAsia="Times New Roman" w:hAnsi="Times New Roman"/>
          <w:b/>
          <w:bCs/>
          <w:color w:val="1F3864"/>
          <w:sz w:val="24"/>
          <w:szCs w:val="24"/>
        </w:rPr>
        <w:t xml:space="preserve">10.2  The HUF Multi-Domain Mapping</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multi-phase PLL is the engineering precedent for the HUF multi-domain architecture. Each domain operates its own CL pipeline — its own "phase" — all locked to the same carrier definition: ρ on Δⁿ⁻¹, with Kᵉᶠᶠ as the shared observable.</w:t>
      </w:r>
    </w:p>
    <w:p>
      <w:pPr>
        <w:spacing w:after="120" w:before="120"/>
        <w:ind w:left="480" w:right="360"/>
      </w:pPr>
      <w:r>
        <w:rPr>
          <w:rFonts w:ascii="Times New Roman" w:cs="Times New Roman" w:eastAsia="Times New Roman" w:hAnsi="Times New Roman"/>
          <w:b/>
          <w:bCs/>
          <w:color w:val="1F3864"/>
          <w:sz w:val="22"/>
          <w:szCs w:val="22"/>
        </w:rPr>
        <w:t xml:space="preserve">Definition 10.1 (Multi-Phase CL Architecture)  </w:t>
      </w:r>
      <w:r>
        <w:rPr>
          <w:rFonts w:ascii="Times New Roman" w:cs="Times New Roman" w:eastAsia="Times New Roman" w:hAnsi="Times New Roman"/>
          <w:color w:val="333333"/>
          <w:sz w:val="22"/>
          <w:szCs w:val="22"/>
        </w:rPr>
        <w:t xml:space="preserve">Let D = {d₁, d₂, …, dₙ} be n application domains, each running an independent CL-01→CL-05 pipeline. All n pipelines share the same Kᵉᶠᶠ definition (the reference oscillator) and the same CL stage architecture (the loop topology). Each domain samples its portfolio at its own cadence, offset from the others, producing n phase-shifted measurement streams.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four industrial multi-phase properties transfer 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Multi-Phase Property</w:t>
            </w:r>
          </w:p>
        </w:tc>
        <w:tc>
          <w:tcPr>
            <w:tcW w:type="dxa" w:w="3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PLL Engineering</w:t>
            </w:r>
          </w:p>
        </w:tc>
        <w:tc>
          <w:tcPr>
            <w:tcW w:type="dxa" w:w="3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HUF Multi-Domain Transfer</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N× effective sampling</w:t>
            </w:r>
          </w:p>
        </w:tc>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Interleaved phases achieve N× single-phase rate</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n domains monitoring Kᵉᶠᶠ simultaneously provide n× the detection bandwidth of any single domain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Cross-phase error cancellation</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Systematic errors in one phase detected by adjacent phases</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Drift in one domain is visible from adjacent domains via shared codebook; cross-domain validation eliminates single-domain bias</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Graceful degradation</w:t>
            </w:r>
          </w:p>
        </w:tc>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If one phase fails, N−1 phases continue operating</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If one domain decouples from the framework, the remaining n−1 domains retain full amplification. The decoupled domain loses access; the network does not.</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Phase noise averaging</w:t>
            </w:r>
          </w:p>
        </w:tc>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Uncorrelated noise across phases averages to √N improvement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Statistical noise in Kᵉᶠᶠ measurements is uncorrelated across domains; multi-domain averaging improves measurement confidence by √n</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10.1: Multi-phase PLL properties and their HUF multi-domain equivalents.</w:t>
      </w:r>
    </w:p>
    <w:p>
      <w:pPr>
        <w:pStyle w:val="Heading2"/>
        <w:spacing w:after="160" w:before="280"/>
      </w:pPr>
      <w:r>
        <w:rPr>
          <w:rFonts w:ascii="Times New Roman" w:cs="Times New Roman" w:eastAsia="Times New Roman" w:hAnsi="Times New Roman"/>
          <w:b/>
          <w:bCs/>
          <w:color w:val="1F3864"/>
          <w:sz w:val="24"/>
          <w:szCs w:val="24"/>
        </w:rPr>
        <w:t xml:space="preserve">10.3  The Amplification Network as Multi-Phase Lock</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Cross-Domain Amplification Note (HUF-CDA-01) identifies three mathematical mechanisms for amplification: supermodularity, channel capacity, and multiplicative coupling. The multi-phase PLL precedent provides the engineering realisation of all three:</w:t>
      </w:r>
    </w:p>
    <w:p>
      <w:pPr>
        <w:spacing w:after="160" w:before="0"/>
        <w:jc w:val="both"/>
      </w:pPr>
      <w:r>
        <w:rPr>
          <w:rFonts w:ascii="Times New Roman" w:cs="Times New Roman" w:eastAsia="Times New Roman" w:hAnsi="Times New Roman"/>
          <w:b/>
          <w:bCs/>
          <w:color w:val="333333"/>
          <w:sz w:val="22"/>
          <w:szCs w:val="22"/>
        </w:rPr>
        <w:t xml:space="preserve">Supermodularity → interleaving gain. </w:t>
      </w:r>
      <w:r>
        <w:rPr>
          <w:rFonts w:ascii="Times New Roman" w:cs="Times New Roman" w:eastAsia="Times New Roman" w:hAnsi="Times New Roman"/>
          <w:color w:val="333333"/>
          <w:sz w:val="22"/>
          <w:szCs w:val="22"/>
        </w:rPr>
        <w:t xml:space="preserve">In a multi-phase ADC, the value of adding a phase is higher when other phases are already present, because each new phase fills a gap in the sampling grid. The marginal value of the (n+1)th domain is higher when n domains already share the codebook. This is supermodularity implemented in hardware.</w:t>
      </w:r>
    </w:p>
    <w:p>
      <w:pPr>
        <w:spacing w:after="160" w:before="0"/>
        <w:jc w:val="both"/>
      </w:pPr>
      <w:r>
        <w:rPr>
          <w:rFonts w:ascii="Times New Roman" w:cs="Times New Roman" w:eastAsia="Times New Roman" w:hAnsi="Times New Roman"/>
          <w:b/>
          <w:bCs/>
          <w:color w:val="333333"/>
          <w:sz w:val="22"/>
          <w:szCs w:val="22"/>
        </w:rPr>
        <w:t xml:space="preserve">Channel capacity → shared reference. </w:t>
      </w:r>
      <w:r>
        <w:rPr>
          <w:rFonts w:ascii="Times New Roman" w:cs="Times New Roman" w:eastAsia="Times New Roman" w:hAnsi="Times New Roman"/>
          <w:color w:val="333333"/>
          <w:sz w:val="22"/>
          <w:szCs w:val="22"/>
        </w:rPr>
        <w:t xml:space="preserve">All phases in a multi-phase PLL share the same reference oscillator. The shared Kᵉᶠᶠ definition is the reference oscillator. A domain that uses a different metric is operating on a different reference frequency — it cannot participate in the interleaving.</w:t>
      </w:r>
    </w:p>
    <w:p>
      <w:pPr>
        <w:spacing w:after="160" w:before="0"/>
        <w:jc w:val="both"/>
      </w:pPr>
      <w:r>
        <w:rPr>
          <w:rFonts w:ascii="Times New Roman" w:cs="Times New Roman" w:eastAsia="Times New Roman" w:hAnsi="Times New Roman"/>
          <w:b/>
          <w:bCs/>
          <w:color w:val="333333"/>
          <w:sz w:val="22"/>
          <w:szCs w:val="22"/>
        </w:rPr>
        <w:t xml:space="preserve">Multiplicative coupling → ripple cancellation. </w:t>
      </w:r>
      <w:r>
        <w:rPr>
          <w:rFonts w:ascii="Times New Roman" w:cs="Times New Roman" w:eastAsia="Times New Roman" w:hAnsi="Times New Roman"/>
          <w:color w:val="333333"/>
          <w:sz w:val="22"/>
          <w:szCs w:val="22"/>
        </w:rPr>
        <w:t xml:space="preserve">In multi-phase power conversion, the output ripple cancels as a product of phase alignment. The HUF amplification factor β · [n(n−1)/2] · ∏ aᵢ has the same multiplicative structure: it emerges from the phase-aligned coupling, not from the sum of individual contributions.</w:t>
      </w:r>
    </w:p>
    <w:p>
      <w:pPr>
        <w:spacing w:after="120" w:before="120"/>
        <w:ind w:left="480" w:right="360"/>
      </w:pPr>
      <w:r>
        <w:rPr>
          <w:rFonts w:ascii="Times New Roman" w:cs="Times New Roman" w:eastAsia="Times New Roman" w:hAnsi="Times New Roman"/>
          <w:b/>
          <w:bCs/>
          <w:i/>
          <w:iCs/>
          <w:color w:val="8B4513"/>
          <w:sz w:val="22"/>
          <w:szCs w:val="22"/>
        </w:rPr>
        <w:t xml:space="preserve">Proposition 10.2 (Multi-Phase Amplification)  </w:t>
      </w:r>
      <w:r>
        <w:rPr>
          <w:rFonts w:ascii="Times New Roman" w:cs="Times New Roman" w:eastAsia="Times New Roman" w:hAnsi="Times New Roman"/>
          <w:color w:val="333333"/>
          <w:sz w:val="22"/>
          <w:szCs w:val="22"/>
        </w:rPr>
        <w:t xml:space="preserve">The total information throughput of the multi-domain HUF architecture scales as I_total = n · I_single + I_cross, where I_cross arises from cross-phase validation and scales as n(n−1)/2. This is the same scaling law as multi-phase PLL interleaving with cross-phase error correction enabled.</w:t>
      </w:r>
    </w:p>
    <w:p>
      <w:pPr>
        <w:pStyle w:val="Heading2"/>
        <w:spacing w:after="160" w:before="280"/>
      </w:pPr>
      <w:r>
        <w:rPr>
          <w:rFonts w:ascii="Times New Roman" w:cs="Times New Roman" w:eastAsia="Times New Roman" w:hAnsi="Times New Roman"/>
          <w:b/>
          <w:bCs/>
          <w:color w:val="1F3864"/>
          <w:sz w:val="24"/>
          <w:szCs w:val="24"/>
        </w:rPr>
        <w:t xml:space="preserve">10.4  The Self-Training Property Revisited</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In a multi-phase SerDes receiver, calibrating one phase automatically provides calibration information for all other phases through the shared reference. An engineer who understands the phase-0 timing also understands phases 1 through N−1, because the structure is identical and only the offset differs.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This is the PLL engineering precedent for the self-training property identified in the amplification note: once a practitioner acquires the ρ/Kᵉᶠᶠ codebook in their domain, they can interpret all other domains independently, because the carrier (ρ on the simplex) and the observable (Kᵉᶠᶠ) are the same — only the domain-specific interpretation differs.</w:t>
      </w:r>
    </w:p>
    <w:p>
      <w:pPr>
        <w:pBdr>
          <w:top w:val="single" w:color="1F3864" w:sz="2"/>
          <w:bottom w:val="single" w:color="1F3864" w:sz="2"/>
        </w:pBdr>
        <w:shd w:fill="E0F2F1" w:val="clear"/>
        <w:spacing w:after="200" w:before="200"/>
        <w:ind w:left="360" w:right="360"/>
      </w:pPr>
      <w:r>
        <w:rPr>
          <w:rFonts w:ascii="Times New Roman" w:cs="Times New Roman" w:eastAsia="Times New Roman" w:hAnsi="Times New Roman"/>
          <w:b/>
          <w:bCs/>
          <w:color w:val="333333"/>
          <w:sz w:val="22"/>
          <w:szCs w:val="22"/>
        </w:rPr>
        <w:t xml:space="preserve">The multi-domain HUF architecture is a multi-phase PLL. </w:t>
      </w:r>
      <w:r>
        <w:rPr>
          <w:rFonts w:ascii="Times New Roman" w:cs="Times New Roman" w:eastAsia="Times New Roman" w:hAnsi="Times New Roman"/>
          <w:color w:val="333333"/>
          <w:sz w:val="22"/>
          <w:szCs w:val="22"/>
        </w:rPr>
        <w:t xml:space="preserve">Each domain is a phase. The shared Kᵉᶠᶠ definition is the reference oscillator. The amplification network is the interleaving gain. Domains that decouple from the shared reference lose phase alignment and cannot participate in the cancellation. That is not a policy choice. It is the physics of phase-locked systems.</w:t>
      </w:r>
    </w:p>
    <w:p>
      <w:pPr>
        <w:pStyle w:val="Heading1"/>
        <w:spacing w:after="200" w:before="360"/>
      </w:pPr>
      <w:r>
        <w:rPr>
          <w:rFonts w:ascii="Times New Roman" w:cs="Times New Roman" w:eastAsia="Times New Roman" w:hAnsi="Times New Roman"/>
          <w:b/>
          <w:bCs/>
          <w:color w:val="1F3864"/>
          <w:sz w:val="28"/>
          <w:szCs w:val="28"/>
        </w:rPr>
        <w:t xml:space="preserve">11  Evidentiary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2200"/>
        <w:gridCol w:w="1500"/>
        <w:gridCol w:w="1560"/>
      </w:tblGrid>
      <w:tr>
        <w:tc>
          <w:tcPr>
            <w:tcW w:type="dxa" w:w="9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Claim</w:t>
            </w:r>
          </w:p>
        </w:tc>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Statement</w:t>
            </w:r>
          </w:p>
        </w:tc>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Evidence</w:t>
            </w:r>
          </w:p>
        </w:tc>
        <w:tc>
          <w:tcPr>
            <w:tcW w:type="dxa" w:w="15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Tier</w:t>
            </w:r>
          </w:p>
        </w:tc>
        <w:tc>
          <w:tcPr>
            <w:tcW w:type="dxa" w:w="1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spacing w:after="0"/>
            </w:pPr>
            <w:r>
              <w:rPr>
                <w:rFonts w:ascii="Times New Roman" w:cs="Times New Roman" w:eastAsia="Times New Roman" w:hAnsi="Times New Roman"/>
                <w:b/>
                <w:bCs/>
                <w:color w:val="FFFFFF"/>
                <w:sz w:val="20"/>
                <w:szCs w:val="20"/>
              </w:rPr>
              <w:t xml:space="preserve">Status</w:t>
            </w:r>
          </w:p>
        </w:tc>
      </w:tr>
      <w:tr>
        <w:tc>
          <w:tcPr>
            <w:tcW w:type="dxa" w:w="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C1</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PLL-to-CL mapping preserves structure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Topology comparison (Table 4.1)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[FRAMEWORK]</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r>
        <w:tc>
          <w:tcPr>
            <w:tcW w:type="dxa" w:w="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C2</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Performance bounds transfer under mapping</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60+ years PLL deployment data</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[EMPIRICAL]</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r>
        <w:tc>
          <w:tcPr>
            <w:tcW w:type="dxa" w:w="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C3</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Failure modes are predictable and testable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Table 8.1 enumeration</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[FRAMEWORK]</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r>
        <w:tc>
          <w:tcPr>
            <w:tcW w:type="dxa" w:w="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C4</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Specific CL parameter values are correct</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Requires real-data validation</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[EMPIRICAL]</w:t>
            </w:r>
          </w:p>
        </w:tc>
        <w:tc>
          <w:tcPr>
            <w:tcW w:type="dxa" w:w="1560"/>
            <w:tcBorders>
              <w:top w:val="single" w:color="BBBBBB" w:sz="1"/>
              <w:left w:val="single" w:color="BBBBBB" w:sz="1"/>
              <w:bottom w:val="single" w:color="BBBBBB" w:sz="1"/>
              <w:right w:val="single" w:color="BBBBBB" w:sz="1"/>
            </w:tcBorders>
            <w:shd w:fill="FFF3E0" w:val="clear"/>
            <w:tcMar>
              <w:top w:type="dxa" w:w="80"/>
              <w:left w:type="dxa" w:w="120"/>
              <w:bottom w:type="dxa" w:w="80"/>
              <w:right w:type="dxa" w:w="120"/>
            </w:tcMar>
          </w:tcPr>
          <w:p>
            <w:pPr>
              <w:spacing w:after="0"/>
            </w:pPr>
            <w:r>
              <w:rPr>
                <w:rFonts w:ascii="Times New Roman" w:cs="Times New Roman" w:eastAsia="Times New Roman" w:hAnsi="Times New Roman"/>
                <w:b/>
                <w:bCs/>
                <w:color w:val="333333"/>
                <w:sz w:val="20"/>
                <w:szCs w:val="20"/>
              </w:rPr>
              <w:t xml:space="preserve">PENDING</w:t>
            </w:r>
          </w:p>
        </w:tc>
      </w:tr>
      <w:tr>
        <w:tc>
          <w:tcPr>
            <w:tcW w:type="dxa" w:w="9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C5</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CL-05 autonomous deployment is safe</w:t>
            </w:r>
          </w:p>
        </w:tc>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Operator constraint applies</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[CONJECTURE]</w:t>
            </w:r>
          </w:p>
        </w:tc>
        <w:tc>
          <w:tcPr>
            <w:tcW w:type="dxa" w:w="1560"/>
            <w:tcBorders>
              <w:top w:val="single" w:color="BBBBBB" w:sz="1"/>
              <w:left w:val="single" w:color="BBBBBB" w:sz="1"/>
              <w:bottom w:val="single" w:color="BBBBBB" w:sz="1"/>
              <w:right w:val="single" w:color="BBBBBB" w:sz="1"/>
            </w:tcBorders>
            <w:shd w:fill="FDE0DC" w:val="clear"/>
            <w:tcMar>
              <w:top w:type="dxa" w:w="80"/>
              <w:left w:type="dxa" w:w="120"/>
              <w:bottom w:type="dxa" w:w="80"/>
              <w:right w:type="dxa" w:w="120"/>
            </w:tcMar>
          </w:tcPr>
          <w:p>
            <w:pPr>
              <w:spacing w:after="0"/>
            </w:pPr>
            <w:r>
              <w:rPr>
                <w:rFonts w:ascii="Times New Roman" w:cs="Times New Roman" w:eastAsia="Times New Roman" w:hAnsi="Times New Roman"/>
                <w:b/>
                <w:bCs/>
                <w:color w:val="C00000"/>
                <w:sz w:val="20"/>
                <w:szCs w:val="20"/>
              </w:rPr>
              <w:t xml:space="preserve">STORE</w:t>
            </w:r>
          </w:p>
        </w:tc>
      </w:tr>
      <w:tr>
        <w:tc>
          <w:tcPr>
            <w:tcW w:type="dxa" w:w="9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C6</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Multi-phase PLL maps to multi-domain amplification</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Section 10; Cross-Domain Amplification Note</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Times New Roman" w:cs="Times New Roman" w:eastAsia="Times New Roman" w:hAnsi="Times New Roman"/>
                <w:b w:val="false"/>
                <w:bCs w:val="false"/>
                <w:i w:val="false"/>
                <w:iCs w:val="false"/>
                <w:color w:val="333333"/>
                <w:sz w:val="20"/>
                <w:szCs w:val="20"/>
              </w:rPr>
              <w:t xml:space="preserve">[FRAMEWORK]</w:t>
            </w:r>
          </w:p>
        </w:tc>
        <w:tc>
          <w:tcPr>
            <w:tcW w:type="dxa" w:w="1560"/>
            <w:tcBorders>
              <w:top w:val="single" w:color="BBBBBB" w:sz="1"/>
              <w:left w:val="single" w:color="BBBBBB" w:sz="1"/>
              <w:bottom w:val="single" w:color="BBBBBB" w:sz="1"/>
              <w:right w:val="single" w:color="BBBBBB" w:sz="1"/>
            </w:tcBorders>
            <w:shd w:fill="E2EFDA" w:val="clear"/>
            <w:tcMar>
              <w:top w:type="dxa" w:w="80"/>
              <w:left w:type="dxa" w:w="120"/>
              <w:bottom w:type="dxa" w:w="80"/>
              <w:right w:type="dxa" w:w="120"/>
            </w:tcMar>
          </w:tcPr>
          <w:p>
            <w:pPr>
              <w:spacing w:after="0"/>
            </w:pPr>
            <w:r>
              <w:rPr>
                <w:rFonts w:ascii="Times New Roman" w:cs="Times New Roman" w:eastAsia="Times New Roman" w:hAnsi="Times New Roman"/>
                <w:b/>
                <w:bCs/>
                <w:i w:val="false"/>
                <w:iCs w:val="false"/>
                <w:color w:val="333333"/>
                <w:sz w:val="20"/>
                <w:szCs w:val="20"/>
              </w:rPr>
              <w:t xml:space="preserve">ADD</w:t>
            </w:r>
          </w:p>
        </w:tc>
      </w:tr>
    </w:tbl>
    <w:p>
      <w:pPr>
        <w:spacing w:after="160" w:before="80"/>
        <w:jc w:val="center"/>
      </w:pPr>
      <w:r>
        <w:rPr>
          <w:rFonts w:ascii="Times New Roman" w:cs="Times New Roman" w:eastAsia="Times New Roman" w:hAnsi="Times New Roman"/>
          <w:b w:val="false"/>
          <w:bCs w:val="false"/>
          <w:i/>
          <w:iCs/>
          <w:color w:val="333333"/>
          <w:sz w:val="22"/>
          <w:szCs w:val="22"/>
        </w:rPr>
        <w:t xml:space="preserve">Table 11.1: Evidentiary status of PLL precedent claims.</w:t>
      </w:r>
    </w:p>
    <w:p>
      <w:pPr>
        <w:pStyle w:val="Heading1"/>
        <w:spacing w:after="200" w:before="360"/>
      </w:pPr>
      <w:r>
        <w:rPr>
          <w:rFonts w:ascii="Times New Roman" w:cs="Times New Roman" w:eastAsia="Times New Roman" w:hAnsi="Times New Roman"/>
          <w:b/>
          <w:bCs/>
          <w:color w:val="1F3864"/>
          <w:sz w:val="28"/>
          <w:szCs w:val="28"/>
        </w:rPr>
        <w:t xml:space="preserve">12  Closing Statement</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Phase-Locked Loop is the most successful feedback control architecture in electronic engineering. It appears in every microprocessor, every radio, every communication satellite, and every precision instrument that requires frequency or phase control. Its performance characteristics are not theoretical claims; they are manufactured realities, tested billions of times daily in deployed systems.</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The HUF Closed-Loop Control Architecture does not borrow the PLL’s name. It inherits its control topology. Every CL stage maps to a proven PLL application domain; architecture, failure modes, and tuning strategies transfer under the structural homomorphism; specific performance bounds require domain calibration. Every failure mode is catalogued and testable.</w:t>
      </w:r>
    </w:p>
    <w:p>
      <w:pPr>
        <w:spacing w:after="160" w:before="0"/>
        <w:jc w:val="both"/>
      </w:pPr>
      <w:r>
        <w:rPr>
          <w:rFonts w:ascii="Times New Roman" w:cs="Times New Roman" w:eastAsia="Times New Roman" w:hAnsi="Times New Roman"/>
          <w:b w:val="false"/>
          <w:bCs w:val="false"/>
          <w:i w:val="false"/>
          <w:iCs w:val="false"/>
          <w:color w:val="333333"/>
          <w:sz w:val="22"/>
          <w:szCs w:val="22"/>
        </w:rPr>
        <w:t xml:space="preserve">What remains is calibration: proving that the specific parameter values chosen for the portfolio diversity domain are correct. That is an empirical task, not a theoretical one. The architecture is sound. The precedent is six decades deep.</w:t>
      </w:r>
    </w:p>
    <w:p>
      <w:pPr>
        <w:pBdr>
          <w:top w:val="single" w:color="1F3864" w:sz="2"/>
          <w:bottom w:val="single" w:color="1F3864" w:sz="2"/>
        </w:pBdr>
        <w:shd w:fill="E0F2F1" w:val="clear"/>
        <w:spacing w:after="200" w:before="200"/>
        <w:ind w:left="360" w:right="360"/>
      </w:pPr>
      <w:r>
        <w:rPr>
          <w:rFonts w:ascii="Times New Roman" w:cs="Times New Roman" w:eastAsia="Times New Roman" w:hAnsi="Times New Roman"/>
          <w:b/>
          <w:bCs/>
          <w:color w:val="333333"/>
          <w:sz w:val="22"/>
          <w:szCs w:val="22"/>
        </w:rPr>
        <w:t xml:space="preserve">The CL architecture is not inspired by PLLs. It shares their control topology, operating on a different carrier (ρ on Δⁿ⁻¹) with Kᵉᶠᶠ as the demodulated observable. What transfers is architecture and failure modes; what requires calibration is parameter values.</w:t>
      </w:r>
    </w:p>
    <w:p>
      <w:pPr>
        <w:pBdr>
          <w:top w:val="single" w:color="2E75B6" w:sz="4" w:space="1"/>
        </w:pBdr>
        <w:spacing w:after="0" w:before="400"/>
      </w:pPr>
    </w:p>
    <w:p>
      <w:pPr>
        <w:spacing w:after="160" w:before="0"/>
        <w:jc w:val="both"/>
      </w:pPr>
      <w:r>
        <w:rPr>
          <w:rFonts w:ascii="Times New Roman" w:cs="Times New Roman" w:eastAsia="Times New Roman" w:hAnsi="Times New Roman"/>
          <w:b w:val="false"/>
          <w:bCs w:val="false"/>
          <w:i/>
          <w:iCs/>
          <w:color w:val="666666"/>
          <w:sz w:val="22"/>
          <w:szCs w:val="22"/>
        </w:rPr>
        <w:t xml:space="preserve">Framework originator and operator directive: Peter Higgins</w:t>
      </w:r>
    </w:p>
    <w:p>
      <w:pPr>
        <w:spacing w:after="160" w:before="0"/>
        <w:jc w:val="both"/>
      </w:pPr>
      <w:r>
        <w:rPr>
          <w:rFonts w:ascii="Times New Roman" w:cs="Times New Roman" w:eastAsia="Times New Roman" w:hAnsi="Times New Roman"/>
          <w:b w:val="false"/>
          <w:bCs w:val="false"/>
          <w:i/>
          <w:iCs/>
          <w:color w:val="666666"/>
          <w:sz w:val="22"/>
          <w:szCs w:val="22"/>
        </w:rPr>
        <w:t xml:space="preserve">PLL application catalogue and CL mapping direction: Peter Higgins</w:t>
      </w:r>
    </w:p>
    <w:p>
      <w:pPr>
        <w:spacing w:after="160" w:before="0"/>
        <w:jc w:val="both"/>
      </w:pPr>
      <w:r>
        <w:rPr>
          <w:rFonts w:ascii="Times New Roman" w:cs="Times New Roman" w:eastAsia="Times New Roman" w:hAnsi="Times New Roman"/>
          <w:b w:val="false"/>
          <w:bCs w:val="false"/>
          <w:i/>
          <w:iCs/>
          <w:color w:val="666666"/>
          <w:sz w:val="22"/>
          <w:szCs w:val="22"/>
        </w:rPr>
        <w:t xml:space="preserve">Formalisation, structural mapping, and document production: Claude (Anthropic)</w:t>
      </w:r>
    </w:p>
    <w:p>
      <w:pPr>
        <w:spacing w:after="160" w:before="0"/>
        <w:jc w:val="both"/>
      </w:pPr>
      <w:r>
        <w:rPr>
          <w:rFonts w:ascii="Times New Roman" w:cs="Times New Roman" w:eastAsia="Times New Roman" w:hAnsi="Times New Roman"/>
          <w:b w:val="false"/>
          <w:bCs w:val="false"/>
          <w:i/>
          <w:iCs/>
          <w:color w:val="666666"/>
          <w:sz w:val="22"/>
          <w:szCs w:val="22"/>
        </w:rPr>
        <w:t xml:space="preserve">Collective review contributions: ChatGPT (OpenAI), Grok (xAI), Gemini (Google), Copilot (Microsoft)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999999"/>
        <w:sz w:val="16"/>
        <w:szCs w:val="16"/>
      </w:rPr>
      <w:t xml:space="preserve">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spacing w:after="0"/>
    </w:pPr>
    <w:r>
      <w:rPr>
        <w:rFonts w:ascii="Times New Roman" w:cs="Times New Roman" w:eastAsia="Times New Roman" w:hAnsi="Times New Roman"/>
        <w:color w:val="999999"/>
        <w:sz w:val="16"/>
        <w:szCs w:val="16"/>
      </w:rPr>
      <w:t xml:space="preserve">HUF PLL Engineering Precedent Note</w:t>
    </w:r>
    <w:r>
      <w:rPr>
        <w:rFonts w:ascii="Times New Roman" w:cs="Times New Roman" w:eastAsia="Times New Roman" w:hAnsi="Times New Roman"/>
        <w:color w:val="999999"/>
        <w:sz w:val="16"/>
        <w:szCs w:val="16"/>
      </w:rPr>
      <w:t xml:space="preserve">		HUF-PLL-PREC-01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2026-03-17T02:33:45.476Z</dcterms:created>
  <dcterms:modified xsi:type="dcterms:W3CDTF">2026-03-17T02:33:45.476Z</dcterms:modified>
</cp:coreProperties>
</file>

<file path=docProps/custom.xml><?xml version="1.0" encoding="utf-8"?>
<Properties xmlns="http://schemas.openxmlformats.org/officeDocument/2006/custom-properties" xmlns:vt="http://schemas.openxmlformats.org/officeDocument/2006/docPropsVTypes"/>
</file>