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6"/>
          <w:szCs w:val="36"/>
        </w:rPr>
        <w:t xml:space="preserve">HIGGINS UNITY FRAMEWORK</w:t>
      </w:r>
    </w:p>
    <w:p>
      <w:pPr>
        <w:spacing w:after="40"/>
        <w:jc w:val="center"/>
      </w:pPr>
      <w:r>
        <w:rPr>
          <w:rFonts w:ascii="Times New Roman" w:cs="Times New Roman" w:eastAsia="Times New Roman" w:hAnsi="Times New Roman"/>
          <w:color w:val="2E75B6"/>
          <w:sz w:val="34"/>
          <w:szCs w:val="34"/>
        </w:rPr>
        <w:t xml:space="preserve">Ramsar Contact — Advancement Update Note</w:t>
      </w:r>
    </w:p>
    <w:p>
      <w:pPr>
        <w:spacing w:after="40"/>
        <w:jc w:val="center"/>
      </w:pPr>
      <w:r>
        <w:rPr>
          <w:rFonts w:ascii="Times New Roman" w:cs="Times New Roman" w:eastAsia="Times New Roman" w:hAnsi="Times New Roman"/>
          <w:i/>
          <w:iCs/>
          <w:color w:val="666666"/>
          <w:sz w:val="22"/>
          <w:szCs w:val="22"/>
        </w:rPr>
        <w:t xml:space="preserve">What has changed since February 2026 and why it strengthens the Ramsar case</w:t>
      </w:r>
    </w:p>
    <w:p>
      <w:pPr>
        <w:pBdr>
          <w:bottom w:val="single" w:color="2E75B6" w:sz="6" w:space="8"/>
        </w:pBdr>
        <w:spacing w:after="200"/>
        <w:jc w:val="center"/>
      </w:pPr>
      <w:r>
        <w:rPr>
          <w:rFonts w:ascii="Times New Roman" w:cs="Times New Roman" w:eastAsia="Times New Roman" w:hAnsi="Times New Roman"/>
          <w:color w:val="666666"/>
          <w:sz w:val="20"/>
          <w:szCs w:val="20"/>
        </w:rPr>
        <w:t xml:space="preserve">Internal working document  ·  Peter Higgins  ·  16 March 2026</w:t>
      </w:r>
    </w:p>
    <w:p>
      <w:pPr>
        <w:pStyle w:val="Heading1"/>
        <w:spacing w:after="200" w:before="360"/>
      </w:pPr>
      <w:r>
        <w:rPr>
          <w:rFonts w:ascii="Times New Roman" w:cs="Times New Roman" w:eastAsia="Times New Roman" w:hAnsi="Times New Roman"/>
          <w:b/>
          <w:bCs/>
          <w:color w:val="1F3864"/>
          <w:sz w:val="28"/>
          <w:szCs w:val="28"/>
        </w:rPr>
        <w:t xml:space="preserve">1. Purpose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Ramsar contact letter (v15, February 2026) and companion primer (v12) were written against HUF v1.2.0. In the three weeks since, the framework has undergone substantial development through collective AI review and operator governance. This note records the advancements and assesses which ones materially strengthen the Ramsar case, which ones should be incorporated into a revised letter, and which ones should remain internal until further validated.</w:t>
      </w:r>
    </w:p>
    <w:p>
      <w:pPr>
        <w:pStyle w:val="Heading1"/>
        <w:spacing w:after="200" w:before="360"/>
      </w:pPr>
      <w:r>
        <w:rPr>
          <w:rFonts w:ascii="Times New Roman" w:cs="Times New Roman" w:eastAsia="Times New Roman" w:hAnsi="Times New Roman"/>
          <w:b/>
          <w:bCs/>
          <w:color w:val="1F3864"/>
          <w:sz w:val="28"/>
          <w:szCs w:val="28"/>
        </w:rPr>
        <w:t xml:space="preserve">2. What the Letter Currently Claims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v15 letter makes four core claims, all stated conservatively:</w:t>
      </w:r>
    </w:p>
    <w:p>
      <w:pPr>
        <w:spacing w:after="160"/>
        <w:jc w:val="both"/>
      </w:pPr>
      <w:r>
        <w:rPr>
          <w:rFonts w:ascii="Times New Roman" w:cs="Times New Roman" w:eastAsia="Times New Roman" w:hAnsi="Times New Roman"/>
          <w:b/>
          <w:bCs/>
          <w:color w:val="333333"/>
          <w:sz w:val="22"/>
          <w:szCs w:val="22"/>
        </w:rPr>
        <w:t xml:space="preserve">1. Portfolio drift is invisible to current tools. </w:t>
      </w:r>
      <w:r>
        <w:rPr>
          <w:rFonts w:ascii="Times New Roman" w:cs="Times New Roman" w:eastAsia="Times New Roman" w:hAnsi="Times New Roman"/>
          <w:color w:val="333333"/>
          <w:sz w:val="22"/>
          <w:szCs w:val="22"/>
        </w:rPr>
        <w:t xml:space="preserve">METT, RAPPAM, and SAT assess site-level management quality but do not track cross-cycle allocation shifts across the portfolio.</w:t>
      </w:r>
    </w:p>
    <w:p>
      <w:pPr>
        <w:spacing w:after="160"/>
        <w:jc w:val="both"/>
      </w:pPr>
      <w:r>
        <w:rPr>
          <w:rFonts w:ascii="Times New Roman" w:cs="Times New Roman" w:eastAsia="Times New Roman" w:hAnsi="Times New Roman"/>
          <w:b/>
          <w:bCs/>
          <w:color w:val="333333"/>
          <w:sz w:val="22"/>
          <w:szCs w:val="22"/>
        </w:rPr>
        <w:t xml:space="preserve">2. Governance leverage amplifies small-site neglect. </w:t>
      </w:r>
      <w:r>
        <w:rPr>
          <w:rFonts w:ascii="Times New Roman" w:cs="Times New Roman" w:eastAsia="Times New Roman" w:hAnsi="Times New Roman"/>
          <w:color w:val="333333"/>
          <w:sz w:val="22"/>
          <w:szCs w:val="22"/>
        </w:rPr>
        <w:t xml:space="preserve">Crna Mlaka’s leverage of 110 means a 1pp share reduction is amplified 110×.</w:t>
      </w:r>
    </w:p>
    <w:p>
      <w:pPr>
        <w:spacing w:after="160"/>
        <w:jc w:val="both"/>
      </w:pPr>
      <w:r>
        <w:rPr>
          <w:rFonts w:ascii="Times New Roman" w:cs="Times New Roman" w:eastAsia="Times New Roman" w:hAnsi="Times New Roman"/>
          <w:b/>
          <w:bCs/>
          <w:color w:val="333333"/>
          <w:sz w:val="22"/>
          <w:szCs w:val="22"/>
        </w:rPr>
        <w:t xml:space="preserve">3. HUF is read-only, domain-invariant, and cost-free. </w:t>
      </w:r>
      <w:r>
        <w:rPr>
          <w:rFonts w:ascii="Times New Roman" w:cs="Times New Roman" w:eastAsia="Times New Roman" w:hAnsi="Times New Roman"/>
          <w:color w:val="333333"/>
          <w:sz w:val="22"/>
          <w:szCs w:val="22"/>
        </w:rPr>
        <w:t xml:space="preserve">No new surveys, no software on Secretariat servers, standard CSV outputs.</w:t>
      </w:r>
    </w:p>
    <w:p>
      <w:pPr>
        <w:spacing w:after="160"/>
        <w:jc w:val="both"/>
      </w:pPr>
      <w:r>
        <w:rPr>
          <w:rFonts w:ascii="Times New Roman" w:cs="Times New Roman" w:eastAsia="Times New Roman" w:hAnsi="Times New Roman"/>
          <w:b/>
          <w:bCs/>
          <w:color w:val="333333"/>
          <w:sz w:val="22"/>
          <w:szCs w:val="22"/>
        </w:rPr>
        <w:t xml:space="preserve">4. Cross-domain validation exists. </w:t>
      </w:r>
      <w:r>
        <w:rPr>
          <w:rFonts w:ascii="Times New Roman" w:cs="Times New Roman" w:eastAsia="Times New Roman" w:hAnsi="Times New Roman"/>
          <w:color w:val="333333"/>
          <w:sz w:val="22"/>
          <w:szCs w:val="22"/>
        </w:rPr>
        <w:t xml:space="preserve">The letter cites three unrelated domains (bread, software, Ramsar) to demonstrate domain invariance.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All four claims remain valid. The question is: what can now be added?</w:t>
      </w:r>
    </w:p>
    <w:p>
      <w:pPr>
        <w:pStyle w:val="Heading1"/>
        <w:spacing w:after="200" w:before="360"/>
      </w:pPr>
      <w:r>
        <w:rPr>
          <w:rFonts w:ascii="Times New Roman" w:cs="Times New Roman" w:eastAsia="Times New Roman" w:hAnsi="Times New Roman"/>
          <w:b/>
          <w:bCs/>
          <w:color w:val="1F3864"/>
          <w:sz w:val="28"/>
          <w:szCs w:val="28"/>
        </w:rPr>
        <w:t xml:space="preserve">3. Advancements Since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600"/>
        <w:gridCol w:w="1760"/>
      </w:tblGrid>
      <w:tr>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ID</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Advancement</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Ramsar Relevance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Evidence Tier</w:t>
            </w:r>
          </w:p>
        </w:tc>
        <w:tc>
          <w:tcPr>
            <w:tcW w:type="dxa" w:w="17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Letter Impact</w:t>
            </w:r>
          </w:p>
        </w:tc>
      </w:tr>
      <w:t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A1</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Closed-Loop Control Architecture (CL-01 to CL-05) replacing ad hoc discriminator</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Drift is no longer just detected — it is classified, measured, and its severity graded through a formal control stack</w:t>
            </w:r>
          </w:p>
        </w:tc>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[FRAMEWORK] to [EMPIRICAL]</w:t>
            </w:r>
          </w:p>
        </w:tc>
        <w:tc>
          <w:tcPr>
            <w:tcW w:type="dxa" w:w="17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HIGH — strengthens "what HUF does" section</w:t>
            </w:r>
          </w:p>
        </w:tc>
      </w:tr>
      <w:t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A2</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Keff (effective complexity) with S-curve simulation evidence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Detects deceptive drift: portfolio looks stable by velocity but is structurally concentrating. Directly relevant to Crna Mlaka scenario</w:t>
            </w:r>
          </w:p>
        </w:tc>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[EMPIRICAL] (simulation)</w:t>
            </w:r>
          </w:p>
        </w:tc>
        <w:tc>
          <w:tcPr>
            <w:tcW w:type="dxa" w:w="17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HIGH — new concrete capability to demonstrate</w:t>
            </w:r>
          </w:p>
        </w:tc>
      </w:tr>
      <w:t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A3</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FM receiver engineering precedent (90+ years, safety-critical)</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Every HUF detection stage maps to a proven signal-processing component. Not analogy — structural equivalence</w:t>
            </w:r>
          </w:p>
        </w:tc>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[PROPOSITION]</w:t>
            </w:r>
          </w:p>
        </w:tc>
        <w:tc>
          <w:tcPr>
            <w:tcW w:type="dxa" w:w="17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MEDIUM — credibility for technical audience</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A4</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Five-AI collective review and unanimous alignment on CL-01–CL-04</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Independent verification by five AI systems (Claude, ChatGPT, Copilot, Gemini, Grok) with formal voting and operator governance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LOW for letter; HIGH for primer technical annex</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A5</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Traffic-light verdict system (Green/Yellow/Red) with gain-scheduled response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Portfolio health at a glance. Governance managers see Red/Yellow/Green, not Keff values</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MEDIUM — simplifies "what you would see" narrative</w:t>
            </w:r>
          </w:p>
        </w:tc>
      </w:tr>
      <w:t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A6</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Cross-domain amplification theory (supermodularity, channel capacity, multiplicative coupling)</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Mathematical proof that Ramsar’s adoption strengthens every other domain using HUF, and vice versa. Ramsar is not an isolated pilot — it joins an amplification network</w:t>
            </w:r>
          </w:p>
        </w:tc>
        <w:tc>
          <w:tcPr>
            <w:tcW w:type="dxa" w:w="1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[FRAMEWORK]</w:t>
            </w:r>
          </w:p>
        </w:tc>
        <w:tc>
          <w:tcPr>
            <w:tcW w:type="dxa" w:w="176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HIGH — reframes the ask from "try our tool" to "join a network"</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A7</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IMC-PID tuning study for Ramsar drift correction (Grok)</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Concrete tuning parameters for restorative control on Ramsar data. Demonstrates the framework is not just detection but a full control pipeline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NOT FOR LETTER — CL-05 is STORE; study material only</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A8</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Backblaze, energy, and morphology case studies validated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Expands "three unrelated domains" to six+, including infrastructure monitoring with real failure data</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[EMPIRICAL]</w:t>
            </w:r>
          </w:p>
        </w:tc>
        <w:tc>
          <w:tcPr>
            <w:tcW w:type="dxa" w:w="1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MEDIUM — strengthens domain-invariance claim</w:t>
            </w:r>
          </w:p>
        </w:tc>
      </w:tr>
    </w:tbl>
    <w:p>
      <w:r>
        <w:br w:type="page"/>
      </w:r>
    </w:p>
    <w:p>
      <w:pPr>
        <w:pStyle w:val="Heading1"/>
        <w:spacing w:after="200" w:before="360"/>
      </w:pPr>
      <w:r>
        <w:rPr>
          <w:rFonts w:ascii="Times New Roman" w:cs="Times New Roman" w:eastAsia="Times New Roman" w:hAnsi="Times New Roman"/>
          <w:b/>
          <w:bCs/>
          <w:color w:val="1F3864"/>
          <w:sz w:val="28"/>
          <w:szCs w:val="28"/>
        </w:rPr>
        <w:t xml:space="preserve">4. What Changes for the Letter</w:t>
      </w:r>
    </w:p>
    <w:p>
      <w:pPr>
        <w:pStyle w:val="Heading2"/>
        <w:spacing w:after="160" w:before="280"/>
      </w:pPr>
      <w:r>
        <w:rPr>
          <w:rFonts w:ascii="Times New Roman" w:cs="Times New Roman" w:eastAsia="Times New Roman" w:hAnsi="Times New Roman"/>
          <w:b/>
          <w:bCs/>
          <w:color w:val="1F3864"/>
          <w:sz w:val="24"/>
          <w:szCs w:val="24"/>
        </w:rPr>
        <w:t xml:space="preserve">4.1 The "What HUF Does" Section Can Now Say More</w:t>
      </w:r>
    </w:p>
    <w:p>
      <w:pPr>
        <w:spacing w:after="160"/>
        <w:jc w:val="both"/>
      </w:pPr>
      <w:r>
        <w:rPr>
          <w:rFonts w:ascii="Times New Roman" w:cs="Times New Roman" w:eastAsia="Times New Roman" w:hAnsi="Times New Roman"/>
          <w:b/>
          <w:bCs/>
          <w:color w:val="333333"/>
          <w:sz w:val="22"/>
          <w:szCs w:val="22"/>
        </w:rPr>
        <w:t xml:space="preserve">Before: </w:t>
      </w:r>
      <w:r>
        <w:rPr>
          <w:rFonts w:ascii="Times New Roman" w:cs="Times New Roman" w:eastAsia="Times New Roman" w:hAnsi="Times New Roman"/>
          <w:color w:val="333333"/>
          <w:sz w:val="22"/>
          <w:szCs w:val="22"/>
        </w:rPr>
        <w:t xml:space="preserve">"HUF computes proportional shares and tracks them across reporting cycles, classifying shifts as intentional or silent."</w:t>
      </w:r>
    </w:p>
    <w:p>
      <w:pPr>
        <w:spacing w:after="160"/>
        <w:jc w:val="both"/>
      </w:pPr>
      <w:r>
        <w:rPr>
          <w:rFonts w:ascii="Times New Roman" w:cs="Times New Roman" w:eastAsia="Times New Roman" w:hAnsi="Times New Roman"/>
          <w:b/>
          <w:bCs/>
          <w:color w:val="333333"/>
          <w:sz w:val="22"/>
          <w:szCs w:val="22"/>
        </w:rPr>
        <w:t xml:space="preserve">After: </w:t>
      </w:r>
      <w:r>
        <w:rPr>
          <w:rFonts w:ascii="Times New Roman" w:cs="Times New Roman" w:eastAsia="Times New Roman" w:hAnsi="Times New Roman"/>
          <w:color w:val="333333"/>
          <w:sz w:val="22"/>
          <w:szCs w:val="22"/>
        </w:rPr>
        <w:t xml:space="preserve">HUF now operates a four-stage monitoring pipeline grounded in 90 years of FM receiver engineering:</w:t>
      </w:r>
    </w:p>
    <w:p>
      <w:pPr>
        <w:spacing w:after="160"/>
        <w:ind w:left="480"/>
        <w:jc w:val="both"/>
      </w:pPr>
      <w:r>
        <w:rPr>
          <w:rFonts w:ascii="Times New Roman" w:cs="Times New Roman" w:eastAsia="Times New Roman" w:hAnsi="Times New Roman"/>
          <w:b/>
          <w:bCs/>
          <w:color w:val="333333"/>
          <w:sz w:val="22"/>
          <w:szCs w:val="22"/>
        </w:rPr>
        <w:t xml:space="preserve">(1) Validity Gate </w:t>
      </w:r>
      <w:r>
        <w:rPr>
          <w:rFonts w:ascii="Times New Roman" w:cs="Times New Roman" w:eastAsia="Times New Roman" w:hAnsi="Times New Roman"/>
          <w:color w:val="333333"/>
          <w:sz w:val="22"/>
          <w:szCs w:val="22"/>
        </w:rPr>
        <w:t xml:space="preserve">— confirms the portfolio shares sum correctly and no site has been silently dropped from the accounting.</w:t>
      </w:r>
    </w:p>
    <w:p>
      <w:pPr>
        <w:spacing w:after="160"/>
        <w:ind w:left="480"/>
        <w:jc w:val="both"/>
      </w:pPr>
      <w:r>
        <w:rPr>
          <w:rFonts w:ascii="Times New Roman" w:cs="Times New Roman" w:eastAsia="Times New Roman" w:hAnsi="Times New Roman"/>
          <w:b/>
          <w:bCs/>
          <w:color w:val="333333"/>
          <w:sz w:val="22"/>
          <w:szCs w:val="22"/>
        </w:rPr>
        <w:t xml:space="preserve">(2) Drift Trigger </w:t>
      </w:r>
      <w:r>
        <w:rPr>
          <w:rFonts w:ascii="Times New Roman" w:cs="Times New Roman" w:eastAsia="Times New Roman" w:hAnsi="Times New Roman"/>
          <w:color w:val="333333"/>
          <w:sz w:val="22"/>
          <w:szCs w:val="22"/>
        </w:rPr>
        <w:t xml:space="preserve">— detects when the rate of share change crosses a threshold calibrated to be perceptible in governance terms (the "just-noticeable difference" for portfolio managers).</w:t>
      </w:r>
    </w:p>
    <w:p>
      <w:pPr>
        <w:spacing w:after="160"/>
        <w:ind w:left="480"/>
        <w:jc w:val="both"/>
      </w:pPr>
      <w:r>
        <w:rPr>
          <w:rFonts w:ascii="Times New Roman" w:cs="Times New Roman" w:eastAsia="Times New Roman" w:hAnsi="Times New Roman"/>
          <w:b/>
          <w:bCs/>
          <w:color w:val="333333"/>
          <w:sz w:val="22"/>
          <w:szCs w:val="22"/>
        </w:rPr>
        <w:t xml:space="preserve">(3) Complexity Gauge </w:t>
      </w:r>
      <w:r>
        <w:rPr>
          <w:rFonts w:ascii="Times New Roman" w:cs="Times New Roman" w:eastAsia="Times New Roman" w:hAnsi="Times New Roman"/>
          <w:color w:val="333333"/>
          <w:sz w:val="22"/>
          <w:szCs w:val="22"/>
        </w:rPr>
        <w:t xml:space="preserve">— measures whether the portfolio is concentrating into fewer sites, even when individual share movements appear small. This catches deceptive drift: the scenario where Crna Mlaka is losing structural weight while no single reporting cycle shows an alarming number.</w:t>
      </w:r>
    </w:p>
    <w:p>
      <w:pPr>
        <w:spacing w:after="160"/>
        <w:ind w:left="480"/>
        <w:jc w:val="both"/>
      </w:pPr>
      <w:r>
        <w:rPr>
          <w:rFonts w:ascii="Times New Roman" w:cs="Times New Roman" w:eastAsia="Times New Roman" w:hAnsi="Times New Roman"/>
          <w:b/>
          <w:bCs/>
          <w:color w:val="333333"/>
          <w:sz w:val="22"/>
          <w:szCs w:val="22"/>
        </w:rPr>
        <w:t xml:space="preserve">(4) Verdict Logic </w:t>
      </w:r>
      <w:r>
        <w:rPr>
          <w:rFonts w:ascii="Times New Roman" w:cs="Times New Roman" w:eastAsia="Times New Roman" w:hAnsi="Times New Roman"/>
          <w:color w:val="333333"/>
          <w:sz w:val="22"/>
          <w:szCs w:val="22"/>
        </w:rPr>
        <w:t xml:space="preserve">— combines drift rate and complexity into a Green/Yellow/Red assessment with proportional response: minor drift gets a note, major drift triggers review, structural concentration triggers alert.</w:t>
      </w:r>
    </w:p>
    <w:p>
      <w:pPr>
        <w:spacing w:after="160"/>
        <w:jc w:val="both"/>
      </w:pPr>
      <w:r>
        <w:rPr>
          <w:rFonts w:ascii="Times New Roman" w:cs="Times New Roman" w:eastAsia="Times New Roman" w:hAnsi="Times New Roman"/>
          <w:b/>
          <w:bCs/>
          <w:color w:val="2E75B6"/>
          <w:sz w:val="22"/>
          <w:szCs w:val="22"/>
        </w:rPr>
        <w:t xml:space="preserve">Key new claim: </w:t>
      </w:r>
      <w:r>
        <w:rPr>
          <w:rFonts w:ascii="Times New Roman" w:cs="Times New Roman" w:eastAsia="Times New Roman" w:hAnsi="Times New Roman"/>
          <w:color w:val="333333"/>
          <w:sz w:val="22"/>
          <w:szCs w:val="22"/>
        </w:rPr>
        <w:t xml:space="preserve">Deceptive drift detection. The letter can now state that HUF catches concentration patterns that velocity-based monitoring misses. This is the Crna Mlaka scenario made concrete — the site’s share erodes gradually enough that no single cycle crosses a threshold, but the cumulative structural damage is severe. Simulation evidence from independent AI verification supports this claim.</w:t>
      </w:r>
    </w:p>
    <w:p>
      <w:pPr>
        <w:pStyle w:val="Heading2"/>
        <w:spacing w:after="160" w:before="280"/>
      </w:pPr>
      <w:r>
        <w:rPr>
          <w:rFonts w:ascii="Times New Roman" w:cs="Times New Roman" w:eastAsia="Times New Roman" w:hAnsi="Times New Roman"/>
          <w:b/>
          <w:bCs/>
          <w:color w:val="1F3864"/>
          <w:sz w:val="24"/>
          <w:szCs w:val="24"/>
        </w:rPr>
        <w:t xml:space="preserve">4.2 The Domain-Invariance Claim Is Now Stronger</w:t>
      </w:r>
    </w:p>
    <w:p>
      <w:pPr>
        <w:spacing w:after="160"/>
        <w:jc w:val="both"/>
      </w:pPr>
      <w:r>
        <w:rPr>
          <w:rFonts w:ascii="Times New Roman" w:cs="Times New Roman" w:eastAsia="Times New Roman" w:hAnsi="Times New Roman"/>
          <w:b/>
          <w:bCs/>
          <w:color w:val="333333"/>
          <w:sz w:val="22"/>
          <w:szCs w:val="22"/>
        </w:rPr>
        <w:t xml:space="preserve">Before: </w:t>
      </w:r>
      <w:r>
        <w:rPr>
          <w:rFonts w:ascii="Times New Roman" w:cs="Times New Roman" w:eastAsia="Times New Roman" w:hAnsi="Times New Roman"/>
          <w:color w:val="333333"/>
          <w:sz w:val="22"/>
          <w:szCs w:val="22"/>
        </w:rPr>
        <w:t xml:space="preserve">Three unrelated domains (bread, software pipeline, Croatia Ramsar).</w:t>
      </w:r>
    </w:p>
    <w:p>
      <w:pPr>
        <w:spacing w:after="160"/>
        <w:jc w:val="both"/>
      </w:pPr>
      <w:r>
        <w:rPr>
          <w:rFonts w:ascii="Times New Roman" w:cs="Times New Roman" w:eastAsia="Times New Roman" w:hAnsi="Times New Roman"/>
          <w:b/>
          <w:bCs/>
          <w:color w:val="333333"/>
          <w:sz w:val="22"/>
          <w:szCs w:val="22"/>
        </w:rPr>
        <w:t xml:space="preserve">After: </w:t>
      </w:r>
      <w:r>
        <w:rPr>
          <w:rFonts w:ascii="Times New Roman" w:cs="Times New Roman" w:eastAsia="Times New Roman" w:hAnsi="Times New Roman"/>
          <w:color w:val="333333"/>
          <w:sz w:val="22"/>
          <w:szCs w:val="22"/>
        </w:rPr>
        <w:t xml:space="preserve">Six or more validated domains including hard-drive failure analysis (Backblaze, real data), energy systems, and morphological analysis. The structural equivalence between HUF’s monitoring pipeline and FM radio receivers — a technology deployed in billions of devices for 90+ years — establishes that the detection architecture is not novel or experimental. It is a proven engineering pattern applied to a new carrier.</w:t>
      </w:r>
    </w:p>
    <w:p>
      <w:pPr>
        <w:pStyle w:val="Heading2"/>
        <w:spacing w:after="160" w:before="280"/>
      </w:pPr>
      <w:r>
        <w:rPr>
          <w:rFonts w:ascii="Times New Roman" w:cs="Times New Roman" w:eastAsia="Times New Roman" w:hAnsi="Times New Roman"/>
          <w:b/>
          <w:bCs/>
          <w:color w:val="1F3864"/>
          <w:sz w:val="24"/>
          <w:szCs w:val="24"/>
        </w:rPr>
        <w:t xml:space="preserve">4.3 The Ask Can Be Reframed</w:t>
      </w:r>
    </w:p>
    <w:p>
      <w:pPr>
        <w:spacing w:after="160"/>
        <w:jc w:val="both"/>
      </w:pPr>
      <w:r>
        <w:rPr>
          <w:rFonts w:ascii="Times New Roman" w:cs="Times New Roman" w:eastAsia="Times New Roman" w:hAnsi="Times New Roman"/>
          <w:b/>
          <w:bCs/>
          <w:color w:val="333333"/>
          <w:sz w:val="22"/>
          <w:szCs w:val="22"/>
        </w:rPr>
        <w:t xml:space="preserve">Before: </w:t>
      </w:r>
      <w:r>
        <w:rPr>
          <w:rFonts w:ascii="Times New Roman" w:cs="Times New Roman" w:eastAsia="Times New Roman" w:hAnsi="Times New Roman"/>
          <w:color w:val="333333"/>
          <w:sz w:val="22"/>
          <w:szCs w:val="22"/>
        </w:rPr>
        <w:t xml:space="preserve">"Try our tool on your data."</w:t>
      </w:r>
    </w:p>
    <w:p>
      <w:pPr>
        <w:spacing w:after="160"/>
        <w:jc w:val="both"/>
      </w:pPr>
      <w:r>
        <w:rPr>
          <w:rFonts w:ascii="Times New Roman" w:cs="Times New Roman" w:eastAsia="Times New Roman" w:hAnsi="Times New Roman"/>
          <w:b/>
          <w:bCs/>
          <w:color w:val="333333"/>
          <w:sz w:val="22"/>
          <w:szCs w:val="22"/>
        </w:rPr>
        <w:t xml:space="preserve">After: </w:t>
      </w:r>
      <w:r>
        <w:rPr>
          <w:rFonts w:ascii="Times New Roman" w:cs="Times New Roman" w:eastAsia="Times New Roman" w:hAnsi="Times New Roman"/>
          <w:color w:val="333333"/>
          <w:sz w:val="22"/>
          <w:szCs w:val="22"/>
        </w:rPr>
        <w:t xml:space="preserve">"Join an amplification network." The cross-domain amplification note establishes mathematically that domains sharing HUF’s structure amplify each other’s accuracy. Ramsar’s adoption would not be an isolated pilot — it would connect wetland governance to a growing network of validated domains where every improvement in one field strengthens all others. Conversely, domains that do not participate decouple themselves from this amplification and lose access to cross-domain insights.</w:t>
      </w:r>
    </w:p>
    <w:p>
      <w:pPr>
        <w:spacing w:after="160"/>
        <w:jc w:val="both"/>
      </w:pPr>
      <w:r>
        <w:rPr>
          <w:rFonts w:ascii="Times New Roman" w:cs="Times New Roman" w:eastAsia="Times New Roman" w:hAnsi="Times New Roman"/>
          <w:b/>
          <w:bCs/>
          <w:color w:val="333333"/>
          <w:sz w:val="22"/>
          <w:szCs w:val="22"/>
        </w:rPr>
        <w:t xml:space="preserve">This is the "teach someone to fish" framing: </w:t>
      </w:r>
      <w:r>
        <w:rPr>
          <w:rFonts w:ascii="Times New Roman" w:cs="Times New Roman" w:eastAsia="Times New Roman" w:hAnsi="Times New Roman"/>
          <w:color w:val="333333"/>
          <w:sz w:val="22"/>
          <w:szCs w:val="22"/>
        </w:rPr>
        <w:t xml:space="preserve">the Secretariat does not become dependent on HUF expertise. Once their team acquires the structural vocabulary in their own domain language, they can independently interpret results, validate cross-domain claims, and contribute new findings that benefit the entire network. The framework trains its users.</w:t>
      </w:r>
    </w:p>
    <w:p>
      <w:pPr>
        <w:pStyle w:val="Heading1"/>
        <w:spacing w:after="200" w:before="360"/>
      </w:pPr>
      <w:r>
        <w:rPr>
          <w:rFonts w:ascii="Times New Roman" w:cs="Times New Roman" w:eastAsia="Times New Roman" w:hAnsi="Times New Roman"/>
          <w:b/>
          <w:bCs/>
          <w:color w:val="1F3864"/>
          <w:sz w:val="28"/>
          <w:szCs w:val="28"/>
        </w:rPr>
        <w:t xml:space="preserve">5. What Does NOT Go in the Letter</w:t>
      </w:r>
    </w:p>
    <w:p>
      <w:pPr>
        <w:spacing w:after="160"/>
        <w:jc w:val="both"/>
      </w:pPr>
      <w:r>
        <w:rPr>
          <w:rFonts w:ascii="Times New Roman" w:cs="Times New Roman" w:eastAsia="Times New Roman" w:hAnsi="Times New Roman"/>
          <w:b/>
          <w:bCs/>
          <w:color w:val="B71C1C"/>
          <w:sz w:val="22"/>
          <w:szCs w:val="22"/>
        </w:rPr>
        <w:t xml:space="preserve">CL-05 (PLL-Style Restorative Control). </w:t>
      </w:r>
      <w:r>
        <w:rPr>
          <w:rFonts w:ascii="Times New Roman" w:cs="Times New Roman" w:eastAsia="Times New Roman" w:hAnsi="Times New Roman"/>
          <w:color w:val="333333"/>
          <w:sz w:val="22"/>
          <w:szCs w:val="22"/>
        </w:rPr>
        <w:t xml:space="preserve">The letter must not mention automated correction, feedback loops, PID tuning, or restorative control. CL-05 is in STORE under operator constraint. The Ramsar pitch is about detection and traceability, not about automated governance. Mentioning CL-05 would alarm the very audience we need to engage — conservation managers who rightly distrust automated intervention in ecological governance.</w:t>
      </w:r>
    </w:p>
    <w:p>
      <w:pPr>
        <w:spacing w:after="160"/>
        <w:jc w:val="both"/>
      </w:pPr>
      <w:r>
        <w:rPr>
          <w:rFonts w:ascii="Times New Roman" w:cs="Times New Roman" w:eastAsia="Times New Roman" w:hAnsi="Times New Roman"/>
          <w:b/>
          <w:bCs/>
          <w:color w:val="333333"/>
          <w:sz w:val="22"/>
          <w:szCs w:val="22"/>
        </w:rPr>
        <w:t xml:space="preserve">AI collective review process. </w:t>
      </w:r>
      <w:r>
        <w:rPr>
          <w:rFonts w:ascii="Times New Roman" w:cs="Times New Roman" w:eastAsia="Times New Roman" w:hAnsi="Times New Roman"/>
          <w:color w:val="333333"/>
          <w:sz w:val="22"/>
          <w:szCs w:val="22"/>
        </w:rPr>
        <w:t xml:space="preserve">The letter should not detail the five-AI voting structure. It is an internal quality mechanism, not an external credibility argument. The primer’s technical annex can mention it for transparency, but the letter should focus on what the framework does, not how it was reviewed.</w:t>
      </w:r>
    </w:p>
    <w:p>
      <w:pPr>
        <w:spacing w:after="160"/>
        <w:jc w:val="both"/>
      </w:pPr>
      <w:r>
        <w:rPr>
          <w:rFonts w:ascii="Times New Roman" w:cs="Times New Roman" w:eastAsia="Times New Roman" w:hAnsi="Times New Roman"/>
          <w:b/>
          <w:bCs/>
          <w:color w:val="333333"/>
          <w:sz w:val="22"/>
          <w:szCs w:val="22"/>
        </w:rPr>
        <w:t xml:space="preserve">IMC-PID tuning parameters. </w:t>
      </w:r>
      <w:r>
        <w:rPr>
          <w:rFonts w:ascii="Times New Roman" w:cs="Times New Roman" w:eastAsia="Times New Roman" w:hAnsi="Times New Roman"/>
          <w:color w:val="333333"/>
          <w:sz w:val="22"/>
          <w:szCs w:val="22"/>
        </w:rPr>
        <w:t xml:space="preserve">These are study-phase material (Grok’s Ramsar FOPDT fit). They belong in the technical corpus, not in outreach.</w:t>
      </w:r>
    </w:p>
    <w:p>
      <w:pPr>
        <w:spacing w:after="160"/>
        <w:jc w:val="both"/>
      </w:pPr>
      <w:r>
        <w:rPr>
          <w:rFonts w:ascii="Times New Roman" w:cs="Times New Roman" w:eastAsia="Times New Roman" w:hAnsi="Times New Roman"/>
          <w:b/>
          <w:bCs/>
          <w:color w:val="333333"/>
          <w:sz w:val="22"/>
          <w:szCs w:val="22"/>
        </w:rPr>
        <w:t xml:space="preserve">Category theory, functors, supermodularity. </w:t>
      </w:r>
      <w:r>
        <w:rPr>
          <w:rFonts w:ascii="Times New Roman" w:cs="Times New Roman" w:eastAsia="Times New Roman" w:hAnsi="Times New Roman"/>
          <w:color w:val="333333"/>
          <w:sz w:val="22"/>
          <w:szCs w:val="22"/>
        </w:rPr>
        <w:t xml:space="preserve">The amplification network concept can be expressed in plain language ("improvements in one field strengthen all connected fields"). The mathematical apparatus stays in the corpus note.</w:t>
      </w:r>
    </w:p>
    <w:p>
      <w:r>
        <w:br w:type="page"/>
      </w:r>
    </w:p>
    <w:p>
      <w:pPr>
        <w:pStyle w:val="Heading1"/>
        <w:spacing w:after="200" w:before="360"/>
      </w:pPr>
      <w:r>
        <w:rPr>
          <w:rFonts w:ascii="Times New Roman" w:cs="Times New Roman" w:eastAsia="Times New Roman" w:hAnsi="Times New Roman"/>
          <w:b/>
          <w:bCs/>
          <w:color w:val="1F3864"/>
          <w:sz w:val="28"/>
          <w:szCs w:val="28"/>
        </w:rPr>
        <w:t xml:space="preserve">6. Recommended Revisions for v16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400"/>
        <w:gridCol w:w="2360"/>
      </w:tblGrid>
      <w:tr>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Section</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Current (v15)</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Proposed Change</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Rationale</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Version &amp; date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HUF v1.2.0, February 2026</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HUF v2.12, March 2026</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Reflects current framework baseline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"What HUF does"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Single paragraph: computes shares, tracks across cycles, classifies shifts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Four-stage pipeline: validity → drift → complexity → verdict. Add deceptive-drift detection claim</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A1, A2: concrete capability improvement</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"What the numbers say"</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Four statistics: 0.91%, 110, 82%, 4.8pp</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Add fifth: Keff decline from 5.0 to &lt;2.0 under simulated concentration — "your portfolio is losing structural diversity even when no single number looks alarming"</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A2: makes deceptive drift tangible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Domain invariance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Three domains cited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Six+ domains, including Backblaze real-data case study. Add FM engineering precedent sentence</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A3, A8: credibility and depth</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Closing framing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"We are asking for the chance to show you something your current instruments cannot"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Add amplification network framing: "Participating domains strengthen each other. Wetland governance would not be an isolated pilot — it would join a growing network where accuracy in one field amplifies every other"</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A6: reframes from tool pitch to network invitation</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Traffic light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Not mentioned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Add one sentence: "The framework outputs a Green/Yellow/Red portfolio health assessment — governance managers see a traffic light, not a spreadsheet"</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A5: accessibility for non-technical readers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333333"/>
                <w:sz w:val="20"/>
                <w:szCs w:val="20"/>
              </w:rPr>
              <w:t xml:space="preserve">Croatian translation</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Full bilingual (English + Croatian)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Update Croatian section to match English revisions</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333333"/>
                <w:sz w:val="20"/>
                <w:szCs w:val="20"/>
              </w:rPr>
              <w:t xml:space="preserve">Consistency</w:t>
            </w:r>
          </w:p>
        </w:tc>
      </w:tr>
    </w:tbl>
    <w:p>
      <w:pPr>
        <w:pStyle w:val="Heading1"/>
        <w:spacing w:after="200" w:before="360"/>
      </w:pPr>
      <w:r>
        <w:rPr>
          <w:rFonts w:ascii="Times New Roman" w:cs="Times New Roman" w:eastAsia="Times New Roman" w:hAnsi="Times New Roman"/>
          <w:b/>
          <w:bCs/>
          <w:color w:val="1F3864"/>
          <w:sz w:val="28"/>
          <w:szCs w:val="28"/>
        </w:rPr>
        <w:t xml:space="preserve">7. The Decoupling Argument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cross-domain amplification note establishes a mathematical result with direct implications for the Ramsar pitch: domains that do not adopt the shared framework decouple from the amplification network and lose access to cross-domain insights.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For Ramsar, this means:</w:t>
      </w:r>
    </w:p>
    <w:p>
      <w:pPr>
        <w:spacing w:after="160"/>
        <w:jc w:val="both"/>
      </w:pPr>
      <w:r>
        <w:rPr>
          <w:rFonts w:ascii="Times New Roman" w:cs="Times New Roman" w:eastAsia="Times New Roman" w:hAnsi="Times New Roman"/>
          <w:b/>
          <w:bCs/>
          <w:color w:val="333333"/>
          <w:sz w:val="22"/>
          <w:szCs w:val="22"/>
        </w:rPr>
        <w:t xml:space="preserve">If wetland governance adopts HUF: </w:t>
      </w:r>
      <w:r>
        <w:rPr>
          <w:rFonts w:ascii="Times New Roman" w:cs="Times New Roman" w:eastAsia="Times New Roman" w:hAnsi="Times New Roman"/>
          <w:color w:val="333333"/>
          <w:sz w:val="22"/>
          <w:szCs w:val="22"/>
        </w:rPr>
        <w:t xml:space="preserve">every advancement in engineering calibration, mathematical proof, or scientific case study automatically strengthens the Secretariat’s monitoring capability. Improvements in budget analysis or infrastructure monitoring translate — via the shared simplex structure — into better ecological detection at no additional cost. The Ramsar community gains access to an expanding library of validated results from every connected domain.</w:t>
      </w:r>
    </w:p>
    <w:p>
      <w:pPr>
        <w:spacing w:after="160"/>
        <w:jc w:val="both"/>
      </w:pPr>
      <w:r>
        <w:rPr>
          <w:rFonts w:ascii="Times New Roman" w:cs="Times New Roman" w:eastAsia="Times New Roman" w:hAnsi="Times New Roman"/>
          <w:b/>
          <w:bCs/>
          <w:color w:val="333333"/>
          <w:sz w:val="22"/>
          <w:szCs w:val="22"/>
        </w:rPr>
        <w:t xml:space="preserve">If wetland governance does not adopt HUF: </w:t>
      </w:r>
      <w:r>
        <w:rPr>
          <w:rFonts w:ascii="Times New Roman" w:cs="Times New Roman" w:eastAsia="Times New Roman" w:hAnsi="Times New Roman"/>
          <w:color w:val="333333"/>
          <w:sz w:val="22"/>
          <w:szCs w:val="22"/>
        </w:rPr>
        <w:t xml:space="preserve">the other domains proceed regardless. Engineering, finance, and infrastructure monitoring continue to refine the control stack. Wetland governance simply does not benefit. It relaxes its coupling to the network and loses access to the amplification. The constraint on the simplex still holds for every wetland portfolio — the mathematics do not change — but the tools to see it remain unused.</w:t>
      </w:r>
    </w:p>
    <w:p>
      <w:pPr>
        <w:spacing w:after="160"/>
        <w:jc w:val="both"/>
      </w:pPr>
      <w:r>
        <w:rPr>
          <w:rFonts w:ascii="Times New Roman" w:cs="Times New Roman" w:eastAsia="Times New Roman" w:hAnsi="Times New Roman"/>
          <w:b/>
          <w:bCs/>
          <w:i/>
          <w:iCs/>
          <w:color w:val="333333"/>
          <w:sz w:val="22"/>
          <w:szCs w:val="22"/>
        </w:rPr>
        <w:t xml:space="preserve">This is not a pressure argument. </w:t>
      </w:r>
      <w:r>
        <w:rPr>
          <w:rFonts w:ascii="Times New Roman" w:cs="Times New Roman" w:eastAsia="Times New Roman" w:hAnsi="Times New Roman"/>
          <w:color w:val="333333"/>
          <w:sz w:val="22"/>
          <w:szCs w:val="22"/>
        </w:rPr>
        <w:t xml:space="preserve">It is a structural observation. The amplification network grows whether any particular domain participates or not. The only question is whether wetland governance wants to be inside the network or outside it.</w:t>
      </w:r>
    </w:p>
    <w:p>
      <w:pPr>
        <w:pStyle w:val="Heading1"/>
        <w:spacing w:after="200" w:before="360"/>
      </w:pPr>
      <w:r>
        <w:rPr>
          <w:rFonts w:ascii="Times New Roman" w:cs="Times New Roman" w:eastAsia="Times New Roman" w:hAnsi="Times New Roman"/>
          <w:b/>
          <w:bCs/>
          <w:color w:val="1F3864"/>
          <w:sz w:val="28"/>
          <w:szCs w:val="28"/>
        </w:rPr>
        <w:t xml:space="preserve">8. Primer Updates (v12 → v13)</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primer serves a different audience (internal Secretariat discussion) and can carry more technical weight. Recommended additions:</w:t>
      </w:r>
    </w:p>
    <w:p>
      <w:pPr>
        <w:spacing w:after="16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Technical Annex A: Four-stage control pipeline with FM engineering precedent mapping table.</w:t>
      </w:r>
    </w:p>
    <w:p>
      <w:pPr>
        <w:spacing w:after="16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Technical Annex B: Keff simulation showing deceptive drift detection — the S-curve plot and the key insight that velocity misses what Keff catches.</w:t>
      </w:r>
    </w:p>
    <w:p>
      <w:pPr>
        <w:spacing w:after="16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Technical Annex C: Evidentiary tier system explanation (how HUF classifies claims and what each tier means for confidence).</w:t>
      </w:r>
    </w:p>
    <w:p>
      <w:pPr>
        <w:spacing w:after="16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Updated "What a pilot could look like" section: incorporate the four-stage pipeline into the pilot structure so each phase maps to a CL layer validation.</w:t>
      </w:r>
    </w:p>
    <w:p>
      <w:pPr>
        <w:spacing w:after="160"/>
        <w:ind w:left="360"/>
        <w:jc w:val="both"/>
      </w:pPr>
      <w:r>
        <w:rPr>
          <w:rFonts w:ascii="Times New Roman" w:cs="Times New Roman" w:eastAsia="Times New Roman" w:hAnsi="Times New Roman"/>
          <w:b/>
          <w:bCs/>
          <w:color w:val="333333"/>
          <w:sz w:val="22"/>
          <w:szCs w:val="22"/>
        </w:rPr>
        <w:t xml:space="preserve">•  </w:t>
      </w:r>
      <w:r>
        <w:rPr>
          <w:rFonts w:ascii="Times New Roman" w:cs="Times New Roman" w:eastAsia="Times New Roman" w:hAnsi="Times New Roman"/>
          <w:color w:val="333333"/>
          <w:sz w:val="22"/>
          <w:szCs w:val="22"/>
        </w:rPr>
        <w:t xml:space="preserve">Cross-domain amplification summary (plain language, one paragraph): "Domains that share HUF’s structure amplify each other’s accuracy. Ramsar would join a growing network."</w:t>
      </w:r>
    </w:p>
    <w:p>
      <w:pPr>
        <w:pStyle w:val="Heading1"/>
        <w:spacing w:after="200" w:before="360"/>
      </w:pPr>
      <w:r>
        <w:rPr>
          <w:rFonts w:ascii="Times New Roman" w:cs="Times New Roman" w:eastAsia="Times New Roman" w:hAnsi="Times New Roman"/>
          <w:b/>
          <w:bCs/>
          <w:color w:val="1F3864"/>
          <w:sz w:val="28"/>
          <w:szCs w:val="28"/>
        </w:rPr>
        <w:t xml:space="preserve">9. Version Strategy</w:t>
      </w:r>
    </w:p>
    <w:p>
      <w:pPr>
        <w:spacing w:after="160"/>
        <w:jc w:val="both"/>
      </w:pPr>
      <w:r>
        <w:rPr>
          <w:rFonts w:ascii="Times New Roman" w:cs="Times New Roman" w:eastAsia="Times New Roman" w:hAnsi="Times New Roman"/>
          <w:b/>
          <w:bCs/>
          <w:color w:val="333333"/>
          <w:sz w:val="22"/>
          <w:szCs w:val="22"/>
        </w:rPr>
        <w:t xml:space="preserve">Recommendation: </w:t>
      </w:r>
      <w:r>
        <w:rPr>
          <w:rFonts w:ascii="Times New Roman" w:cs="Times New Roman" w:eastAsia="Times New Roman" w:hAnsi="Times New Roman"/>
          <w:color w:val="333333"/>
          <w:sz w:val="22"/>
          <w:szCs w:val="22"/>
        </w:rPr>
        <w:t xml:space="preserve">Do not revise the letter yet. Let the current collective review round close fully (Grok’s scrutiny report is the most recent input). Integrate the CL architecture and amplification note into the corpus. Then produce v16 of the letter and v13 of the primer as a matched pair, both referencing v2.12 and the CL architecture.</w:t>
      </w:r>
    </w:p>
    <w:p>
      <w:pPr>
        <w:spacing w:after="160"/>
        <w:jc w:val="both"/>
      </w:pPr>
      <w:r>
        <w:rPr>
          <w:rFonts w:ascii="Times New Roman" w:cs="Times New Roman" w:eastAsia="Times New Roman" w:hAnsi="Times New Roman"/>
          <w:b/>
          <w:bCs/>
          <w:color w:val="333333"/>
          <w:sz w:val="22"/>
          <w:szCs w:val="22"/>
        </w:rPr>
        <w:t xml:space="preserve">Trigger for revision: </w:t>
      </w:r>
      <w:r>
        <w:rPr>
          <w:rFonts w:ascii="Times New Roman" w:cs="Times New Roman" w:eastAsia="Times New Roman" w:hAnsi="Times New Roman"/>
          <w:color w:val="333333"/>
          <w:sz w:val="22"/>
          <w:szCs w:val="22"/>
        </w:rPr>
        <w:t xml:space="preserve">When at least one real-data Keff validation is complete (Ramsar or equivalent), CL-03 promotes from [CONJECTURE/EMPIRICAL(sim)] to full [EMPIRICAL]. At that point, the letter’s deceptive-drift claim moves from "simulation evidence suggests" to "demonstrated on real data." That is the strongest possible version to send.</w:t>
      </w:r>
    </w:p>
    <w:p>
      <w:pPr>
        <w:pStyle w:val="Heading1"/>
        <w:spacing w:after="200" w:before="360"/>
      </w:pPr>
      <w:r>
        <w:rPr>
          <w:rFonts w:ascii="Times New Roman" w:cs="Times New Roman" w:eastAsia="Times New Roman" w:hAnsi="Times New Roman"/>
          <w:b/>
          <w:bCs/>
          <w:color w:val="1F3864"/>
          <w:sz w:val="28"/>
          <w:szCs w:val="28"/>
        </w:rPr>
        <w:t xml:space="preserve">10. Closing Statement</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Ramsar case is materially stronger than it was in February. The framework now has a formal control architecture, simulation evidence for its most critical detection capability, engineering precedent from a century of signal processing, and a mathematical theory of cross-domain amplification that reframes the entire pitch from "try our tool" to "join a network where every connected domain makes yours stronger."</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letter’s conservative posture — "we are not asking for endorsement" — remains correct. But what we can show has deepened. And the cost of not looking has a name now: decoupling.</w:t>
      </w:r>
    </w:p>
    <w:p>
      <w:pPr>
        <w:spacing w:after="160"/>
        <w:jc w:val="both"/>
      </w:pPr>
      <w:r>
        <w:rPr>
          <w:rFonts w:ascii="Times New Roman" w:cs="Times New Roman" w:eastAsia="Times New Roman" w:hAnsi="Times New Roman"/>
          <w:b/>
          <w:bCs/>
          <w:i/>
          <w:iCs/>
          <w:color w:val="2E75B6"/>
          <w:sz w:val="22"/>
          <w:szCs w:val="22"/>
        </w:rPr>
        <w:t xml:space="preserve">Domains that relax their coupling to the shared framework decouple themselves and lose access to the amplification network. That is not a threat. It is geometry.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Ramsar Update · Internal Working Document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Ramsar Contact — Advancement Update Note</w:t>
    </w:r>
    <w:r>
      <w:rPr>
        <w:rFonts w:ascii="Times New Roman" w:cs="Times New Roman" w:eastAsia="Times New Roman" w:hAnsi="Times New Roman"/>
        <w:i/>
        <w:iCs/>
        <w:color w:val="2E75B6"/>
        <w:sz w:val="18"/>
        <w:szCs w:val="18"/>
      </w:rPr>
      <w:t xml:space="preserve">	16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2026-03-16T22:42:08.149Z</dcterms:created>
  <dcterms:modified xsi:type="dcterms:W3CDTF">2026-03-16T22:42:08.150Z</dcterms:modified>
</cp:coreProperties>
</file>

<file path=docProps/custom.xml><?xml version="1.0" encoding="utf-8"?>
<Properties xmlns="http://schemas.openxmlformats.org/officeDocument/2006/custom-properties" xmlns:vt="http://schemas.openxmlformats.org/officeDocument/2006/docPropsVTypes"/>
</file>