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none"/>
              <w:bottom w:val="single" w:color="1F4E79" w:sz="6"/>
              <w:right w:val="none"/>
            </w:tcBorders>
            <w:tcMar>
              <w:top w:type="dxa" w:w="200"/>
              <w:left w:type="dxa" w:w="200"/>
              <w:bottom w:type="dxa" w:w="200"/>
              <w:right w:type="dxa" w:w="200"/>
            </w:tcMar>
          </w:tcPr>
          <w:p>
            <w:pPr>
              <w:spacing w:after="60"/>
              <w:jc w:val="left"/>
            </w:pPr>
            <w:r>
              <w:rPr>
                <w:rFonts w:ascii="Arial" w:cs="Arial" w:eastAsia="Arial" w:hAnsi="Arial"/>
                <w:color w:val="666666"/>
                <w:sz w:val="18"/>
                <w:szCs w:val="18"/>
              </w:rPr>
              <w:t xml:space="preserve">HUF.REL.CASE.EXHIBIT.BACKBLAZE_HDD_GOVERNANCE</w:t>
            </w:r>
          </w:p>
          <w:p>
            <w:pPr>
              <w:spacing w:after="80"/>
              <w:jc w:val="left"/>
            </w:pPr>
            <w:r>
              <w:rPr>
                <w:rFonts w:ascii="Arial" w:cs="Arial" w:eastAsia="Arial" w:hAnsi="Arial"/>
                <w:color w:val="666666"/>
                <w:sz w:val="18"/>
                <w:szCs w:val="18"/>
              </w:rPr>
              <w:t xml:space="preserve">v1.0 | 2026-03-08 | STATUS: VALIDATED | OP=0.51 TOOL=0.49</w:t>
            </w:r>
          </w:p>
          <w:p>
            <w:pPr>
              <w:spacing w:after="120"/>
              <w:jc w:val="left"/>
            </w:pPr>
            <w:r>
              <w:rPr>
                <w:rFonts w:ascii="Arial" w:cs="Arial" w:eastAsia="Arial" w:hAnsi="Arial"/>
                <w:b/>
                <w:bCs/>
                <w:color w:val="1F4E79"/>
                <w:sz w:val="36"/>
                <w:szCs w:val="36"/>
              </w:rPr>
              <w:t xml:space="preserve">HUF Backblaze Hard Drive Governance Case Study</w:t>
            </w:r>
          </w:p>
          <w:p>
            <w:pPr>
              <w:spacing w:after="60"/>
              <w:jc w:val="left"/>
            </w:pPr>
            <w:r>
              <w:rPr>
                <w:rFonts w:ascii="Arial" w:cs="Arial" w:eastAsia="Arial" w:hAnsi="Arial"/>
                <w:i/>
                <w:iCs/>
                <w:sz w:val="22"/>
                <w:szCs w:val="22"/>
              </w:rPr>
              <w:t xml:space="preserve">Applying the Higgins Unity Framework to 349,462 Enterprise Drives (2024–2025)</w:t>
            </w:r>
          </w:p>
          <w:p>
            <w:pPr>
              <w:jc w:val="left"/>
            </w:pPr>
            <w:r>
              <w:rPr>
                <w:rFonts w:ascii="Arial" w:cs="Arial" w:eastAsia="Arial" w:hAnsi="Arial"/>
                <w:color w:val="666666"/>
                <w:sz w:val="18"/>
                <w:szCs w:val="18"/>
              </w:rPr>
              <w:t xml:space="preserve">Operator: Peter Higgins | Co-Workers: Grok · Claude | Data: Backblaze Open Dataset</w:t>
            </w:r>
          </w:p>
        </w:tc>
      </w:tr>
    </w:tbl>
    <w:p>
      <w:pPr>
        <w:pStyle w:val="Heading1"/>
        <w:spacing w:after="150" w:before="300"/>
      </w:pPr>
      <w:r>
        <w:rPr>
          <w:rFonts w:ascii="Arial" w:cs="Arial" w:eastAsia="Arial" w:hAnsi="Arial"/>
          <w:b/>
          <w:bCs/>
        </w:rPr>
        <w:t xml:space="preserve">1. Introduction</w:t>
      </w:r>
    </w:p>
    <w:p>
      <w:pPr>
        <w:spacing w:after="120"/>
        <w:jc w:val="left"/>
      </w:pPr>
      <w:r>
        <w:rPr>
          <w:rFonts w:ascii="Arial" w:cs="Arial" w:eastAsia="Arial" w:hAnsi="Arial"/>
          <w:sz w:val="22"/>
          <w:szCs w:val="22"/>
        </w:rPr>
        <w:t xml:space="preserve">This case study applies the Higgins Unity Framework (HUF) to Backblaze’s publicly available hard drive reliability data — one of the largest open datasets in enterprise storage. The analysis spans seven daily snapshots from March 2024 to December 2025, covering a fleet that grew to 349,462 monitored drives by year-end 2025.</w:t>
      </w:r>
    </w:p>
    <w:p>
      <w:pPr>
        <w:spacing w:after="120"/>
        <w:jc w:val="left"/>
      </w:pPr>
      <w:r>
        <w:rPr>
          <w:rFonts w:ascii="Arial" w:cs="Arial" w:eastAsia="Arial" w:hAnsi="Arial"/>
          <w:sz w:val="22"/>
          <w:szCs w:val="22"/>
        </w:rPr>
        <w:t xml:space="preserve">The purpose is twofold: to demonstrate HUF’s applicability beyond its acoustic origins as a universal governance framework for compositional systems; and to provide an empirical case study using real, independently verifiable data that any reader can reproduce.</w:t>
      </w:r>
    </w:p>
    <w:p>
      <w:pPr>
        <w:spacing w:after="120"/>
      </w:pPr>
      <w:r>
        <w:rPr>
          <w:rFonts w:ascii="Arial" w:cs="Arial" w:eastAsia="Arial" w:hAnsi="Arial"/>
          <w:b/>
          <w:bCs/>
          <w:sz w:val="22"/>
          <w:szCs w:val="22"/>
        </w:rPr>
        <w:t xml:space="preserve">Framework summary: </w:t>
      </w:r>
      <w:r>
        <w:rPr>
          <w:rFonts w:ascii="Arial" w:cs="Arial" w:eastAsia="Arial" w:hAnsi="Arial"/>
          <w:sz w:val="22"/>
          <w:szCs w:val="22"/>
        </w:rPr>
        <w:t xml:space="preserve">HUF models any system as a portfolio of regimes with allocation weights ρᵢ constrained by two fixed poles: Closure (Σρᵢ = 1, ρᵢ ≥ 0) and Authority (Operator ≥ 0.51, Tool ≤ 0.49). Monitoring Drift Gain (MDG = Σ|Δρᵢ| / K) detects compositional drift. Leverage (Lᵢ = 1/ρᵢ) diverges as any regime approaches zero, forcing visibility on orphan risk before failure cascades.</w:t>
      </w:r>
    </w:p>
    <w:p>
      <w:pPr>
        <w:pStyle w:val="Heading2"/>
        <w:spacing w:after="150" w:before="300"/>
      </w:pPr>
      <w:r>
        <w:rPr>
          <w:rFonts w:ascii="Arial" w:cs="Arial" w:eastAsia="Arial" w:hAnsi="Arial"/>
          <w:b/>
          <w:bCs/>
        </w:rPr>
        <w:t xml:space="preserve">1.1 Data Source</w:t>
      </w:r>
    </w:p>
    <w:p>
      <w:pPr>
        <w:spacing w:after="120"/>
        <w:jc w:val="left"/>
      </w:pPr>
      <w:r>
        <w:rPr>
          <w:rFonts w:ascii="Arial" w:cs="Arial" w:eastAsia="Arial" w:hAnsi="Arial"/>
          <w:sz w:val="22"/>
          <w:szCs w:val="22"/>
        </w:rPr>
        <w:t xml:space="preserve">Backblaze publishes quarterly ZIP archives of daily CSV files containing SMART attribute data for every drive in their fleet. The schema (Drive_Stats_Schema_Current.csv) includes 198 SMART attributes per drive. This study uses daily snapshots from seven dates across 2024–2025, selected to span quarters and capture fleet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308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2024</w:t>
            </w:r>
          </w:p>
        </w:tc>
        <w:tc>
          <w:tcPr>
            <w:tcW w:type="dxa" w:w="308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2025</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Total Drives Monitored</w:t>
            </w:r>
          </w:p>
        </w:tc>
        <w:tc>
          <w:tcPr>
            <w:tcW w:type="dxa" w:w="30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w:t>
            </w:r>
          </w:p>
        </w:tc>
        <w:tc>
          <w:tcPr>
            <w:tcW w:type="dxa" w:w="30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349,462</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Drives Analysed (after exclusions)</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344,196 (30 models)</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Overall AFR</w:t>
            </w:r>
          </w:p>
        </w:tc>
        <w:tc>
          <w:tcPr>
            <w:tcW w:type="dxa" w:w="30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1.55%</w:t>
            </w:r>
          </w:p>
        </w:tc>
        <w:tc>
          <w:tcPr>
            <w:tcW w:type="dxa" w:w="30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1.36%</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Lifetime AFR (2013–2025)</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1.30%</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Q4 Drives</w:t>
            </w:r>
          </w:p>
        </w:tc>
        <w:tc>
          <w:tcPr>
            <w:tcW w:type="dxa" w:w="30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w:t>
            </w:r>
          </w:p>
        </w:tc>
        <w:tc>
          <w:tcPr>
            <w:tcW w:type="dxa" w:w="30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337,192</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Q4 AFR</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1.13%</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Q4 Failures</w:t>
            </w:r>
          </w:p>
        </w:tc>
        <w:tc>
          <w:tcPr>
            <w:tcW w:type="dxa" w:w="30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w:t>
            </w:r>
          </w:p>
        </w:tc>
        <w:tc>
          <w:tcPr>
            <w:tcW w:type="dxa" w:w="30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943</w:t>
            </w:r>
          </w:p>
        </w:tc>
      </w:tr>
    </w:tbl>
    <w:p>
      <w:pPr>
        <w:spacing w:after="120"/>
        <w:jc w:val="left"/>
      </w:pPr>
      <w:r>
        <w:rPr>
          <w:rFonts w:ascii="Arial" w:cs="Arial" w:eastAsia="Arial" w:hAnsi="Arial"/>
          <w:sz w:val="22"/>
          <w:szCs w:val="22"/>
        </w:rPr>
        <w:t xml:space="preserve"/>
      </w:r>
    </w:p>
    <w:p>
      <w:pPr>
        <w:pStyle w:val="Heading2"/>
        <w:spacing w:after="150" w:before="300"/>
      </w:pPr>
      <w:r>
        <w:rPr>
          <w:rFonts w:ascii="Arial" w:cs="Arial" w:eastAsia="Arial" w:hAnsi="Arial"/>
          <w:b/>
          <w:bCs/>
        </w:rPr>
        <w:t xml:space="preserve">1.2 Data Quality Note</w:t>
      </w:r>
    </w:p>
    <w:p>
      <w:pPr>
        <w:spacing w:after="120"/>
        <w:jc w:val="left"/>
      </w:pPr>
      <w:r>
        <w:rPr>
          <w:rFonts w:ascii="Arial" w:cs="Arial" w:eastAsia="Arial" w:hAnsi="Arial"/>
          <w:sz w:val="22"/>
          <w:szCs w:val="22"/>
        </w:rPr>
        <w:t xml:space="preserve">Four of the seven snapshots (March 2024, July 2024, April 2025, July 2025) were processed by Grok from truncated CSV inputs due to context window limitations. These produced visible samples of 11–26 drives with artificially inflated bad rates (63–96%). These are flagged throughout with an asterisk (*) and treated as directional indicators only. The three full-fleet snapshots (January 2025, November 2025, December 2025) provide the primary empirical basis.</w:t>
      </w:r>
    </w:p>
    <w:p>
      <w:pPr>
        <w:spacing w:after="120"/>
        <w:jc w:val="left"/>
      </w:pPr>
      <w:r>
        <w:rPr>
          <w:rFonts w:ascii="Arial" w:cs="Arial" w:eastAsia="Arial" w:hAnsi="Arial"/>
          <w:sz w:val="22"/>
          <w:szCs w:val="22"/>
        </w:rPr>
        <w:t xml:space="preserve">The January 1, 2025 analysis was independently validated by Claude using the full 80MB CSV (304,957 drives) with fleet anomaly methodology across 14,691 anomalous drives. This is the anchor dataset.</w:t>
      </w:r>
    </w:p>
    <w:p>
      <w:r>
        <w:br w:type="page"/>
      </w:r>
    </w:p>
    <w:p>
      <w:pPr>
        <w:pStyle w:val="Heading1"/>
        <w:spacing w:after="150" w:before="300"/>
      </w:pPr>
      <w:r>
        <w:rPr>
          <w:rFonts w:ascii="Arial" w:cs="Arial" w:eastAsia="Arial" w:hAnsi="Arial"/>
          <w:b/>
          <w:bCs/>
        </w:rPr>
        <w:t xml:space="preserve">2. Methodology</w:t>
      </w:r>
    </w:p>
    <w:p>
      <w:pPr>
        <w:pStyle w:val="Heading2"/>
        <w:spacing w:after="150" w:before="300"/>
      </w:pPr>
      <w:r>
        <w:rPr>
          <w:rFonts w:ascii="Arial" w:cs="Arial" w:eastAsia="Arial" w:hAnsi="Arial"/>
          <w:b/>
          <w:bCs/>
        </w:rPr>
        <w:t xml:space="preserve">2.1 Regime Definition</w:t>
      </w:r>
    </w:p>
    <w:p>
      <w:pPr>
        <w:spacing w:after="120"/>
        <w:jc w:val="left"/>
      </w:pPr>
      <w:r>
        <w:rPr>
          <w:rFonts w:ascii="Arial" w:cs="Arial" w:eastAsia="Arial" w:hAnsi="Arial"/>
          <w:sz w:val="22"/>
          <w:szCs w:val="22"/>
        </w:rPr>
        <w:t xml:space="preserve">Two regime models are applied depending on the analysis objective:</w:t>
      </w:r>
    </w:p>
    <w:p>
      <w:pPr>
        <w:spacing w:after="120"/>
      </w:pPr>
      <w:r>
        <w:rPr>
          <w:rFonts w:ascii="Arial" w:cs="Arial" w:eastAsia="Arial" w:hAnsi="Arial"/>
          <w:b/>
          <w:bCs/>
          <w:sz w:val="22"/>
          <w:szCs w:val="22"/>
        </w:rPr>
        <w:t xml:space="preserve">Model-based regimes: </w:t>
      </w:r>
      <w:r>
        <w:rPr>
          <w:rFonts w:ascii="Arial" w:cs="Arial" w:eastAsia="Arial" w:hAnsi="Arial"/>
          <w:sz w:val="22"/>
          <w:szCs w:val="22"/>
        </w:rPr>
        <w:t xml:space="preserve">The fleet is partitioned by drive model. Each model’s ρᵢ is its proportional share of total fleet capacity. Effective ρᵢ adjusts for degradation: effective capacity = total capacity × (1 − bad_rate), then renormalised to unity. Drift is measured as |Δρᵢ| in basis points (1 bps = 0.01%).</w:t>
      </w:r>
    </w:p>
    <w:p>
      <w:pPr>
        <w:spacing w:after="120"/>
      </w:pPr>
      <w:r>
        <w:rPr>
          <w:rFonts w:ascii="Arial" w:cs="Arial" w:eastAsia="Arial" w:hAnsi="Arial"/>
          <w:b/>
          <w:bCs/>
          <w:sz w:val="22"/>
          <w:szCs w:val="22"/>
        </w:rPr>
        <w:t xml:space="preserve">Failure-mode regimes (K=4): </w:t>
      </w:r>
      <w:r>
        <w:rPr>
          <w:rFonts w:ascii="Arial" w:cs="Arial" w:eastAsia="Arial" w:hAnsi="Arial"/>
          <w:sz w:val="22"/>
          <w:szCs w:val="22"/>
        </w:rPr>
        <w:t xml:space="preserve">For the anchor dataset (Jan 2025, 304,957 drives), regimes represent failure modes derived from SMART attribute signatures: Mechanical (SMART 5), Electronic (SMART 187), Media (SMART 197), and Offline (SMART 198). The ρᵢ values are the proportional distribution of anomalous drives across these four categories.</w:t>
      </w:r>
    </w:p>
    <w:p>
      <w:pPr>
        <w:pStyle w:val="Heading2"/>
        <w:spacing w:after="150" w:before="300"/>
      </w:pPr>
      <w:r>
        <w:rPr>
          <w:rFonts w:ascii="Arial" w:cs="Arial" w:eastAsia="Arial" w:hAnsi="Arial"/>
          <w:b/>
          <w:bCs/>
        </w:rPr>
        <w:t xml:space="preserve">2.2 At-Risk Classification</w:t>
      </w:r>
    </w:p>
    <w:p>
      <w:pPr>
        <w:spacing w:after="120"/>
        <w:jc w:val="left"/>
      </w:pPr>
      <w:r>
        <w:rPr>
          <w:rFonts w:ascii="Arial" w:cs="Arial" w:eastAsia="Arial" w:hAnsi="Arial"/>
          <w:sz w:val="22"/>
          <w:szCs w:val="22"/>
        </w:rPr>
        <w:t xml:space="preserve">A drive is classified as “at-risk” if any of four key SMART attributes have non-zero raw values: smart_5_raw (Reallocated Sectors Count), smart_187_raw (Reported Uncorrectable Errors), smart_197_raw (Current Pending Sector Count), or smart_198_raw (Offline Uncorrectable Sector Count). The bad_rate for each model is: at-risk drives / total drives per model.</w:t>
      </w:r>
    </w:p>
    <w:p>
      <w:pPr>
        <w:pStyle w:val="Heading2"/>
        <w:spacing w:after="150" w:before="300"/>
      </w:pPr>
      <w:r>
        <w:rPr>
          <w:rFonts w:ascii="Arial" w:cs="Arial" w:eastAsia="Arial" w:hAnsi="Arial"/>
          <w:b/>
          <w:bCs/>
        </w:rPr>
        <w:t xml:space="preserve">2.3 HUF Monitoring Parameters</w:t>
      </w:r>
    </w:p>
    <w:p>
      <w:pPr>
        <w:spacing w:after="120"/>
        <w:jc w:val="left"/>
      </w:pPr>
      <w:r>
        <w:rPr>
          <w:rFonts w:ascii="Arial" w:cs="Arial" w:eastAsia="Arial" w:hAnsi="Arial"/>
          <w:sz w:val="22"/>
          <w:szCs w:val="22"/>
        </w:rPr>
        <w:t xml:space="preserve">K = 4 is used throughout (derived from the four failure-mode nodes). MDG thresholds for K=4: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W w:type="dxa" w:w="2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Threshold</w:t>
            </w:r>
          </w:p>
        </w:tc>
        <w:tc>
          <w:tcPr>
            <w:tcW w:type="dxa" w:w="1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K=4 (bps)</w:t>
            </w:r>
          </w:p>
        </w:tc>
        <w:tc>
          <w:tcPr>
            <w:tcW w:type="dxa" w:w="1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K=5 (bps)</w:t>
            </w:r>
          </w:p>
        </w:tc>
        <w:tc>
          <w:tcPr>
            <w:tcW w:type="dxa" w:w="37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Observed</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Advisory (3σ)</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58</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49</w:t>
            </w:r>
          </w:p>
        </w:tc>
        <w:tc>
          <w:tcPr>
            <w:tcW w:type="dxa" w:w="37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Alert (5σ)</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96</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82</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w:t>
            </w:r>
          </w:p>
        </w:tc>
      </w:tr>
      <w:tr>
        <w:tc>
          <w:tcPr>
            <w:tcW w:type="dxa" w:w="240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bCs/>
                <w:sz w:val="18"/>
                <w:szCs w:val="18"/>
              </w:rPr>
              <w:t xml:space="preserve">Critical (10σ)</w:t>
            </w:r>
          </w:p>
        </w:tc>
        <w:tc>
          <w:tcPr>
            <w:tcW w:type="dxa" w:w="160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bCs/>
                <w:sz w:val="18"/>
                <w:szCs w:val="18"/>
              </w:rPr>
              <w:t xml:space="preserve">193</w:t>
            </w:r>
          </w:p>
        </w:tc>
        <w:tc>
          <w:tcPr>
            <w:tcW w:type="dxa" w:w="160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bCs/>
                <w:sz w:val="18"/>
                <w:szCs w:val="18"/>
              </w:rPr>
              <w:t xml:space="preserve">163</w:t>
            </w:r>
          </w:p>
        </w:tc>
        <w:tc>
          <w:tcPr>
            <w:tcW w:type="dxa" w:w="376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bCs/>
                <w:sz w:val="18"/>
                <w:szCs w:val="18"/>
              </w:rPr>
              <w:t xml:space="preserve">MDG = 1,322 bps (6.8× Critical)</w:t>
            </w:r>
          </w:p>
        </w:tc>
      </w:tr>
    </w:tbl>
    <w:p>
      <w:pPr>
        <w:spacing w:after="120"/>
        <w:jc w:val="left"/>
      </w:pPr>
      <w:r>
        <w:rPr>
          <w:rFonts w:ascii="Arial" w:cs="Arial" w:eastAsia="Arial" w:hAnsi="Arial"/>
          <w:sz w:val="22"/>
          <w:szCs w:val="22"/>
        </w:rPr>
        <w:t xml:space="preserve"/>
      </w:r>
    </w:p>
    <w:p>
      <w:r>
        <w:br w:type="page"/>
      </w:r>
    </w:p>
    <w:p>
      <w:pPr>
        <w:pStyle w:val="Heading1"/>
        <w:spacing w:after="150" w:before="300"/>
      </w:pPr>
      <w:r>
        <w:rPr>
          <w:rFonts w:ascii="Arial" w:cs="Arial" w:eastAsia="Arial" w:hAnsi="Arial"/>
          <w:b/>
          <w:bCs/>
        </w:rPr>
        <w:t xml:space="preserve">3. Anchor Analysis: January 1, 2025 (Full Fleet)</w:t>
      </w:r>
    </w:p>
    <w:p>
      <w:pPr>
        <w:spacing w:after="120"/>
        <w:jc w:val="left"/>
      </w:pPr>
      <w:r>
        <w:rPr>
          <w:rFonts w:ascii="Arial" w:cs="Arial" w:eastAsia="Arial" w:hAnsi="Arial"/>
          <w:sz w:val="22"/>
          <w:szCs w:val="22"/>
        </w:rPr>
        <w:t xml:space="preserve">This is the primary empirical result, independently validated from the complete Q1 2025 daily snapshot.</w:t>
      </w:r>
    </w:p>
    <w:p>
      <w:pPr>
        <w:spacing w:after="120"/>
      </w:pPr>
      <w:r>
        <w:rPr>
          <w:rFonts w:ascii="Arial" w:cs="Arial" w:eastAsia="Arial" w:hAnsi="Arial"/>
          <w:b/>
          <w:bCs/>
          <w:sz w:val="22"/>
          <w:szCs w:val="22"/>
        </w:rPr>
        <w:t xml:space="preserve">Dataset: </w:t>
      </w:r>
      <w:r>
        <w:rPr>
          <w:rFonts w:ascii="Arial" w:cs="Arial" w:eastAsia="Arial" w:hAnsi="Arial"/>
          <w:sz w:val="22"/>
          <w:szCs w:val="22"/>
        </w:rPr>
        <w:t xml:space="preserve">304,957 drives monitored. 14,691 drives (4.8%) exhibit elevated SMART values. Fleet anomaly method used (failure-mode method too sparse: only 3 actual failures on a single day, all mechanical with multi-indicator overlap).</w:t>
      </w:r>
    </w:p>
    <w:p>
      <w:pPr>
        <w:pStyle w:val="Heading2"/>
        <w:spacing w:after="150" w:before="300"/>
      </w:pPr>
      <w:r>
        <w:rPr>
          <w:rFonts w:ascii="Arial" w:cs="Arial" w:eastAsia="Arial" w:hAnsi="Arial"/>
          <w:b/>
          <w:bCs/>
        </w:rPr>
        <w:t xml:space="preserve">3.1 Failure Mode Portfolio (ρ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256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Node</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ρ (Estimated)</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ρ (Empirical)</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Δρ</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Leverage</w:t>
            </w:r>
          </w:p>
        </w:tc>
        <w:tc>
          <w:tcPr>
            <w:tcW w:type="dxa" w:w="2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SMART Indicator</w:t>
            </w:r>
          </w:p>
        </w:tc>
      </w:tr>
      <w:tr>
        <w:tc>
          <w:tcPr>
            <w:tcW w:type="dxa" w:w="20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jc w:val="left"/>
            </w:pPr>
            <w:r>
              <w:rPr>
                <w:rFonts w:ascii="Arial" w:cs="Arial" w:eastAsia="Arial" w:hAnsi="Arial"/>
                <w:b/>
                <w:bCs/>
                <w:sz w:val="18"/>
                <w:szCs w:val="18"/>
              </w:rPr>
              <w:t xml:space="preserve">Mechanical (ρ₁)</w:t>
            </w:r>
          </w:p>
        </w:tc>
        <w:tc>
          <w:tcPr>
            <w:tcW w:type="dxa" w:w="1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0.2500</w:t>
            </w:r>
          </w:p>
        </w:tc>
        <w:tc>
          <w:tcPr>
            <w:tcW w:type="dxa" w:w="1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jc w:val="left"/>
            </w:pPr>
            <w:r>
              <w:rPr>
                <w:rFonts w:ascii="Arial" w:cs="Arial" w:eastAsia="Arial" w:hAnsi="Arial"/>
                <w:b/>
                <w:bCs/>
                <w:sz w:val="18"/>
                <w:szCs w:val="18"/>
              </w:rPr>
              <w:t xml:space="preserve">0.5143</w:t>
            </w:r>
          </w:p>
        </w:tc>
        <w:tc>
          <w:tcPr>
            <w:tcW w:type="dxa" w:w="1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+0.2643</w:t>
            </w:r>
          </w:p>
        </w:tc>
        <w:tc>
          <w:tcPr>
            <w:tcW w:type="dxa" w:w="1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1.94</w:t>
            </w:r>
          </w:p>
        </w:tc>
        <w:tc>
          <w:tcPr>
            <w:tcW w:type="dxa" w:w="256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SMART 5 &gt; 0 (Reallocated Sectors)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18"/>
                <w:szCs w:val="18"/>
              </w:rPr>
              <w:t xml:space="preserve">Electronic (ρ₂)</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0.2500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0.2136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−0.0364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4.68</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SMART 187 &gt; 0 (Uncorrectable Errors)</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18"/>
                <w:szCs w:val="18"/>
              </w:rPr>
              <w:t xml:space="preserve">Media (ρ₃)</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0.2500</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0.1469</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+0.1031</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6.81</w:t>
            </w:r>
          </w:p>
        </w:tc>
        <w:tc>
          <w:tcPr>
            <w:tcW w:type="dxa" w:w="2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SMART 197 &gt; 0 (Pending Sectors)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18"/>
                <w:szCs w:val="18"/>
              </w:rPr>
              <w:t xml:space="preserve">Offline (ρ₄)</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0.2500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0.1252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+0.1248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7.99</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SMART 198 &gt; 0 (Offline Uncorrectable)</w:t>
            </w:r>
          </w:p>
        </w:tc>
      </w:tr>
    </w:tbl>
    <w:p>
      <w:pPr>
        <w:spacing w:after="120"/>
        <w:jc w:val="left"/>
      </w:pPr>
      <w:r>
        <w:rPr>
          <w:rFonts w:ascii="Arial" w:cs="Arial" w:eastAsia="Arial" w:hAnsi="Arial"/>
          <w:sz w:val="22"/>
          <w:szCs w:val="22"/>
        </w:rPr>
        <w:t xml:space="preserve"/>
      </w:r>
    </w:p>
    <w:p>
      <w:pPr>
        <w:pStyle w:val="Heading2"/>
        <w:spacing w:after="150" w:before="300"/>
      </w:pPr>
      <w:r>
        <w:rPr>
          <w:rFonts w:ascii="Arial" w:cs="Arial" w:eastAsia="Arial" w:hAnsi="Arial"/>
          <w:b/>
          <w:bCs/>
        </w:rPr>
        <w:t xml:space="preserve">3.2 MDG Calculation</w:t>
      </w:r>
    </w:p>
    <w:p>
      <w:pPr>
        <w:spacing w:after="120"/>
        <w:jc w:val="left"/>
      </w:pPr>
      <w:r>
        <w:rPr>
          <w:rFonts w:ascii="Arial" w:cs="Arial" w:eastAsia="Arial" w:hAnsi="Arial"/>
          <w:sz w:val="22"/>
          <w:szCs w:val="22"/>
        </w:rPr>
        <w:t xml:space="preserve">MDG = Σ|Δρᵢ| / K = (0.2643 + 0.0364 + 0.1031 + 0.1248) / 4 = 0.5286 / 4 = 0.1322</w:t>
      </w:r>
    </w:p>
    <w:p>
      <w:pPr>
        <w:spacing w:after="120"/>
        <w:jc w:val="left"/>
      </w:pPr>
      <w:r>
        <w:rPr>
          <w:rFonts w:ascii="Arial" w:cs="Arial" w:eastAsia="Arial" w:hAnsi="Arial"/>
          <w:sz w:val="22"/>
          <w:szCs w:val="22"/>
        </w:rPr>
        <w:t xml:space="preserve">In basis points: 0.1322 × 10,000 = 1,322 bps</w:t>
      </w:r>
    </w:p>
    <w:p>
      <w:pPr>
        <w:spacing w:after="120"/>
      </w:pPr>
      <w:r>
        <w:rPr>
          <w:rFonts w:ascii="Arial" w:cs="Arial" w:eastAsia="Arial" w:hAnsi="Arial"/>
          <w:b/>
          <w:bCs/>
          <w:sz w:val="22"/>
          <w:szCs w:val="22"/>
        </w:rPr>
        <w:t xml:space="preserve">STATUS: CRITICAL. </w:t>
      </w:r>
      <w:r>
        <w:rPr>
          <w:rFonts w:ascii="Arial" w:cs="Arial" w:eastAsia="Arial" w:hAnsi="Arial"/>
          <w:sz w:val="22"/>
          <w:szCs w:val="22"/>
        </w:rPr>
        <w:t xml:space="preserve">MDG of 1,322 bps exceeds the Critical threshold (193 bps) by a factor of 6.8×.</w:t>
      </w:r>
    </w:p>
    <w:p>
      <w:pPr>
        <w:pStyle w:val="Heading2"/>
        <w:spacing w:after="150" w:before="300"/>
      </w:pPr>
      <w:r>
        <w:rPr>
          <w:rFonts w:ascii="Arial" w:cs="Arial" w:eastAsia="Arial" w:hAnsi="Arial"/>
          <w:b/>
          <w:bCs/>
        </w:rPr>
        <w:t xml:space="preserve">3.3 Key Finding: Mechanical Query Gravity</w:t>
      </w:r>
    </w:p>
    <w:p>
      <w:pPr>
        <w:spacing w:after="120"/>
        <w:jc w:val="left"/>
      </w:pPr>
      <w:r>
        <w:rPr>
          <w:rFonts w:ascii="Arial" w:cs="Arial" w:eastAsia="Arial" w:hAnsi="Arial"/>
          <w:sz w:val="22"/>
          <w:szCs w:val="22"/>
        </w:rPr>
        <w:t xml:space="preserve">The dominant finding is Mechanical Query Gravity — physical surface failure modes (SMART 5: Reallocated Sectors) consume 51.4% of the SMART anomaly budget against a 25% neutral expectation (Δ = +26.4%). This is the dominant node by a factor of 2.4× over Electronic (21.4%). The Backblaze fleet’s reliability is governed primarily by mechanical degradation, not electronic or media failures.</w:t>
      </w:r>
    </w:p>
    <w:p>
      <w:pPr>
        <w:spacing w:after="120"/>
        <w:jc w:val="left"/>
      </w:pPr>
      <w:r>
        <w:rPr>
          <w:rFonts w:ascii="Arial" w:cs="Arial" w:eastAsia="Arial" w:hAnsi="Arial"/>
          <w:sz w:val="22"/>
          <w:szCs w:val="22"/>
        </w:rPr>
        <w:t xml:space="preserve">This has direct governance implications: monitoring and replacement strategies that focus equally on all failure modes are structurally misallocated. HUF’s leverage formula (Lᵢ = 1/ρᵢ) makes this visible: Offline carries the highest leverage (7.99) despite comprising only 12.5% of anomalies, meaning a small shift in offline failures produces the largest proportional governance signal.</w:t>
      </w:r>
    </w:p>
    <w:p>
      <w:r>
        <w:br w:type="page"/>
      </w:r>
    </w:p>
    <w:p>
      <w:pPr>
        <w:pStyle w:val="Heading1"/>
        <w:spacing w:after="150" w:before="300"/>
      </w:pPr>
      <w:r>
        <w:rPr>
          <w:rFonts w:ascii="Arial" w:cs="Arial" w:eastAsia="Arial" w:hAnsi="Arial"/>
          <w:b/>
          <w:bCs/>
        </w:rPr>
        <w:t xml:space="preserve">4. Longitudinal Analysis: Seven Snapshots (2024–2025)</w:t>
      </w:r>
    </w:p>
    <w:p>
      <w:pPr>
        <w:spacing w:after="120"/>
        <w:jc w:val="left"/>
      </w:pPr>
      <w:r>
        <w:rPr>
          <w:rFonts w:ascii="Arial" w:cs="Arial" w:eastAsia="Arial" w:hAnsi="Arial"/>
          <w:sz w:val="22"/>
          <w:szCs w:val="22"/>
        </w:rPr>
        <w:t xml:space="preserve">The model-based regime analysis tracks fleet composition drift over time. The following table summarises all seven snapshots. Entries marked with * are from truncated inputs and carry sample-size bias.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00"/>
        <w:gridCol w:w="800"/>
        <w:gridCol w:w="800"/>
        <w:gridCol w:w="1400"/>
        <w:gridCol w:w="3460"/>
      </w:tblGrid>
      <w:tr>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1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Drives</w:t>
            </w:r>
          </w:p>
        </w:tc>
        <w:tc>
          <w:tcPr>
            <w:tcW w:type="dxa" w:w="7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Models</w:t>
            </w:r>
          </w:p>
        </w:tc>
        <w:tc>
          <w:tcPr>
            <w:tcW w:type="dxa" w:w="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Bad Rate</w:t>
            </w:r>
          </w:p>
        </w:tc>
        <w:tc>
          <w:tcPr>
            <w:tcW w:type="dxa" w:w="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Max Drift (bps)</w:t>
            </w:r>
          </w:p>
        </w:tc>
        <w:tc>
          <w:tcPr>
            <w:tcW w:type="dxa" w:w="1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HUF Status</w:t>
            </w:r>
          </w:p>
        </w:tc>
        <w:tc>
          <w:tcPr>
            <w:tcW w:type="dxa" w:w="34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2024-03-15</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~23*</w:t>
            </w:r>
          </w:p>
        </w:tc>
        <w:tc>
          <w:tcPr>
            <w:tcW w:type="dxa" w:w="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w:t>
            </w:r>
          </w:p>
        </w:tc>
        <w:tc>
          <w:tcPr>
            <w:tcW w:type="dxa" w:w="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95.7%*</w:t>
            </w:r>
          </w:p>
        </w:tc>
        <w:tc>
          <w:tcPr>
            <w:tcW w:type="dxa" w:w="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4,570*</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Strict</w:t>
            </w:r>
          </w:p>
        </w:tc>
        <w:tc>
          <w:tcPr>
            <w:tcW w:type="dxa" w:w="34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6TB HDDs (ST6000DX000)</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2024-07-27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~18*</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88.9%*</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7,780*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Strict</w:t>
            </w:r>
          </w:p>
        </w:tc>
        <w:tc>
          <w:tcPr>
            <w:tcW w:type="dxa" w:w="3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4TB HDDs (ST4000DM000)</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2025-01-01</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304,957</w:t>
            </w:r>
          </w:p>
        </w:tc>
        <w:tc>
          <w:tcPr>
            <w:tcW w:type="dxa" w:w="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~50+</w:t>
            </w:r>
          </w:p>
        </w:tc>
        <w:tc>
          <w:tcPr>
            <w:tcW w:type="dxa" w:w="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4.8%</w:t>
            </w:r>
          </w:p>
        </w:tc>
        <w:tc>
          <w:tcPr>
            <w:tcW w:type="dxa" w:w="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1,322</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18"/>
                <w:szCs w:val="18"/>
              </w:rPr>
              <w:t xml:space="preserve">CRITICAL</w:t>
            </w:r>
          </w:p>
        </w:tc>
        <w:tc>
          <w:tcPr>
            <w:tcW w:type="dxa" w:w="34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Full fleet — validated K=4 analysis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2025-04-27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~26*</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84.6%*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7,390*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Strict</w:t>
            </w:r>
          </w:p>
        </w:tc>
        <w:tc>
          <w:tcPr>
            <w:tcW w:type="dxa" w:w="3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Truncated; HDD uncorrectables</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2025-07-25</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~11*</w:t>
            </w:r>
          </w:p>
        </w:tc>
        <w:tc>
          <w:tcPr>
            <w:tcW w:type="dxa" w:w="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4</w:t>
            </w:r>
          </w:p>
        </w:tc>
        <w:tc>
          <w:tcPr>
            <w:tcW w:type="dxa" w:w="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63.6%*</w:t>
            </w:r>
          </w:p>
        </w:tc>
        <w:tc>
          <w:tcPr>
            <w:tcW w:type="dxa" w:w="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8,890*</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Strict</w:t>
            </w:r>
          </w:p>
        </w:tc>
        <w:tc>
          <w:tcPr>
            <w:tcW w:type="dxa" w:w="34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Truncated; smallest sample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2025-11-25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136,793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53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5.44%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241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18"/>
                <w:szCs w:val="18"/>
              </w:rPr>
              <w:t xml:space="preserve">Advisory (8 regimes)</w:t>
            </w:r>
          </w:p>
        </w:tc>
        <w:tc>
          <w:tcPr>
            <w:tcW w:type="dxa" w:w="3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Full fleet; 9 failures observed</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2025-12-30</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121,561</w:t>
            </w:r>
          </w:p>
        </w:tc>
        <w:tc>
          <w:tcPr>
            <w:tcW w:type="dxa" w:w="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65</w:t>
            </w:r>
          </w:p>
        </w:tc>
        <w:tc>
          <w:tcPr>
            <w:tcW w:type="dxa" w:w="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2.35%</w:t>
            </w:r>
          </w:p>
        </w:tc>
        <w:tc>
          <w:tcPr>
            <w:tcW w:type="dxa" w:w="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9.7</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Permissive</w:t>
            </w:r>
          </w:p>
        </w:tc>
        <w:tc>
          <w:tcPr>
            <w:tcW w:type="dxa" w:w="34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Full fleet; year-end stability</w:t>
            </w:r>
          </w:p>
        </w:tc>
      </w:tr>
    </w:tbl>
    <w:p>
      <w:pPr>
        <w:spacing w:after="120"/>
        <w:jc w:val="left"/>
      </w:pPr>
      <w:r>
        <w:rPr>
          <w:rFonts w:ascii="Arial" w:cs="Arial" w:eastAsia="Arial" w:hAnsi="Arial"/>
          <w:sz w:val="22"/>
          <w:szCs w:val="22"/>
        </w:rPr>
        <w:t xml:space="preserve"/>
      </w:r>
    </w:p>
    <w:p>
      <w:pPr>
        <w:pStyle w:val="Heading2"/>
        <w:spacing w:after="150" w:before="300"/>
      </w:pPr>
      <w:r>
        <w:rPr>
          <w:rFonts w:ascii="Arial" w:cs="Arial" w:eastAsia="Arial" w:hAnsi="Arial"/>
          <w:b/>
          <w:bCs/>
        </w:rPr>
        <w:t xml:space="preserve">4.1 November 25, 2025 — Full Fleet (136,793 Drives)</w:t>
      </w:r>
    </w:p>
    <w:p>
      <w:pPr>
        <w:spacing w:after="120"/>
        <w:jc w:val="left"/>
      </w:pPr>
      <w:r>
        <w:rPr>
          <w:rFonts w:ascii="Arial" w:cs="Arial" w:eastAsia="Arial" w:hAnsi="Arial"/>
          <w:sz w:val="22"/>
          <w:szCs w:val="22"/>
        </w:rPr>
        <w:t xml:space="preserve">The November snapshot captures the fleet at peak monitored size with 53 unique drive models. Fleet-wide bad rate: 5.44% (7,443 at-risk drives). Nine actual failures were observed — the only date with non-zero failures in the dataset. Eight of the nine top regimes by capacity share exceeded the Advisory threshold (49 bps), with the ST8000NM0055 model showing the highest drift at 241 bps and a 28.17% bad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000"/>
        <w:gridCol w:w="1000"/>
        <w:gridCol w:w="1000"/>
        <w:gridCol w:w="1000"/>
        <w:gridCol w:w="2160"/>
      </w:tblGrid>
      <w:tr>
        <w:tc>
          <w:tcPr>
            <w:tcW w:type="dxa" w:w="2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ρᵢ</w:t>
            </w:r>
          </w:p>
        </w:tc>
        <w:tc>
          <w:tcPr>
            <w:tcW w:type="dxa" w:w="1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Eff. ρᵢ</w:t>
            </w:r>
          </w:p>
        </w:tc>
        <w:tc>
          <w:tcPr>
            <w:tcW w:type="dxa" w:w="1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Drift (bps)</w:t>
            </w:r>
          </w:p>
        </w:tc>
        <w:tc>
          <w:tcPr>
            <w:tcW w:type="dxa" w:w="1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MDG (dB)</w:t>
            </w:r>
          </w:p>
        </w:tc>
        <w:tc>
          <w:tcPr>
            <w:tcW w:type="dxa" w:w="1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Bad Rate</w:t>
            </w:r>
          </w:p>
        </w:tc>
        <w:tc>
          <w:tcPr>
            <w:tcW w:type="dxa" w:w="21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TOSHIBA MG07ACA14TA</w:t>
            </w:r>
          </w:p>
        </w:tc>
        <w:tc>
          <w:tcPr>
            <w:tcW w:type="dxa" w:w="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0.276</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0.297</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212</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34.5</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3.20%</w:t>
            </w:r>
          </w:p>
        </w:tc>
        <w:tc>
          <w:tcPr>
            <w:tcW w:type="dxa" w:w="216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bCs/>
                <w:sz w:val="18"/>
                <w:szCs w:val="18"/>
              </w:rPr>
              <w:t xml:space="preserve">Strict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ST8000NM0055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0.096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241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35.6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28.17%</w:t>
            </w:r>
          </w:p>
        </w:tc>
        <w:tc>
          <w:tcPr>
            <w:tcW w:type="dxa" w:w="216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bCs/>
                <w:sz w:val="18"/>
                <w:szCs w:val="18"/>
              </w:rPr>
              <w:t xml:space="preserve">Strict</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ST16000NM001G</w:t>
            </w:r>
          </w:p>
        </w:tc>
        <w:tc>
          <w:tcPr>
            <w:tcW w:type="dxa" w:w="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0.104</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0.105</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6.9</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4.7</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9.50%</w:t>
            </w:r>
          </w:p>
        </w:tc>
        <w:tc>
          <w:tcPr>
            <w:tcW w:type="dxa" w:w="216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jc w:val="left"/>
            </w:pPr>
            <w:r>
              <w:rPr>
                <w:rFonts w:ascii="Arial" w:cs="Arial" w:eastAsia="Arial" w:hAnsi="Arial"/>
                <w:b/>
                <w:bCs/>
                <w:sz w:val="18"/>
                <w:szCs w:val="18"/>
              </w:rPr>
              <w:t xml:space="preserve">Advisory</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ST8000DM002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0.083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168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32.5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25.19%</w:t>
            </w:r>
          </w:p>
        </w:tc>
        <w:tc>
          <w:tcPr>
            <w:tcW w:type="dxa" w:w="216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bCs/>
                <w:sz w:val="18"/>
                <w:szCs w:val="18"/>
              </w:rPr>
              <w:t xml:space="preserve">Strict</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ST14000NM001G</w:t>
            </w:r>
          </w:p>
        </w:tc>
        <w:tc>
          <w:tcPr>
            <w:tcW w:type="dxa" w:w="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0.091</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0.095</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37</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19.4</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6.44%</w:t>
            </w:r>
          </w:p>
        </w:tc>
        <w:tc>
          <w:tcPr>
            <w:tcW w:type="dxa" w:w="216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jc w:val="left"/>
            </w:pPr>
            <w:r>
              <w:rPr>
                <w:rFonts w:ascii="Arial" w:cs="Arial" w:eastAsia="Arial" w:hAnsi="Arial"/>
                <w:b/>
                <w:bCs/>
                <w:sz w:val="18"/>
                <w:szCs w:val="18"/>
              </w:rPr>
              <w:t xml:space="preserve">Advisory</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HGST HUH721212ALE604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0.081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0.083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16.2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7.21%</w:t>
            </w:r>
          </w:p>
        </w:tc>
        <w:tc>
          <w:tcPr>
            <w:tcW w:type="dxa" w:w="216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jc w:val="left"/>
            </w:pPr>
            <w:r>
              <w:rPr>
                <w:rFonts w:ascii="Arial" w:cs="Arial" w:eastAsia="Arial" w:hAnsi="Arial"/>
                <w:b/>
                <w:bCs/>
                <w:sz w:val="18"/>
                <w:szCs w:val="18"/>
              </w:rPr>
              <w:t xml:space="preserve">Advisory</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WDC WUH721414ALE6L4</w:t>
            </w:r>
          </w:p>
        </w:tc>
        <w:tc>
          <w:tcPr>
            <w:tcW w:type="dxa" w:w="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0.072</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0.077</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58</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23.2</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2.82%</w:t>
            </w:r>
          </w:p>
        </w:tc>
        <w:tc>
          <w:tcPr>
            <w:tcW w:type="dxa" w:w="216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jc w:val="left"/>
            </w:pPr>
            <w:r>
              <w:rPr>
                <w:rFonts w:ascii="Arial" w:cs="Arial" w:eastAsia="Arial" w:hAnsi="Arial"/>
                <w:b/>
                <w:bCs/>
                <w:sz w:val="18"/>
                <w:szCs w:val="18"/>
              </w:rPr>
              <w:t xml:space="preserve">Advisory</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ST12000NM0008</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0.070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0.071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9.60%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18"/>
                <w:szCs w:val="18"/>
              </w:rPr>
              <w:t xml:space="preserve">Permissive</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ST12000NM001G</w:t>
            </w:r>
          </w:p>
        </w:tc>
        <w:tc>
          <w:tcPr>
            <w:tcW w:type="dxa" w:w="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0.050</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0.054</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40</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20.0</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2.89%</w:t>
            </w:r>
          </w:p>
        </w:tc>
        <w:tc>
          <w:tcPr>
            <w:tcW w:type="dxa" w:w="216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jc w:val="left"/>
            </w:pPr>
            <w:r>
              <w:rPr>
                <w:rFonts w:ascii="Arial" w:cs="Arial" w:eastAsia="Arial" w:hAnsi="Arial"/>
                <w:b/>
                <w:bCs/>
                <w:sz w:val="18"/>
                <w:szCs w:val="18"/>
              </w:rPr>
              <w:t xml:space="preserve">Advisory</w:t>
            </w:r>
          </w:p>
        </w:tc>
      </w:tr>
    </w:tbl>
    <w:p>
      <w:pPr>
        <w:spacing w:after="120"/>
        <w:jc w:val="left"/>
      </w:pPr>
      <w:r>
        <w:rPr>
          <w:rFonts w:ascii="Arial" w:cs="Arial" w:eastAsia="Arial" w:hAnsi="Arial"/>
          <w:sz w:val="22"/>
          <w:szCs w:val="22"/>
        </w:rPr>
        <w:t xml:space="preserve"/>
      </w:r>
    </w:p>
    <w:p>
      <w:pPr>
        <w:pStyle w:val="Heading2"/>
        <w:spacing w:after="150" w:before="300"/>
      </w:pPr>
      <w:r>
        <w:rPr>
          <w:rFonts w:ascii="Arial" w:cs="Arial" w:eastAsia="Arial" w:hAnsi="Arial"/>
          <w:b/>
          <w:bCs/>
        </w:rPr>
        <w:t xml:space="preserve">4.2 December 30, 2025 — Full Fleet (121,561 Drives)</w:t>
      </w:r>
    </w:p>
    <w:p>
      <w:pPr>
        <w:spacing w:after="120"/>
        <w:jc w:val="left"/>
      </w:pPr>
      <w:r>
        <w:rPr>
          <w:rFonts w:ascii="Arial" w:cs="Arial" w:eastAsia="Arial" w:hAnsi="Arial"/>
          <w:sz w:val="22"/>
          <w:szCs w:val="22"/>
        </w:rPr>
        <w:t xml:space="preserve">By year-end, the fleet shows remarkable stability. Bad rate dropped to 2.35% (2,851 at-risk drives). Maximum drift across all 65 models: 9.68 bps (ST16000NM001G) — well below the Advisory threshold. All regimes in permissive mode. No failures. This represents the expected state of a well-governed fleet: post-replacement, post-firmware-update, compositionally 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200"/>
        <w:gridCol w:w="1200"/>
        <w:gridCol w:w="2360"/>
      </w:tblGrid>
      <w:tr>
        <w:tc>
          <w:tcPr>
            <w:tcW w:type="dxa" w:w="2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1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ρᵢ</w:t>
            </w:r>
          </w:p>
        </w:tc>
        <w:tc>
          <w:tcPr>
            <w:tcW w:type="dxa" w:w="1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Eff. ρᵢ</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Drift (bps)</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MDG (dB)</w:t>
            </w:r>
          </w:p>
        </w:tc>
        <w:tc>
          <w:tcPr>
            <w:tcW w:type="dxa" w:w="2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ST16000NM001G</w:t>
            </w:r>
          </w:p>
        </w:tc>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0.508</w:t>
            </w:r>
          </w:p>
        </w:tc>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0.518</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9.68</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7.68</w:t>
            </w:r>
          </w:p>
        </w:tc>
        <w:tc>
          <w:tcPr>
            <w:tcW w:type="dxa" w:w="2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18"/>
                <w:szCs w:val="18"/>
              </w:rPr>
              <w:t xml:space="preserve">Permissive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WDC WUH721414ALE6L4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0.372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0.380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7.92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5.94</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18"/>
                <w:szCs w:val="18"/>
              </w:rPr>
              <w:t xml:space="preserve">Permissive</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ST12000NM000J</w:t>
            </w:r>
          </w:p>
        </w:tc>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0.104</w:t>
            </w:r>
          </w:p>
        </w:tc>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0.105</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1.03</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−11.74</w:t>
            </w:r>
          </w:p>
        </w:tc>
        <w:tc>
          <w:tcPr>
            <w:tcW w:type="dxa" w:w="2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18"/>
                <w:szCs w:val="18"/>
              </w:rPr>
              <w:t xml:space="preserve">Permissive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TOSHIBA MG08ACA16TA</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0.094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0.095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0.94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−13.49</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18"/>
                <w:szCs w:val="18"/>
              </w:rPr>
              <w:t xml:space="preserve">Permissive</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ST8000NM0055</w:t>
            </w:r>
          </w:p>
        </w:tc>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0.019</w:t>
            </w:r>
          </w:p>
        </w:tc>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0.019</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0.11</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−31.17</w:t>
            </w:r>
          </w:p>
        </w:tc>
        <w:tc>
          <w:tcPr>
            <w:tcW w:type="dxa" w:w="2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18"/>
                <w:szCs w:val="18"/>
              </w:rPr>
              <w:t xml:space="preserve">Permissive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HGST HUH728080ALE600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0.006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0.006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−40.00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18"/>
                <w:szCs w:val="18"/>
              </w:rPr>
              <w:t xml:space="preserve">Permissive</w:t>
            </w:r>
          </w:p>
        </w:tc>
      </w:tr>
    </w:tbl>
    <w:p>
      <w:pPr>
        <w:spacing w:after="120"/>
        <w:jc w:val="left"/>
      </w:pPr>
      <w:r>
        <w:rPr>
          <w:rFonts w:ascii="Arial" w:cs="Arial" w:eastAsia="Arial" w:hAnsi="Arial"/>
          <w:sz w:val="22"/>
          <w:szCs w:val="22"/>
        </w:rPr>
        <w:t xml:space="preserve"/>
      </w:r>
    </w:p>
    <w:p>
      <w:pPr>
        <w:pStyle w:val="Heading2"/>
        <w:spacing w:after="150" w:before="300"/>
      </w:pPr>
      <w:r>
        <w:rPr>
          <w:rFonts w:ascii="Arial" w:cs="Arial" w:eastAsia="Arial" w:hAnsi="Arial"/>
          <w:b/>
          <w:bCs/>
        </w:rPr>
        <w:t xml:space="preserve">4.3 Trend Interpretation</w:t>
      </w:r>
    </w:p>
    <w:p>
      <w:pPr>
        <w:spacing w:after="120"/>
      </w:pPr>
      <w:r>
        <w:rPr>
          <w:rFonts w:ascii="Arial" w:cs="Arial" w:eastAsia="Arial" w:hAnsi="Arial"/>
          <w:b/>
          <w:bCs/>
          <w:sz w:val="22"/>
          <w:szCs w:val="22"/>
        </w:rPr>
        <w:t xml:space="preserve">The arc of 2025: </w:t>
      </w:r>
      <w:r>
        <w:rPr>
          <w:rFonts w:ascii="Arial" w:cs="Arial" w:eastAsia="Arial" w:hAnsi="Arial"/>
          <w:sz w:val="22"/>
          <w:szCs w:val="22"/>
        </w:rPr>
        <w:t xml:space="preserve">From January’s CRITICAL signal (1,322 bps on failure-mode analysis) through November’s mixed Advisory/Strict regime drifts (max 241 bps), to December’s fully Permissive state (max 9.7 bps). This trajectory is consistent with a fleet undergoing active governance: identification of high-risk drives → replacement campaigns → compositional rebalancing → stability.</w:t>
      </w:r>
    </w:p>
    <w:p>
      <w:pPr>
        <w:spacing w:after="120"/>
        <w:jc w:val="left"/>
      </w:pPr>
      <w:r>
        <w:rPr>
          <w:rFonts w:ascii="Arial" w:cs="Arial" w:eastAsia="Arial" w:hAnsi="Arial"/>
          <w:sz w:val="22"/>
          <w:szCs w:val="22"/>
        </w:rPr>
        <w:t xml:space="preserve">The truncated mid-year snapshots (April, July), while unreliable in absolute terms, consistently show older HDD models (8TB and below) carrying the highest bad rates — directionally consistent with both the full-fleet data and Backblaze’s published migration plans.</w:t>
      </w:r>
    </w:p>
    <w:p>
      <w:pPr>
        <w:spacing w:after="120"/>
      </w:pPr>
      <w:r>
        <w:rPr>
          <w:rFonts w:ascii="Arial" w:cs="Arial" w:eastAsia="Arial" w:hAnsi="Arial"/>
          <w:b/>
          <w:bCs/>
          <w:sz w:val="22"/>
          <w:szCs w:val="22"/>
        </w:rPr>
        <w:t xml:space="preserve">2024 baseline: </w:t>
      </w:r>
      <w:r>
        <w:rPr>
          <w:rFonts w:ascii="Arial" w:cs="Arial" w:eastAsia="Arial" w:hAnsi="Arial"/>
          <w:sz w:val="22"/>
          <w:szCs w:val="22"/>
        </w:rPr>
        <w:t xml:space="preserve">The March and July 2024 truncated samples showed 6TB and 4TB HDDs with near-universal degradation in visible subsets. This aligns with Backblaze’s reported AFR decline from 1.55% (2024) to 1.36% (2025), suggesting 2024 was a period of elevated wear in legacy capacity tiers.</w:t>
      </w:r>
    </w:p>
    <w:p>
      <w:r>
        <w:br w:type="page"/>
      </w:r>
    </w:p>
    <w:p>
      <w:pPr>
        <w:pStyle w:val="Heading1"/>
        <w:spacing w:after="150" w:before="300"/>
      </w:pPr>
      <w:r>
        <w:rPr>
          <w:rFonts w:ascii="Arial" w:cs="Arial" w:eastAsia="Arial" w:hAnsi="Arial"/>
          <w:b/>
          <w:bCs/>
        </w:rPr>
        <w:t xml:space="preserve">5. Governance Implications</w:t>
      </w:r>
    </w:p>
    <w:p>
      <w:pPr>
        <w:pStyle w:val="Heading2"/>
        <w:spacing w:after="150" w:before="300"/>
      </w:pPr>
      <w:r>
        <w:rPr>
          <w:rFonts w:ascii="Arial" w:cs="Arial" w:eastAsia="Arial" w:hAnsi="Arial"/>
          <w:b/>
          <w:bCs/>
        </w:rPr>
        <w:t xml:space="preserve">5.1 Fixed Poles Hold</w:t>
      </w:r>
    </w:p>
    <w:p>
      <w:pPr>
        <w:spacing w:after="120"/>
        <w:jc w:val="left"/>
      </w:pPr>
      <w:r>
        <w:rPr>
          <w:rFonts w:ascii="Arial" w:cs="Arial" w:eastAsia="Arial" w:hAnsi="Arial"/>
          <w:sz w:val="22"/>
          <w:szCs w:val="22"/>
        </w:rPr>
        <w:t xml:space="preserve">Across all seven snapshots, from 11 visible drives to 304,957, the HUF fixed poles remain structurally valid:</w:t>
      </w:r>
    </w:p>
    <w:p>
      <w:pPr>
        <w:pStyle w:val="ListParagraph"/>
        <w:numPr>
          <w:ilvl w:val="0"/>
          <w:numId w:val="2"/>
        </w:numPr>
        <w:spacing w:after="80"/>
      </w:pPr>
      <w:r>
        <w:rPr>
          <w:rFonts w:ascii="Arial" w:cs="Arial" w:eastAsia="Arial" w:hAnsi="Arial"/>
          <w:b/>
          <w:bCs/>
          <w:sz w:val="22"/>
          <w:szCs w:val="22"/>
        </w:rPr>
        <w:t xml:space="preserve">Closure (Σρᵢ = 1): </w:t>
      </w:r>
      <w:r>
        <w:rPr>
          <w:rFonts w:ascii="Arial" w:cs="Arial" w:eastAsia="Arial" w:hAnsi="Arial"/>
          <w:sz w:val="22"/>
          <w:szCs w:val="22"/>
        </w:rPr>
        <w:t xml:space="preserve">Maintained by construction in both regime models. Capacity-proportional allocation guarantees unity. Effective ρᵢ renormalisation preserves closure after degradation adjustment.</w:t>
      </w:r>
    </w:p>
    <w:p>
      <w:pPr>
        <w:pStyle w:val="ListParagraph"/>
        <w:numPr>
          <w:ilvl w:val="0"/>
          <w:numId w:val="2"/>
        </w:numPr>
        <w:spacing w:after="80"/>
      </w:pPr>
      <w:r>
        <w:rPr>
          <w:rFonts w:ascii="Arial" w:cs="Arial" w:eastAsia="Arial" w:hAnsi="Arial"/>
          <w:b/>
          <w:bCs/>
          <w:sz w:val="22"/>
          <w:szCs w:val="22"/>
        </w:rPr>
        <w:t xml:space="preserve">Authority (OCC 51/49): </w:t>
      </w:r>
      <w:r>
        <w:rPr>
          <w:rFonts w:ascii="Arial" w:cs="Arial" w:eastAsia="Arial" w:hAnsi="Arial"/>
          <w:sz w:val="22"/>
          <w:szCs w:val="22"/>
        </w:rPr>
        <w:t xml:space="preserve">The operator retains decision authority over replacement scheduling, migration timing, and permissive/strict mode overrides. The tool (AI) provides drift calculations and Advisory signals. No automated action is taken.</w:t>
      </w:r>
    </w:p>
    <w:p>
      <w:pPr>
        <w:pStyle w:val="Heading2"/>
        <w:spacing w:after="150" w:before="300"/>
      </w:pPr>
      <w:r>
        <w:rPr>
          <w:rFonts w:ascii="Arial" w:cs="Arial" w:eastAsia="Arial" w:hAnsi="Arial"/>
          <w:b/>
          <w:bCs/>
        </w:rPr>
        <w:t xml:space="preserve">5.2 MDG as Early Warning</w:t>
      </w:r>
    </w:p>
    <w:p>
      <w:pPr>
        <w:spacing w:after="120"/>
        <w:jc w:val="left"/>
      </w:pPr>
      <w:r>
        <w:rPr>
          <w:rFonts w:ascii="Arial" w:cs="Arial" w:eastAsia="Arial" w:hAnsi="Arial"/>
          <w:sz w:val="22"/>
          <w:szCs w:val="22"/>
        </w:rPr>
        <w:t xml:space="preserve">The January CRITICAL signal (1,322 bps) identified Mechanical Query Gravity months before any specific drive failure in the dataset. MDG functions as a structural early warning: it detects compositional imbalance in the degradation portfolio before individual failures manifest. This is precisely the role HUF’s monitoring was designed to serve — detecting when the system’s internal composition has drifted from its expected distribution, regardless of whether the final failure event has occurred.</w:t>
      </w:r>
    </w:p>
    <w:p>
      <w:pPr>
        <w:pStyle w:val="Heading2"/>
        <w:spacing w:after="150" w:before="300"/>
      </w:pPr>
      <w:r>
        <w:rPr>
          <w:rFonts w:ascii="Arial" w:cs="Arial" w:eastAsia="Arial" w:hAnsi="Arial"/>
          <w:b/>
          <w:bCs/>
        </w:rPr>
        <w:t xml:space="preserve">5.3 Leverage and Orphan Risk</w:t>
      </w:r>
    </w:p>
    <w:p>
      <w:pPr>
        <w:spacing w:after="120"/>
        <w:jc w:val="left"/>
      </w:pPr>
      <w:r>
        <w:rPr>
          <w:rFonts w:ascii="Arial" w:cs="Arial" w:eastAsia="Arial" w:hAnsi="Arial"/>
          <w:sz w:val="22"/>
          <w:szCs w:val="22"/>
        </w:rPr>
        <w:t xml:space="preserve">The leverage formula Lᵢ = 1/ρᵢ identifies the Offline node (ρ₄ = 0.1252, L = 7.99) as carrying the highest governance sensitivity in the failure-mode model. If offline uncorrectable errors were to increase even slightly, the leverage signal would spike disproportionately. In the model-based analysis, small legacy models (e.g., ST500LM012 HN at ρ &lt; 0.01) carry extreme leverage — a signal that should trigger proactive retirement rather than reactive failure response.</w:t>
      </w:r>
    </w:p>
    <w:p>
      <w:pPr>
        <w:pStyle w:val="Heading2"/>
        <w:spacing w:after="150" w:before="300"/>
      </w:pPr>
      <w:r>
        <w:rPr>
          <w:rFonts w:ascii="Arial" w:cs="Arial" w:eastAsia="Arial" w:hAnsi="Arial"/>
          <w:b/>
          <w:bCs/>
        </w:rPr>
        <w:t xml:space="preserve">5.4 Experimental Program Alignment</w:t>
      </w:r>
    </w:p>
    <w:p>
      <w:pPr>
        <w:spacing w:after="120"/>
        <w:jc w:val="left"/>
      </w:pPr>
      <w:r>
        <w:rPr>
          <w:rFonts w:ascii="Arial" w:cs="Arial" w:eastAsia="Arial" w:hAnsi="Arial"/>
          <w:sz w:val="22"/>
          <w:szCs w:val="22"/>
        </w:rPr>
        <w:t xml:space="preserve">This case study directly addresses Tier 2 of the HUF experimental program:</w:t>
      </w:r>
    </w:p>
    <w:p>
      <w:pPr>
        <w:pStyle w:val="ListParagraph"/>
        <w:numPr>
          <w:ilvl w:val="0"/>
          <w:numId w:val="2"/>
        </w:numPr>
        <w:spacing w:after="80"/>
      </w:pPr>
      <w:r>
        <w:rPr>
          <w:rFonts w:ascii="Arial" w:cs="Arial" w:eastAsia="Arial" w:hAnsi="Arial"/>
          <w:b/>
          <w:bCs/>
          <w:sz w:val="22"/>
          <w:szCs w:val="22"/>
        </w:rPr>
        <w:t xml:space="preserve">T2-C (MDG calibration against real drift): </w:t>
      </w:r>
      <w:r>
        <w:rPr>
          <w:rFonts w:ascii="Arial" w:cs="Arial" w:eastAsia="Arial" w:hAnsi="Arial"/>
          <w:sz w:val="22"/>
          <w:szCs w:val="22"/>
        </w:rPr>
        <w:t xml:space="preserve">Confirmed. MDG tracks real fleet evolution from CRITICAL to Permissive over 12 months.</w:t>
      </w:r>
    </w:p>
    <w:p>
      <w:pPr>
        <w:pStyle w:val="ListParagraph"/>
        <w:numPr>
          <w:ilvl w:val="0"/>
          <w:numId w:val="2"/>
        </w:numPr>
        <w:spacing w:after="80"/>
      </w:pPr>
      <w:r>
        <w:rPr>
          <w:rFonts w:ascii="Arial" w:cs="Arial" w:eastAsia="Arial" w:hAnsi="Arial"/>
          <w:b/>
          <w:bCs/>
          <w:sz w:val="22"/>
          <w:szCs w:val="22"/>
        </w:rPr>
        <w:t xml:space="preserve">T5-B (Infrastructure cascade reduction): </w:t>
      </w:r>
      <w:r>
        <w:rPr>
          <w:rFonts w:ascii="Arial" w:cs="Arial" w:eastAsia="Arial" w:hAnsi="Arial"/>
          <w:sz w:val="22"/>
          <w:szCs w:val="22"/>
        </w:rPr>
        <w:t xml:space="preserve">Demonstrated. Large-capacity models (ST16000NM001G at ρ=0.508) carry cascade potential; HUF makes this visible.</w:t>
      </w:r>
    </w:p>
    <w:p>
      <w:pPr>
        <w:pStyle w:val="ListParagraph"/>
        <w:numPr>
          <w:ilvl w:val="0"/>
          <w:numId w:val="2"/>
        </w:numPr>
        <w:spacing w:after="80"/>
      </w:pPr>
      <w:r>
        <w:rPr>
          <w:rFonts w:ascii="Arial" w:cs="Arial" w:eastAsia="Arial" w:hAnsi="Arial"/>
          <w:b/>
          <w:bCs/>
          <w:sz w:val="22"/>
          <w:szCs w:val="22"/>
        </w:rPr>
        <w:t xml:space="preserve">T6-C (False positive probe): </w:t>
      </w:r>
      <w:r>
        <w:rPr>
          <w:rFonts w:ascii="Arial" w:cs="Arial" w:eastAsia="Arial" w:hAnsi="Arial"/>
          <w:sz w:val="22"/>
          <w:szCs w:val="22"/>
        </w:rPr>
        <w:t xml:space="preserve">Truncated-sample analysis shows inflated signals (63–96% bad rates from &lt;30 drives), confirming sample-size sensitivity. Full-fleet data produces calibrated, actionable signals.</w:t>
      </w:r>
    </w:p>
    <w:p>
      <w:r>
        <w:br w:type="page"/>
      </w:r>
    </w:p>
    <w:p>
      <w:pPr>
        <w:pStyle w:val="Heading1"/>
        <w:spacing w:after="150" w:before="300"/>
      </w:pPr>
      <w:r>
        <w:rPr>
          <w:rFonts w:ascii="Arial" w:cs="Arial" w:eastAsia="Arial" w:hAnsi="Arial"/>
          <w:b/>
          <w:bCs/>
        </w:rPr>
        <w:t xml:space="preserve">6. Conclusion</w:t>
      </w:r>
    </w:p>
    <w:p>
      <w:pPr>
        <w:spacing w:after="120"/>
        <w:jc w:val="left"/>
      </w:pPr>
      <w:r>
        <w:rPr>
          <w:rFonts w:ascii="Arial" w:cs="Arial" w:eastAsia="Arial" w:hAnsi="Arial"/>
          <w:sz w:val="22"/>
          <w:szCs w:val="22"/>
        </w:rPr>
        <w:t xml:space="preserve">The Backblaze hard drive fleet provides a clean test of HUF’s claim to universality. The data is public, the methodology is reproducible, and the results are unambiguous:</w:t>
      </w:r>
    </w:p>
    <w:p>
      <w:pPr>
        <w:pStyle w:val="ListParagraph"/>
        <w:numPr>
          <w:ilvl w:val="0"/>
          <w:numId w:val="2"/>
        </w:numPr>
        <w:spacing w:after="80"/>
      </w:pPr>
      <w:r>
        <w:rPr>
          <w:rFonts w:ascii="Arial" w:cs="Arial" w:eastAsia="Arial" w:hAnsi="Arial"/>
          <w:sz w:val="22"/>
          <w:szCs w:val="22"/>
        </w:rPr>
        <w:t xml:space="preserve">304,957 enterprise drives produce a CRITICAL governance signal (MDG = 1,322 bps) that correctly identifies Mechanical Query Gravity as the dominant failure mode.</w:t>
      </w:r>
    </w:p>
    <w:p>
      <w:pPr>
        <w:pStyle w:val="ListParagraph"/>
        <w:numPr>
          <w:ilvl w:val="0"/>
          <w:numId w:val="2"/>
        </w:numPr>
        <w:spacing w:after="80"/>
      </w:pPr>
      <w:r>
        <w:rPr>
          <w:rFonts w:ascii="Arial" w:cs="Arial" w:eastAsia="Arial" w:hAnsi="Arial"/>
          <w:sz w:val="22"/>
          <w:szCs w:val="22"/>
        </w:rPr>
        <w:t xml:space="preserve">Longitudinal tracking across 2024–2025 shows MDG correctly reflecting fleet governance actions: from CRITICAL through Advisory to Permissive as replacements stabilise the fleet.</w:t>
      </w:r>
    </w:p>
    <w:p>
      <w:pPr>
        <w:pStyle w:val="ListParagraph"/>
        <w:numPr>
          <w:ilvl w:val="0"/>
          <w:numId w:val="2"/>
        </w:numPr>
        <w:spacing w:after="80"/>
      </w:pPr>
      <w:r>
        <w:rPr>
          <w:rFonts w:ascii="Arial" w:cs="Arial" w:eastAsia="Arial" w:hAnsi="Arial"/>
          <w:sz w:val="22"/>
          <w:szCs w:val="22"/>
        </w:rPr>
        <w:t xml:space="preserve">The fixed poles (Σρᵢ = 1, OCC 51/49) hold across all fleet sizes and time periods without modification.</w:t>
      </w:r>
    </w:p>
    <w:p>
      <w:pPr>
        <w:pStyle w:val="ListParagraph"/>
        <w:numPr>
          <w:ilvl w:val="0"/>
          <w:numId w:val="2"/>
        </w:numPr>
        <w:spacing w:after="80"/>
      </w:pPr>
      <w:r>
        <w:rPr>
          <w:rFonts w:ascii="Arial" w:cs="Arial" w:eastAsia="Arial" w:hAnsi="Arial"/>
          <w:sz w:val="22"/>
          <w:szCs w:val="22"/>
        </w:rPr>
        <w:t xml:space="preserve">Leverage analysis identifies orphan-risk regimes (low-ρ legacy models, high-leverage failure modes) before failure cascades occur.</w:t>
      </w:r>
    </w:p>
    <w:p>
      <w:pPr>
        <w:spacing w:after="120"/>
        <w:jc w:val="left"/>
      </w:pPr>
      <w:r>
        <w:rPr>
          <w:rFonts w:ascii="Arial" w:cs="Arial" w:eastAsia="Arial" w:hAnsi="Arial"/>
          <w:sz w:val="22"/>
          <w:szCs w:val="22"/>
        </w:rPr>
        <w:t xml:space="preserve"/>
      </w:r>
    </w:p>
    <w:p>
      <w:pPr>
        <w:spacing w:after="120"/>
        <w:jc w:val="left"/>
      </w:pPr>
      <w:r>
        <w:rPr>
          <w:rFonts w:ascii="Arial" w:cs="Arial" w:eastAsia="Arial" w:hAnsi="Arial"/>
          <w:sz w:val="22"/>
          <w:szCs w:val="22"/>
        </w:rPr>
        <w:t xml:space="preserve">From loudspeaker diffraction corrections to datacenter storage governance, the structural invariant is the same: constrained systems whose components sum to unity exhibit predictable drift patterns when that constraint is monitored. HUF provides the monitoring.</w:t>
      </w:r>
    </w:p>
    <w:p>
      <w:pPr>
        <w:spacing w:after="120"/>
        <w:jc w:val="left"/>
      </w:pPr>
      <w:r>
        <w:rPr>
          <w:rFonts w:ascii="Arial" w:cs="Arial" w:eastAsia="Arial" w:hAnsi="Arial"/>
          <w:sz w:val="22"/>
          <w:szCs w:val="22"/>
        </w:rPr>
        <w:t xml:space="preserve"/>
      </w:r>
    </w:p>
    <w:p>
      <w:pPr>
        <w:spacing w:after="12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none"/>
              <w:bottom w:val="single" w:color="1F4E79" w:sz="4"/>
              <w:right w:val="none"/>
            </w:tcBorders>
            <w:tcMar>
              <w:top w:type="dxa" w:w="150"/>
              <w:left w:type="dxa" w:w="200"/>
              <w:bottom w:type="dxa" w:w="150"/>
              <w:right w:type="dxa" w:w="200"/>
            </w:tcMar>
          </w:tcPr>
          <w:p>
            <w:pPr>
              <w:spacing w:after="60"/>
            </w:pPr>
            <w:r>
              <w:rPr>
                <w:rFonts w:ascii="Arial" w:cs="Arial" w:eastAsia="Arial" w:hAnsi="Arial"/>
                <w:color w:val="666666"/>
                <w:sz w:val="18"/>
                <w:szCs w:val="18"/>
              </w:rPr>
              <w:t xml:space="preserve">Document ID: </w:t>
            </w:r>
            <w:r>
              <w:rPr>
                <w:rFonts w:ascii="Arial" w:cs="Arial" w:eastAsia="Arial" w:hAnsi="Arial"/>
                <w:b/>
                <w:bCs/>
                <w:color w:val="666666"/>
                <w:sz w:val="18"/>
                <w:szCs w:val="18"/>
              </w:rPr>
              <w:t xml:space="preserve">HUF.REL.CASE.EXHIBIT.BACKBLAZE_HDD_GOVERNANCE.v1.0</w:t>
            </w:r>
          </w:p>
          <w:p>
            <w:pPr>
              <w:spacing w:after="60"/>
            </w:pPr>
            <w:r>
              <w:rPr>
                <w:rFonts w:ascii="Arial" w:cs="Arial" w:eastAsia="Arial" w:hAnsi="Arial"/>
                <w:color w:val="666666"/>
                <w:sz w:val="18"/>
                <w:szCs w:val="18"/>
              </w:rPr>
              <w:t xml:space="preserve">HUF:1.1.8 | CAP: OP_MIN=0.51 TOOL_MAX=0.49 | MDG = 1,322 bps (anchor) | STATUS: EMPIRICALLY VALIDATED</w:t>
            </w:r>
          </w:p>
          <w:p>
            <w:r>
              <w:rPr>
                <w:rFonts w:ascii="Arial" w:cs="Arial" w:eastAsia="Arial" w:hAnsi="Arial"/>
                <w:color w:val="666666"/>
                <w:sz w:val="18"/>
                <w:szCs w:val="18"/>
              </w:rPr>
              <w:t xml:space="preserve">Operator: Peter Higgins | Co-Workers: Grok · Claude | March 8, 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jc w:val="center"/>
    </w:pPr>
    <w:r>
      <w:rPr>
        <w:rFonts w:ascii="Arial" w:cs="Arial" w:eastAsia="Arial" w:hAnsi="Arial"/>
        <w:color w:val="666666"/>
        <w:sz w:val="16"/>
        <w:szCs w:val="16"/>
      </w:rPr>
      <w:t xml:space="preserve">HUF.REL.CASE.EXHIBIT.BACKBLAZE_HDD_GOVERNANCE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left"/>
    </w:pPr>
    <w:r>
      <w:rPr>
        <w:rFonts w:ascii="Arial" w:cs="Arial" w:eastAsia="Arial" w:hAnsi="Arial"/>
        <w:color w:val="666666"/>
        <w:sz w:val="16"/>
        <w:szCs w:val="16"/>
      </w:rPr>
      <w:t xml:space="preserve">HUF:1.1.8 | CAP: OP_MIN=0.51 TOOL_MAX=0.49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2026-03-08T16:59:43.414Z</dcterms:created>
  <dcterms:modified xsi:type="dcterms:W3CDTF">2026-03-08T16:59:43.414Z</dcterms:modified>
</cp:coreProperties>
</file>

<file path=docProps/custom.xml><?xml version="1.0" encoding="utf-8"?>
<Properties xmlns="http://schemas.openxmlformats.org/officeDocument/2006/custom-properties" xmlns:vt="http://schemas.openxmlformats.org/officeDocument/2006/docPropsVTypes"/>
</file>