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Case for Support</w:t>
      </w:r>
    </w:p>
    <w:p>
      <w:pPr>
        <w:spacing w:after="160"/>
      </w:pPr>
      <w:r>
        <w:rPr>
          <w:b/>
          <w:bCs/>
        </w:rPr>
        <w:t xml:space="preserve">Composition Monitoring for Biodiversity Portfolio Governance</w:t>
      </w:r>
    </w:p>
    <w:p>
      <w:pPr>
        <w:spacing w:after="160"/>
      </w:pPr>
      <w:r>
        <w:rPr>
          <w:i/>
          <w:iCs/>
        </w:rPr>
        <w:t xml:space="preserve">Horizon Europe — Cluster 6: Food, Bioeconomy, Natural Resources, Agriculture and Environment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Submitted to</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European Research Executive Agency (REA) / Horizon Europe</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Document type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Case for Support (Research &amp; Innovation Action)</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Reference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Horizon Europe Cluster 6 — Destination: Biodiversity and Ecosystem Services</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Author</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Peter Higgins</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Affiliation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huf.org — Higgins Unity Framework</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Contact</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peter@huf.org · peterhiggins2016@gmail.com</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Date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17 March 2026</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Version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v2.0 (huf.org release)</w:t>
            </w:r>
          </w:p>
        </w:tc>
      </w:tr>
    </w:tbl>
    <w:p>
      <w:pPr>
        <w:spacing w:after="80"/>
      </w:pPr>
    </w:p>
    <w:p>
      <w:pPr>
        <w:pStyle w:val="Heading2"/>
      </w:pPr>
      <w:r>
        <w:t xml:space="preserve">Part 1: Excellence</w:t>
      </w:r>
    </w:p>
    <w:p>
      <w:pPr>
        <w:pStyle w:val="Heading3"/>
      </w:pPr>
      <w:r>
        <w:t xml:space="preserve">1.1 Objectives and ambition</w:t>
      </w:r>
    </w:p>
    <w:p>
      <w:pPr>
        <w:spacing w:after="160"/>
      </w:pPr>
      <w:r>
        <w:t xml:space="preserve">The overarching objective of this proposal is to develop, validate, and deploy Composition Monitoring (RSM), a novel monitoring paradigm for managed biodiversity portfolios, based on the Higgins Unity Framework (HUF) maintained at huf.org. RSM addresses a structural gap in biodiversity governance: the absence of a methodology that tracks management intent alongside ecological state.</w:t>
      </w:r>
    </w:p>
    <w:p>
      <w:pPr>
        <w:spacing w:after="160"/>
      </w:pPr>
      <w:r>
        <w:t xml:space="preserve">Specific objectives:</w:t>
      </w:r>
    </w:p>
    <w:p>
      <w:pPr>
        <w:pStyle w:val="ListParagraph"/>
        <w:numPr>
          <w:ilvl w:val="0"/>
          <w:numId w:val="2"/>
        </w:numPr>
        <w:spacing w:after="80"/>
      </w:pPr>
      <w:r>
        <w:t xml:space="preserve">Formalise the mathematical foundations of RSM within the compositional data analysis framework, establishing principled alert thresholds for governance drift detection.</w:t>
      </w:r>
    </w:p>
    <w:p>
      <w:pPr>
        <w:pStyle w:val="ListParagraph"/>
        <w:numPr>
          <w:ilvl w:val="0"/>
          <w:numId w:val="2"/>
        </w:numPr>
        <w:spacing w:after="80"/>
      </w:pPr>
      <w:r>
        <w:t xml:space="preserve">Validate RSM across a minimum of eight Ramsar-designated wetland sites spanning three European biogeographic regions (Atlantic, Continental, Mediterranean).</w:t>
      </w:r>
    </w:p>
    <w:p>
      <w:pPr>
        <w:pStyle w:val="ListParagraph"/>
        <w:numPr>
          <w:ilvl w:val="0"/>
          <w:numId w:val="2"/>
        </w:numPr>
        <w:spacing w:after="80"/>
      </w:pPr>
      <w:r>
        <w:t xml:space="preserve">Develop open-source tooling for MC-4 monitoring, integrating with existing Ramsar reporting workflows and compatible with the GEO BON EBV infrastructure.</w:t>
      </w:r>
    </w:p>
    <w:p>
      <w:pPr>
        <w:pStyle w:val="ListParagraph"/>
        <w:numPr>
          <w:ilvl w:val="0"/>
          <w:numId w:val="2"/>
        </w:numPr>
        <w:spacing w:after="80"/>
      </w:pPr>
      <w:r>
        <w:t xml:space="preserve">Propose HUF Portfolio Share (ρ) for adoption as an EBV class indicator via GEO BON and CBD SBSTTA.</w:t>
      </w:r>
    </w:p>
    <w:p>
      <w:pPr>
        <w:pStyle w:val="Heading3"/>
      </w:pPr>
      <w:r>
        <w:t xml:space="preserve">1.2 Relation to Horizon Europe work programme</w:t>
      </w:r>
    </w:p>
    <w:p>
      <w:pPr>
        <w:spacing w:after="160"/>
      </w:pPr>
      <w:r>
        <w:t xml:space="preserve">This proposal responds directly to the Cluster 6 Destination priority on ‘Protecting and restoring biodiversity and ecosystems’ (HORIZON-CL6-2026-BIODIV). GBF Target 3 requires that 30% of terrestrial and inland water areas are effectively conserved and managed by 2030. ‘Effectively managed’ is currently undefined in operational monitoring terms. HUF-RSM, as standardised at huf.org, provides a measurable, auditable, and technically rigorous operationalisation.</w:t>
      </w:r>
    </w:p>
    <w:p>
      <w:pPr>
        <w:pStyle w:val="Heading3"/>
      </w:pPr>
      <w:r>
        <w:t xml:space="preserve">1.3 Methodology</w:t>
      </w:r>
    </w:p>
    <w:p>
      <w:pPr>
        <w:spacing w:after="160"/>
      </w:pPr>
      <w:r>
        <w:rPr>
          <w:b/>
          <w:bCs/>
        </w:rPr>
        <w:t xml:space="preserve">Phase 1 (Months 1–12): </w:t>
      </w:r>
      <w:r>
        <w:t xml:space="preserve">Mathematical formalisation and single-site validation. Derive MDG thresholds from Dirichlet null model. Validate at Crna Mlaka and two additional sites.</w:t>
      </w:r>
    </w:p>
    <w:p>
      <w:pPr>
        <w:spacing w:after="160"/>
      </w:pPr>
      <w:r>
        <w:rPr>
          <w:b/>
          <w:bCs/>
        </w:rPr>
        <w:t xml:space="preserve">Phase 2 (Months 13–24): </w:t>
      </w:r>
      <w:r>
        <w:t xml:space="preserve">Multi-site deployment. Deploy MC-4 across eight Ramsar sites with national partners. Develop HUF Portfolio Tracker open-source package.</w:t>
      </w:r>
    </w:p>
    <w:p>
      <w:pPr>
        <w:spacing w:after="160"/>
      </w:pPr>
      <w:r>
        <w:rPr>
          <w:b/>
          <w:bCs/>
        </w:rPr>
        <w:t xml:space="preserve">Phase 3 (Months 25–36): </w:t>
      </w:r>
      <w:r>
        <w:t xml:space="preserve">Standardisation. Submit HUF-ρ EBV candidate. Publish formal results. Develop practitioner handbook. Engage CBD SBSTTA.</w:t>
      </w:r>
    </w:p>
    <w:p>
      <w:pPr>
        <w:pStyle w:val="Heading3"/>
      </w:pPr>
      <w:r>
        <w:t xml:space="preserve">1.4 Quality and credibility</w:t>
      </w:r>
    </w:p>
    <w:p>
      <w:pPr>
        <w:spacing w:after="160"/>
      </w:pPr>
      <w:r>
        <w:t xml:space="preserve">The research builds on development (2023–2026) across multiple domains including acoustic engineering, electronics manufacturing, and wetland ecology. The mathematical foundations (27 formal results, 4 audience editions) have been reviewed by the huf.org multi-AI collective (Claude, ChatGPT, Grok, Gemini, Copilot) under the HUF operator control framework, providing rigorous multi-perspective pre-peer-review. Human peer review is the designated next phase.</w:t>
      </w:r>
    </w:p>
    <w:p>
      <w:pPr>
        <w:pStyle w:val="Heading2"/>
      </w:pPr>
      <w:r>
        <w:t xml:space="preserve">Part 2: Impact</w:t>
      </w:r>
    </w:p>
    <w:p>
      <w:pPr>
        <w:pStyle w:val="Heading3"/>
      </w:pPr>
      <w:r>
        <w:t xml:space="preserve">2.1 Expected outcomes</w:t>
      </w:r>
    </w:p>
    <w:p>
      <w:pPr>
        <w:pStyle w:val="ListParagraph"/>
        <w:numPr>
          <w:ilvl w:val="0"/>
          <w:numId w:val="2"/>
        </w:numPr>
        <w:spacing w:after="80"/>
      </w:pPr>
      <w:r>
        <w:t xml:space="preserve">A validated open governance standard for managed biodiversity portfolios, applicable to all 2,465 Ramsar sites globally.</w:t>
      </w:r>
    </w:p>
    <w:p>
      <w:pPr>
        <w:pStyle w:val="ListParagraph"/>
        <w:numPr>
          <w:ilvl w:val="0"/>
          <w:numId w:val="2"/>
        </w:numPr>
        <w:spacing w:after="80"/>
      </w:pPr>
      <w:r>
        <w:t xml:space="preserve">Open-source MC-4 tooling enabling Ramsar site managers across Europe (~340 sites) to self-assess management effectiveness.</w:t>
      </w:r>
    </w:p>
    <w:p>
      <w:pPr>
        <w:pStyle w:val="ListParagraph"/>
        <w:numPr>
          <w:ilvl w:val="0"/>
          <w:numId w:val="2"/>
        </w:numPr>
        <w:spacing w:after="80"/>
      </w:pPr>
      <w:r>
        <w:t xml:space="preserve">A submitted EBV candidate providing a governance-layer metric complementary to existing ecological state EBVs.</w:t>
      </w:r>
    </w:p>
    <w:p>
      <w:pPr>
        <w:pStyle w:val="ListParagraph"/>
        <w:numPr>
          <w:ilvl w:val="0"/>
          <w:numId w:val="2"/>
        </w:numPr>
        <w:spacing w:after="80"/>
      </w:pPr>
      <w:r>
        <w:t xml:space="preserve">A peer-reviewed mathematical framework for composition monitoring applicable across ecology, resource management, and any finite-budget governance context.</w:t>
      </w:r>
    </w:p>
    <w:p>
      <w:pPr>
        <w:pStyle w:val="Heading3"/>
      </w:pPr>
      <w:r>
        <w:t xml:space="preserve">2.2 Policy relevance</w:t>
      </w:r>
    </w:p>
    <w:p>
      <w:pPr>
        <w:spacing w:after="160"/>
      </w:pPr>
      <w:r>
        <w:t xml:space="preserve">The project directly supports EU Biodiversity Strategy 2030 targets and the GBF framework, providing a technically rigorous methodology for the ‘effective management’ requirement.</w:t>
      </w:r>
    </w:p>
    <w:p>
      <w:pPr>
        <w:pStyle w:val="Heading3"/>
      </w:pPr>
      <w:r>
        <w:t xml:space="preserve">2.3 Exploitation and dissemination</w:t>
      </w:r>
    </w:p>
    <w:p>
      <w:pPr>
        <w:pStyle w:val="ListParagraph"/>
        <w:numPr>
          <w:ilvl w:val="0"/>
          <w:numId w:val="2"/>
        </w:numPr>
        <w:spacing w:after="80"/>
      </w:pPr>
      <w:r>
        <w:t xml:space="preserve">Peer-reviewed publications: 3 minimum (Mathematical Geosciences, Ecological Indicators, Journal of Applied Ecology)</w:t>
      </w:r>
    </w:p>
    <w:p>
      <w:pPr>
        <w:pStyle w:val="ListParagraph"/>
        <w:numPr>
          <w:ilvl w:val="0"/>
          <w:numId w:val="2"/>
        </w:numPr>
        <w:spacing w:after="80"/>
      </w:pPr>
      <w:r>
        <w:t xml:space="preserve">Conference presentations: CoDaWork 2026, INTECOL 2026, Ramsar COP15</w:t>
      </w:r>
    </w:p>
    <w:p>
      <w:pPr>
        <w:pStyle w:val="ListParagraph"/>
        <w:numPr>
          <w:ilvl w:val="0"/>
          <w:numId w:val="2"/>
        </w:numPr>
        <w:spacing w:after="80"/>
      </w:pPr>
      <w:r>
        <w:t xml:space="preserve">Open-source software: PyPI/CRAN package under MIT licence via huf.org</w:t>
      </w:r>
    </w:p>
    <w:p>
      <w:pPr>
        <w:pStyle w:val="ListParagraph"/>
        <w:numPr>
          <w:ilvl w:val="0"/>
          <w:numId w:val="2"/>
        </w:numPr>
        <w:spacing w:after="80"/>
      </w:pPr>
      <w:r>
        <w:t xml:space="preserve">Policy briefs: Ramsar Secretariat, CBD Secretariat, EEA</w:t>
      </w:r>
    </w:p>
    <w:p>
      <w:pPr>
        <w:pStyle w:val="Heading2"/>
      </w:pPr>
      <w:r>
        <w:t xml:space="preserve">Part 3: Implementation</w:t>
      </w:r>
    </w:p>
    <w:p>
      <w:pPr>
        <w:pStyle w:val="Heading3"/>
      </w:pPr>
      <w:r>
        <w:t xml:space="preserve">3.1 Consortium</w:t>
      </w:r>
    </w:p>
    <w:p>
      <w:pPr>
        <w:spacing w:after="160"/>
      </w:pPr>
      <w:r>
        <w:t xml:space="preserve">Lead applicant: Peter Higgins (huf.org / HUF Project). Letters of support being secured from: Croatian Waters (Hrvatske vode), Croatian Agency for Environment and Nature (HAOP), Ramsar Secretariat (observer), GEO BON Secretariat (observer). huf.org Governance Council participants are invited to join as consortium partners.</w:t>
      </w:r>
    </w:p>
    <w:p>
      <w:pPr>
        <w:pStyle w:val="Heading2"/>
      </w:pPr>
      <w:r>
        <w:t xml:space="preserve">About huf.org</w:t>
      </w:r>
    </w:p>
    <w:p>
      <w:pPr>
        <w:spacing w:after="160"/>
      </w:pPr>
      <w:r>
        <w:t xml:space="preserve">The Higgins Unity Framework is maintained as an open governance standard at </w:t>
      </w:r>
      <w:r>
        <w:rPr>
          <w:b/>
          <w:bCs/>
        </w:rPr>
        <w:t xml:space="preserve">huf.org</w:t>
      </w:r>
      <w:r>
        <w:t xml:space="preserve">. The standard, its reference implementations, audience-specific editions, and collective review record are publicly available under the MIT License. huf.org operates a tiered engagement model designed to serve organizations at whatever level of involvement serves their mission.</w:t>
      </w:r>
    </w:p>
    <w:p>
      <w:pPr>
        <w:spacing w:after="80"/>
      </w:pPr>
    </w:p>
    <w:p>
      <w:pPr>
        <w:spacing w:after="160"/>
      </w:pPr>
      <w:r>
        <w:rPr>
          <w:b/>
          <w:bCs/>
        </w:rPr>
        <w:t xml:space="preserve">Tier 1 — Reference. </w:t>
      </w:r>
      <w:r>
        <w:t xml:space="preserve">Any organization may reference the HUF standard freely. The complete mathematical corpus (27 formal results across 4 audience editions), monitoring protocols (MC-1 through MC-4), and open-source tooling are available at huf.org with no licensing requirements beyond MIT attribution.</w:t>
      </w:r>
    </w:p>
    <w:p>
      <w:pPr>
        <w:spacing w:after="160"/>
      </w:pPr>
      <w:r>
        <w:rPr>
          <w:b/>
          <w:bCs/>
        </w:rPr>
        <w:t xml:space="preserve">Tier 2 — Adoption. </w:t>
      </w:r>
      <w:r>
        <w:t xml:space="preserve">Organizations that formally adopt HUF methodology contribute validation data from their domain back to the repository, expanding the evidence base and earning citation in the collective review record. Adopters receive priority access to new editions and technical support from the huf.org development collective.</w:t>
      </w:r>
    </w:p>
    <w:p>
      <w:pPr>
        <w:spacing w:after="160"/>
      </w:pPr>
      <w:r>
        <w:rPr>
          <w:b/>
          <w:bCs/>
        </w:rPr>
        <w:t xml:space="preserve">Tier 3 — Stewardship. </w:t>
      </w:r>
      <w:r>
        <w:t xml:space="preserve">Organizations that join the huf.org Governance Council participate in the standard’s evolution: voting on amendments, proposing new audience editions, shaping the control stack (CL-01 through CL-05), and co-authoring the formal review trace. Stewards help determine what HUF becomes.</w:t>
      </w:r>
    </w:p>
    <w:p>
      <w:pPr>
        <w:spacing w:after="80"/>
      </w:pPr>
    </w:p>
    <w:p>
      <w:pPr>
        <w:pBdr>
          <w:left w:val="single" w:color="1A3A4A" w:sz="3" w:space="8"/>
        </w:pBdr>
        <w:spacing w:after="160"/>
        <w:ind w:left="720" w:right="720"/>
      </w:pPr>
      <w:r>
        <w:rPr>
          <w:i/>
          <w:iCs/>
          <w:color w:val="4A4A4A"/>
        </w:rPr>
        <w:t xml:space="preserve">huf.org invites engagement at whichever tier serves your mission. The standard exists to be used. Its governance exists to be shared.</w:t>
      </w:r>
    </w:p>
    <w:p>
      <w:pPr>
        <w:pStyle w:val="Heading2"/>
      </w:pPr>
      <w:r>
        <w:t xml:space="preserve">huf.org Resources</w:t>
      </w:r>
    </w:p>
    <w:p>
      <w:pPr>
        <w:pStyle w:val="ListParagraph"/>
        <w:numPr>
          <w:ilvl w:val="0"/>
          <w:numId w:val="2"/>
        </w:numPr>
        <w:spacing w:after="80"/>
      </w:pPr>
      <w:r>
        <w:rPr>
          <w:b/>
          <w:bCs/>
        </w:rPr>
        <w:t xml:space="preserve">Standard Repository: </w:t>
      </w:r>
      <w:r>
        <w:t xml:space="preserve">huf.org — complete corpus, all 4 audience editions, formal review trace</w:t>
      </w:r>
    </w:p>
    <w:p>
      <w:pPr>
        <w:pStyle w:val="ListParagraph"/>
        <w:numPr>
          <w:ilvl w:val="0"/>
          <w:numId w:val="2"/>
        </w:numPr>
        <w:spacing w:after="80"/>
      </w:pPr>
      <w:r>
        <w:rPr>
          <w:b/>
          <w:bCs/>
        </w:rPr>
        <w:t xml:space="preserve">Source Code: </w:t>
      </w:r>
      <w:r>
        <w:t xml:space="preserve">github.com/PeterHiggins19/huf_core — open-source implementations (MIT License)</w:t>
      </w:r>
    </w:p>
    <w:p>
      <w:pPr>
        <w:pStyle w:val="ListParagraph"/>
        <w:numPr>
          <w:ilvl w:val="0"/>
          <w:numId w:val="2"/>
        </w:numPr>
        <w:spacing w:after="80"/>
      </w:pPr>
      <w:r>
        <w:rPr>
          <w:b/>
          <w:bCs/>
        </w:rPr>
        <w:t xml:space="preserve">Documentation: </w:t>
      </w:r>
      <w:r>
        <w:t xml:space="preserve">huf.org/docs — developer manual, technical notes, wiki</w:t>
      </w:r>
    </w:p>
    <w:p>
      <w:pPr>
        <w:pStyle w:val="ListParagraph"/>
        <w:numPr>
          <w:ilvl w:val="0"/>
          <w:numId w:val="2"/>
        </w:numPr>
        <w:spacing w:after="80"/>
      </w:pPr>
      <w:r>
        <w:rPr>
          <w:b/>
          <w:bCs/>
        </w:rPr>
        <w:t xml:space="preserve">Collective Review Record: </w:t>
      </w:r>
      <w:r>
        <w:t xml:space="preserve">huf.org/review-trace — 27 multi-AI review documents, full provenance</w:t>
      </w:r>
    </w:p>
    <w:p>
      <w:pPr>
        <w:pStyle w:val="ListParagraph"/>
        <w:numPr>
          <w:ilvl w:val="0"/>
          <w:numId w:val="2"/>
        </w:numPr>
        <w:spacing w:after="80"/>
      </w:pPr>
      <w:r>
        <w:rPr>
          <w:b/>
          <w:bCs/>
        </w:rPr>
        <w:t xml:space="preserve">Audience Editions: </w:t>
      </w:r>
      <w:r>
        <w:t xml:space="preserve">Mathematician’s, Physics, Sciences, Engineering — same 27 results, domain-specific framing</w:t>
      </w:r>
    </w:p>
    <w:p>
      <w:pPr>
        <w:spacing w:after="80"/>
      </w:pPr>
    </w:p>
    <w:p>
      <w:pPr>
        <w:spacing w:after="160"/>
      </w:pPr>
      <w:r>
        <w:rPr>
          <w:i/>
          <w:iCs/>
        </w:rPr>
        <w:t xml:space="preserve">Contact: Peter Higgins — peter@huf.org · peterhiggins2016@gmail.com</w:t>
      </w:r>
    </w:p>
    <w:p>
      <w:pPr>
        <w:spacing w:after="80"/>
      </w:pPr>
    </w:p>
    <w:p>
      <w:pPr>
        <w:spacing w:after="160"/>
      </w:pPr>
      <w:r>
        <w:rPr>
          <w:i/>
          <w:iCs/>
        </w:rPr>
        <w:t xml:space="preserve">Prepared with AI-assisted drafting by the huf.org development collective (Claude, ChatGPT, Grok, Gemini, Copilot), reviewed and approved by Peter Higgins as principal author. All claims are stated conservatively and should be treated as hypotheses pending independent validation. The HUF standard has undergone 27 rounds of multi-AI collective review; human peer review is the designated next phase.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Georgia" w:cs="Georgia" w:eastAsia="Georgia" w:hAnsi="Georgia"/>
        <w:color w:val="888888"/>
        <w:sz w:val="16"/>
        <w:szCs w:val="16"/>
      </w:rPr>
      <w:t xml:space="preserve">huf.org  ·  MIT License  ·  Page </w:t>
    </w:r>
    <w:r>
      <w:rPr>
        <w:rFonts w:ascii="Georgia" w:cs="Georgia" w:eastAsia="Georgia" w:hAnsi="Georgia"/>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4A" w:sz="2" w:space="4"/>
      </w:pBdr>
      <w:spacing w:after="0"/>
      <w:jc w:val="left"/>
    </w:pPr>
    <w:r>
      <w:rPr>
        <w:rFonts w:ascii="Georgia" w:cs="Georgia" w:eastAsia="Georgia" w:hAnsi="Georgia"/>
        <w:b/>
        <w:bCs/>
        <w:color w:val="1A3A4A"/>
        <w:sz w:val="18"/>
        <w:szCs w:val="18"/>
      </w:rPr>
      <w:t xml:space="preserve">huf.org</w:t>
    </w:r>
    <w:r>
      <w:rPr>
        <w:rFonts w:ascii="Georgia" w:cs="Georgia" w:eastAsia="Georgia" w:hAnsi="Georgia"/>
        <w:color w:val="6A8A9A"/>
        <w:sz w:val="16"/>
        <w:szCs w:val="16"/>
      </w:rPr>
      <w:t xml:space="preserve">  —  Higgins Unity Framework  —  Open Governance Standard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A3A4A"/>
      <w:sz w:val="32"/>
      <w:szCs w:val="32"/>
    </w:rPr>
  </w:style>
  <w:style w:type="paragraph" w:styleId="Heading2">
    <w:name w:val="Heading 2"/>
    <w:basedOn w:val="Normal"/>
    <w:next w:val="Normal"/>
    <w:qFormat/>
    <w:pPr>
      <w:spacing w:after="160" w:before="280"/>
      <w:outlineLvl w:val="1"/>
    </w:pPr>
    <w:rPr>
      <w:rFonts w:ascii="Georgia" w:cs="Georgia" w:eastAsia="Georgia" w:hAnsi="Georgia"/>
      <w:b/>
      <w:bCs/>
      <w:color w:val="2A5A6A"/>
      <w:sz w:val="26"/>
      <w:szCs w:val="26"/>
    </w:rPr>
  </w:style>
  <w:style w:type="paragraph" w:styleId="Heading3">
    <w:name w:val="Heading 3"/>
    <w:basedOn w:val="Normal"/>
    <w:next w:val="Normal"/>
    <w:qFormat/>
    <w:pPr>
      <w:spacing w:after="120" w:before="200"/>
      <w:outlineLvl w:val="2"/>
    </w:pPr>
    <w:rPr>
      <w:rFonts w:ascii="Georgia" w:cs="Georgia" w:eastAsia="Georgia" w:hAnsi="Georgia"/>
      <w:b/>
      <w:bCs/>
      <w:color w:val="3A6A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2026-03-17T15:24:25.827Z</dcterms:created>
  <dcterms:modified xsi:type="dcterms:W3CDTF">2026-03-17T15:24:25.827Z</dcterms:modified>
</cp:coreProperties>
</file>

<file path=docProps/custom.xml><?xml version="1.0" encoding="utf-8"?>
<Properties xmlns="http://schemas.openxmlformats.org/officeDocument/2006/custom-properties" xmlns:vt="http://schemas.openxmlformats.org/officeDocument/2006/docPropsVTypes"/>
</file>