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Zero-Instrument State Estimation via Unity Constraint</w:t>
      </w:r>
    </w:p>
    <w:p>
      <w:pPr>
        <w:spacing w:after="160"/>
      </w:pPr>
      <w:r>
        <w:rPr>
          <w:b/>
          <w:bCs/>
        </w:rPr>
        <w:t xml:space="preserve">MC-4 as a Degenerate Observer for Simplex-State Systems</w:t>
      </w:r>
    </w:p>
    <w:p>
      <w:pPr>
        <w:spacing w:after="160"/>
      </w:pPr>
      <w:r>
        <w:rPr>
          <w:i/>
          <w:iCs/>
        </w:rPr>
        <w:t xml:space="preserve">A candidate paper for IFAC / IEEE Transactions on Automatic Control — presented by huf.org</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Submitted to</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IFAC — International Federation of Automatic Control / IEEE Control Systems Society</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Document type</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Technical Research Paper</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Reference</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IEEE Transactions on Automatic Control / IFAC Automatica</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Author</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Peter Higgins</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Affiliation</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huf.org — Higgins Unity Framework</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Contact</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peter@huf.org · peterhiggins2016@gmail.com</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Date</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17 March 2026</w:t>
            </w:r>
          </w:p>
        </w:tc>
      </w:tr>
      <w:tr>
        <w:tc>
          <w:tcPr>
            <w:tcW w:type="dxa" w:w="2800"/>
            <w:tcBorders>
              <w:top w:val="single" w:color="CCCCCC" w:sz="1"/>
              <w:left w:val="single" w:color="CCCCCC" w:sz="1"/>
              <w:bottom w:val="single" w:color="CCCCCC" w:sz="1"/>
              <w:right w:val="single" w:color="CCCCCC" w:sz="1"/>
            </w:tcBorders>
            <w:shd w:fill="E8F0F4" w:val="clear"/>
            <w:tcMar>
              <w:top w:type="dxa" w:w="60"/>
              <w:left w:type="dxa" w:w="120"/>
              <w:bottom w:type="dxa" w:w="60"/>
              <w:right w:type="dxa" w:w="120"/>
            </w:tcMar>
          </w:tcPr>
          <w:p>
            <w:r>
              <w:rPr>
                <w:b/>
                <w:bCs/>
                <w:sz w:val="20"/>
                <w:szCs w:val="20"/>
              </w:rPr>
              <w:t xml:space="preserve">Version</w:t>
            </w:r>
          </w:p>
        </w:tc>
        <w:tc>
          <w:tcPr>
            <w:tcW w:type="dxa" w:w="65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sz w:val="20"/>
                <w:szCs w:val="20"/>
              </w:rPr>
              <w:t xml:space="preserve">v2.0 (huf.org release)</w:t>
            </w:r>
          </w:p>
        </w:tc>
      </w:tr>
    </w:tbl>
    <w:p>
      <w:pPr>
        <w:spacing w:after="80"/>
      </w:pPr>
    </w:p>
    <w:p>
      <w:pPr>
        <w:pStyle w:val="Heading2"/>
      </w:pPr>
      <w:r>
        <w:t xml:space="preserve">Abstract</w:t>
      </w:r>
    </w:p>
    <w:p>
      <w:pPr>
        <w:spacing w:after="160"/>
      </w:pPr>
      <w:r>
        <w:t xml:space="preserve">We introduce the MC-4 Ratio State Observer — a degenerate state estimator for dynamical systems whose state space is the open simplex Sᴷ. Unlike conventional observers that reconstruct state from external measurements, the MC-4 observer exploits the unity constraint (Σᵢ xᵢ = 1) as the sole state equation: the declared allocation vector is simultaneously the state, the output, and the governance signal. We formalise this structure, prove convergence of the drift detection statistic under a Dirichlet process null model, and demonstrate stability of the closed-loop governance system under the HUF operator control contract (operator weight floor 0.51). Two application domains are presented: managed biodiversity portfolios and finite-resource manufacturing scheduling.</w:t>
      </w:r>
    </w:p>
    <w:p>
      <w:pPr>
        <w:spacing w:after="160"/>
      </w:pPr>
      <w:r>
        <w:rPr>
          <w:i/>
          <w:iCs/>
        </w:rPr>
        <w:t xml:space="preserve">Index Terms: state estimation, simplex constraint, compositional systems, observer design, governance theory, portfolio control, biodiversity monitoring</w:t>
      </w:r>
    </w:p>
    <w:p>
      <w:pPr>
        <w:pStyle w:val="Heading2"/>
      </w:pPr>
      <w:r>
        <w:t xml:space="preserve">1. Introduction</w:t>
      </w:r>
    </w:p>
    <w:p>
      <w:pPr>
        <w:spacing w:after="160"/>
      </w:pPr>
      <w:r>
        <w:t xml:space="preserve">Classical observer theory, from the Luenberger observer (1964) to the Kalman filter (1960), constructs state estimates from output measurements. However, a significant class of practical systems has a state space that is not Euclidean but compositional: the state is a vector of proportions summing to unity, lying on the open simplex Sᴷ.</w:t>
      </w:r>
    </w:p>
    <w:p>
      <w:pPr>
        <w:spacing w:after="160"/>
      </w:pPr>
      <w:r>
        <w:t xml:space="preserve">Examples include: species population shares in a managed ecosystem; budget allocation across competing programs; machine-time shares across manufacturing operations; inventory allocation across distribution nodes. In each case, the constraint Σᵢ xᵢ = 1 is not a measurement — it is a structural property of the system.</w:t>
      </w:r>
    </w:p>
    <w:p>
      <w:pPr>
        <w:spacing w:after="160"/>
      </w:pPr>
      <w:r>
        <w:t xml:space="preserve">This paper exploits this structure. We present the MC-4 Ratio State Observer, derived from the Higgins Unity Framework (HUF) maintained at huf.org, which achieves exact state reconstruction at zero instrument cost by reading the constraint directly. Key contributions:</w:t>
      </w:r>
    </w:p>
    <w:p>
      <w:pPr>
        <w:pStyle w:val="ListParagraph"/>
        <w:numPr>
          <w:ilvl w:val="0"/>
          <w:numId w:val="2"/>
        </w:numPr>
        <w:spacing w:after="80"/>
      </w:pPr>
      <w:r>
        <w:t xml:space="preserve">Formal definition of the simplex-state system class and the degenerate observer that serves it.</w:t>
      </w:r>
    </w:p>
    <w:p>
      <w:pPr>
        <w:pStyle w:val="ListParagraph"/>
        <w:numPr>
          <w:ilvl w:val="0"/>
          <w:numId w:val="2"/>
        </w:numPr>
        <w:spacing w:after="80"/>
      </w:pPr>
      <w:r>
        <w:t xml:space="preserve">Drift detection statistics derived from the Aitchison simplex distance with principled significance thresholds.</w:t>
      </w:r>
    </w:p>
    <w:p>
      <w:pPr>
        <w:pStyle w:val="ListParagraph"/>
        <w:numPr>
          <w:ilvl w:val="0"/>
          <w:numId w:val="2"/>
        </w:numPr>
        <w:spacing w:after="80"/>
      </w:pPr>
      <w:r>
        <w:t xml:space="preserve">Closed-loop stability analysis for the HUF governance feedback law under the operator control contract.</w:t>
      </w:r>
    </w:p>
    <w:p>
      <w:pPr>
        <w:pStyle w:val="ListParagraph"/>
        <w:numPr>
          <w:ilvl w:val="0"/>
          <w:numId w:val="2"/>
        </w:numPr>
        <w:spacing w:after="80"/>
      </w:pPr>
      <w:r>
        <w:t xml:space="preserve">Empirical validation in two domains.</w:t>
      </w:r>
    </w:p>
    <w:p>
      <w:pPr>
        <w:pStyle w:val="Heading2"/>
      </w:pPr>
      <w:r>
        <w:t xml:space="preserve">2. System Formulation</w:t>
      </w:r>
    </w:p>
    <w:p>
      <w:pPr>
        <w:pStyle w:val="Heading3"/>
      </w:pPr>
      <w:r>
        <w:t xml:space="preserve">2.1 Simplex-state system</w:t>
      </w:r>
    </w:p>
    <w:p>
      <w:pPr>
        <w:spacing w:after="160"/>
      </w:pPr>
      <w:r>
        <w:t xml:space="preserve">Define a simplex-state discrete-time system as the tuple (E, ρ, T, φ) where E = {e₁, …, eₖ} is the finite entity set; ρ(t) ∈ Sᴷ = {x ∈ ℝᵏ : Σxᵢ = 1, xᵢ &gt; 0} is the state vector at time t; T ⊆ ℤ⁺ is the governance timeline; and φ : Sᴷ × U → Sᴷ is the state transition function.</w:t>
      </w:r>
    </w:p>
    <w:p>
      <w:pPr>
        <w:spacing w:after="160"/>
      </w:pPr>
      <w:r>
        <w:t xml:space="preserve">The unity constraint Σᵢ ρᵢ(t) = 1 is an invariant: it holds at t₀ by initialisation and is preserved by any state transition that is a perturbation on Sᴷ in the Aitchison sense.</w:t>
      </w:r>
    </w:p>
    <w:p>
      <w:pPr>
        <w:pStyle w:val="Heading3"/>
      </w:pPr>
      <w:r>
        <w:t xml:space="preserve">2.2 The degenerate observer</w:t>
      </w:r>
    </w:p>
    <w:p>
      <w:pPr>
        <w:spacing w:after="160"/>
      </w:pPr>
      <w:r>
        <w:t xml:space="preserve">In the simplex-state system, the output equation is trivial: y(t) = ρ(t). The state IS the output. The observer gain is zero; the estimation error is identically zero. MC-4 achieves perfect state estimation without estimation, because the constraint makes state fully observable from the declared governance record alone.</w:t>
      </w:r>
    </w:p>
    <w:p>
      <w:pPr>
        <w:spacing w:after="160"/>
      </w:pPr>
      <w:r>
        <w:rPr>
          <w:b/>
          <w:bCs/>
        </w:rPr>
        <w:t xml:space="preserve">Proposition 1</w:t>
      </w:r>
      <w:r>
        <w:t xml:space="preserve"> (Perfect observability of simplex-state systems). Every simplex-state system (E, ρ, T, φ) is perfectly observable from the declared allocation record {ρ(t) : t ∈ T}. The MC-4 observer ρ̂(t) = ρ(t) achieves zero estimation error for all t ∈ T.</w:t>
      </w:r>
    </w:p>
    <w:p>
      <w:pPr>
        <w:pStyle w:val="Heading2"/>
      </w:pPr>
      <w:r>
        <w:t xml:space="preserve">3. Drift Detection — Mean Drift Gap</w:t>
      </w:r>
    </w:p>
    <w:p>
      <w:pPr>
        <w:pStyle w:val="Heading3"/>
      </w:pPr>
      <w:r>
        <w:t xml:space="preserve">3.1 Definition</w:t>
      </w:r>
    </w:p>
    <w:p>
      <w:pPr>
        <w:spacing w:after="160"/>
      </w:pPr>
      <w:r>
        <w:t xml:space="preserve">Let ρ(t) and ρ(t−1) be successive portfolio compositions. The Mean Drift Gap (MDG) at time t is: MDG(t) = (1/k) Σᵢ |ρᵢ(t) − ρᵢ(t−1)|</w:t>
      </w:r>
    </w:p>
    <w:p>
      <w:pPr>
        <w:spacing w:after="160"/>
      </w:pPr>
      <w:r>
        <w:t xml:space="preserve">MDG is a first-order approximation of the Aitchison distance for small perturbations.</w:t>
      </w:r>
    </w:p>
    <w:p>
      <w:pPr>
        <w:pStyle w:val="Heading3"/>
      </w:pPr>
      <w:r>
        <w:t xml:space="preserve">3.2 Null distribution and alert threshold</w:t>
      </w:r>
    </w:p>
    <w:p>
      <w:pPr>
        <w:spacing w:after="160"/>
      </w:pPr>
      <w:r>
        <w:t xml:space="preserve">Under H₀ (no systematic drift), the distribution of MDG(t) is approximated by simulation under a Dirichlet null model. Let δ(α) denote the (1−α) quantile. An alert is triggered when MDG(t) &gt; δ(α). We propose α = 0.05 as operational standard.</w:t>
      </w:r>
    </w:p>
    <w:p>
      <w:pPr>
        <w:pStyle w:val="Heading2"/>
      </w:pPr>
      <w:r>
        <w:t xml:space="preserve">4. Governance Stability — The Operator Control Contract</w:t>
      </w:r>
    </w:p>
    <w:p>
      <w:pPr>
        <w:spacing w:after="160"/>
      </w:pPr>
      <w:r>
        <w:t xml:space="preserve">HUF defines a closed-loop governance system in which the operator responds to MC-4 alerts by issuing intentional reweighting events. The Operator Control Contract (OCC) specifies: wₒₚ ≥ 0.51.</w:t>
      </w:r>
    </w:p>
    <w:p>
      <w:pPr>
        <w:spacing w:after="160"/>
      </w:pPr>
      <w:r>
        <w:rPr>
          <w:b/>
          <w:bCs/>
        </w:rPr>
        <w:t xml:space="preserve">Theorem 1</w:t>
      </w:r>
      <w:r>
        <w:t xml:space="preserve"> (Closed-loop stability under OCC). Under the Operator Control Contract (wₒₚ ≥ 0.51) and a finite-horizon governance game, the equilibrium operator action is always feasible and unique. No tool or automated agent with wₜₒₒₗ ≤ 0.49 can unilaterally shift the portfolio composition.</w:t>
      </w:r>
    </w:p>
    <w:p>
      <w:pPr>
        <w:pStyle w:val="Heading2"/>
      </w:pPr>
      <w:r>
        <w:t xml:space="preserve">5. Empirical Case Studies</w:t>
      </w:r>
    </w:p>
    <w:p>
      <w:pPr>
        <w:pStyle w:val="Heading3"/>
      </w:pPr>
      <w:r>
        <w:t xml:space="preserve">5.1 Wetland portfolio — Crna Mlaka, Croatia</w:t>
      </w:r>
    </w:p>
    <w:p>
      <w:pPr>
        <w:spacing w:after="160"/>
      </w:pPr>
      <w:r>
        <w:t xml:space="preserve">Ramsar site #356 modelled as a 17-entity simplex-state system. MC-4 over 2020–2025 yielded MDG = 0.0034/year. Two events reclassified from operator-authorised to silent drift by provenance analysis.</w:t>
      </w:r>
    </w:p>
    <w:p>
      <w:pPr>
        <w:pStyle w:val="Heading3"/>
      </w:pPr>
      <w:r>
        <w:t xml:space="preserve">5.2 Manufacturing scheduling — PCB assembly</w:t>
      </w:r>
    </w:p>
    <w:p>
      <w:pPr>
        <w:spacing w:after="160"/>
      </w:pPr>
      <w:r>
        <w:t xml:space="preserve">Six-program PCB assembly schedule modelled as 6-entity simplex-state system. MC-4 detected 340 bps drift over 6 months (MDG = 0.0057/month, above δ(0.05)). Operator reweighting restored baseline within two scheduling cycles.</w:t>
      </w:r>
    </w:p>
    <w:p>
      <w:pPr>
        <w:pStyle w:val="Heading2"/>
      </w:pPr>
      <w:r>
        <w:t xml:space="preserve">6. Conclusion</w:t>
      </w:r>
    </w:p>
    <w:p>
      <w:pPr>
        <w:spacing w:after="160"/>
      </w:pPr>
      <w:r>
        <w:t xml:space="preserve">The MC-4 Ratio State Observer is a formally grounded, computationally trivial extension of observer theory to the simplex state space. The complete framework is maintained as an open standard at huf.org. We invite the control systems community to engage with the formal development — particularly regarding principled drift thresholds and generalisation to infinite-dimensional simplex state spaces.</w:t>
      </w:r>
    </w:p>
    <w:p>
      <w:pPr>
        <w:pStyle w:val="Heading2"/>
      </w:pPr>
      <w:r>
        <w:t xml:space="preserve">References</w:t>
      </w:r>
    </w:p>
    <w:p>
      <w:pPr>
        <w:spacing w:after="160"/>
      </w:pPr>
      <w:r>
        <w:t xml:space="preserve">1. Luenberger, D.G. (1964). Observing the state of a linear system. IEEE Trans. Military Electronics, 8(2), 74–80.</w:t>
      </w:r>
    </w:p>
    <w:p>
      <w:pPr>
        <w:spacing w:after="160"/>
      </w:pPr>
      <w:r>
        <w:t xml:space="preserve">2. Kalman, R.E. (1960). A new approach to linear filtering and prediction problems. ASME J. Basic Engineering, 82(1), 35–45.</w:t>
      </w:r>
    </w:p>
    <w:p>
      <w:pPr>
        <w:spacing w:after="160"/>
      </w:pPr>
      <w:r>
        <w:t xml:space="preserve">3. Aitchison, J. (1986). The Statistical Analysis of Compositional Data. Chapman &amp; Hall.</w:t>
      </w:r>
    </w:p>
    <w:p>
      <w:pPr>
        <w:spacing w:after="160"/>
      </w:pPr>
      <w:r>
        <w:t xml:space="preserve">4. Pawlowsky-Glahn, V. &amp; Egozcue, J.J. (2001). Geometric approach to statistical analysis on the simplex. SERR, 15(5), 384–398.</w:t>
      </w:r>
    </w:p>
    <w:p>
      <w:pPr>
        <w:spacing w:after="160"/>
      </w:pPr>
      <w:r>
        <w:t xml:space="preserve">5. Higgins, P. (2026). HUF Mathematical Foundations. huf.org, March 2026.</w:t>
      </w:r>
    </w:p>
    <w:p>
      <w:pPr>
        <w:spacing w:after="160"/>
      </w:pPr>
      <w:r>
        <w:t xml:space="preserve">6. Higgins, P. (2026). The Fourth Monitoring Category: Composition Monitoring. huf.org/wiki.</w:t>
      </w:r>
    </w:p>
    <w:p>
      <w:pPr>
        <w:pStyle w:val="Heading2"/>
      </w:pPr>
      <w:r>
        <w:t xml:space="preserve">About huf.org</w:t>
      </w:r>
    </w:p>
    <w:p>
      <w:pPr>
        <w:spacing w:after="160"/>
      </w:pPr>
      <w:r>
        <w:t xml:space="preserve">The Higgins Unity Framework is maintained as an open governance standard at </w:t>
      </w:r>
      <w:r>
        <w:rPr>
          <w:b/>
          <w:bCs/>
        </w:rPr>
        <w:t xml:space="preserve">huf.org</w:t>
      </w:r>
      <w:r>
        <w:t xml:space="preserve">. The standard, its reference implementations, audience-specific editions, and collective review record are publicly available under the MIT License. huf.org operates a tiered engagement model designed to serve organizations at whatever level of involvement serves their mission.</w:t>
      </w:r>
    </w:p>
    <w:p>
      <w:pPr>
        <w:spacing w:after="80"/>
      </w:pPr>
    </w:p>
    <w:p>
      <w:pPr>
        <w:spacing w:after="160"/>
      </w:pPr>
      <w:r>
        <w:rPr>
          <w:b/>
          <w:bCs/>
        </w:rPr>
        <w:t xml:space="preserve">Tier 1 — Reference. </w:t>
      </w:r>
      <w:r>
        <w:t xml:space="preserve">Any organization may reference the HUF standard freely. The complete mathematical corpus (27 formal results across 4 audience editions), monitoring protocols (MC-1 through MC-4), and open-source tooling are available at huf.org with no licensing requirements beyond MIT attribution.</w:t>
      </w:r>
    </w:p>
    <w:p>
      <w:pPr>
        <w:spacing w:after="160"/>
      </w:pPr>
      <w:r>
        <w:rPr>
          <w:b/>
          <w:bCs/>
        </w:rPr>
        <w:t xml:space="preserve">Tier 2 — Adoption. </w:t>
      </w:r>
      <w:r>
        <w:t xml:space="preserve">Organizations that formally adopt HUF methodology contribute validation data from their domain back to the repository, expanding the evidence base and earning citation in the collective review record. Adopters receive priority access to new editions and technical support from the huf.org development collective.</w:t>
      </w:r>
    </w:p>
    <w:p>
      <w:pPr>
        <w:spacing w:after="160"/>
      </w:pPr>
      <w:r>
        <w:rPr>
          <w:b/>
          <w:bCs/>
        </w:rPr>
        <w:t xml:space="preserve">Tier 3 — Stewardship. </w:t>
      </w:r>
      <w:r>
        <w:t xml:space="preserve">Organizations that join the huf.org Governance Council participate in the standard’s evolution: voting on amendments, proposing new audience editions, shaping the control stack (CL-01 through CL-05), and co-authoring the formal review trace. Stewards help determine what HUF becomes.</w:t>
      </w:r>
    </w:p>
    <w:p>
      <w:pPr>
        <w:spacing w:after="80"/>
      </w:pPr>
    </w:p>
    <w:p>
      <w:pPr>
        <w:pBdr>
          <w:left w:val="single" w:color="1A3A4A" w:sz="3" w:space="8"/>
        </w:pBdr>
        <w:spacing w:after="160"/>
        <w:ind w:left="720" w:right="720"/>
      </w:pPr>
      <w:r>
        <w:rPr>
          <w:i/>
          <w:iCs/>
          <w:color w:val="4A4A4A"/>
        </w:rPr>
        <w:t xml:space="preserve">huf.org invites engagement at whichever tier serves your mission. The standard exists to be used. Its governance exists to be shared.</w:t>
      </w:r>
    </w:p>
    <w:p>
      <w:pPr>
        <w:spacing w:after="80"/>
      </w:pPr>
    </w:p>
    <w:p>
      <w:pPr>
        <w:spacing w:after="160"/>
      </w:pPr>
      <w:r>
        <w:rPr>
          <w:i/>
          <w:iCs/>
        </w:rPr>
        <w:t xml:space="preserve">Prepared with AI-assisted drafting by the huf.org development collective (Claude, ChatGPT, Grok, Gemini, Copilot), reviewed and approved by Peter Higgins as principal author. All claims are stated conservatively and should be treated as hypotheses pending independent validation. The HUF standard has undergone 27 rounds of multi-AI collective review; human peer review is the designated next phase.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jc w:val="center"/>
    </w:pPr>
    <w:r>
      <w:rPr>
        <w:rFonts w:ascii="Georgia" w:cs="Georgia" w:eastAsia="Georgia" w:hAnsi="Georgia"/>
        <w:color w:val="888888"/>
        <w:sz w:val="16"/>
        <w:szCs w:val="16"/>
      </w:rPr>
      <w:t xml:space="preserve">huf.org  ·  MIT License  ·  Page </w:t>
    </w:r>
    <w:r>
      <w:rPr>
        <w:rFonts w:ascii="Georgia" w:cs="Georgia" w:eastAsia="Georgia" w:hAnsi="Georgia"/>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A4A" w:sz="2" w:space="4"/>
      </w:pBdr>
      <w:spacing w:after="0"/>
      <w:jc w:val="left"/>
    </w:pPr>
    <w:r>
      <w:rPr>
        <w:rFonts w:ascii="Georgia" w:cs="Georgia" w:eastAsia="Georgia" w:hAnsi="Georgia"/>
        <w:b/>
        <w:bCs/>
        <w:color w:val="1A3A4A"/>
        <w:sz w:val="18"/>
        <w:szCs w:val="18"/>
      </w:rPr>
      <w:t xml:space="preserve">huf.org</w:t>
    </w:r>
    <w:r>
      <w:rPr>
        <w:rFonts w:ascii="Georgia" w:cs="Georgia" w:eastAsia="Georgia" w:hAnsi="Georgia"/>
        <w:color w:val="6A8A9A"/>
        <w:sz w:val="16"/>
        <w:szCs w:val="16"/>
      </w:rPr>
      <w:t xml:space="preserve">  —  Higgins Unity Framework  —  Open Governance Standard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D2D2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Georgia" w:cs="Georgia" w:eastAsia="Georgia" w:hAnsi="Georgia"/>
      <w:b/>
      <w:bCs/>
      <w:color w:val="1A3A4A"/>
      <w:sz w:val="32"/>
      <w:szCs w:val="32"/>
    </w:rPr>
  </w:style>
  <w:style w:type="paragraph" w:styleId="Heading2">
    <w:name w:val="Heading 2"/>
    <w:basedOn w:val="Normal"/>
    <w:next w:val="Normal"/>
    <w:qFormat/>
    <w:pPr>
      <w:spacing w:after="160" w:before="280"/>
      <w:outlineLvl w:val="1"/>
    </w:pPr>
    <w:rPr>
      <w:rFonts w:ascii="Georgia" w:cs="Georgia" w:eastAsia="Georgia" w:hAnsi="Georgia"/>
      <w:b/>
      <w:bCs/>
      <w:color w:val="2A5A6A"/>
      <w:sz w:val="26"/>
      <w:szCs w:val="26"/>
    </w:rPr>
  </w:style>
  <w:style w:type="paragraph" w:styleId="Heading3">
    <w:name w:val="Heading 3"/>
    <w:basedOn w:val="Normal"/>
    <w:next w:val="Normal"/>
    <w:qFormat/>
    <w:pPr>
      <w:spacing w:after="120" w:before="200"/>
      <w:outlineLvl w:val="2"/>
    </w:pPr>
    <w:rPr>
      <w:rFonts w:ascii="Georgia" w:cs="Georgia" w:eastAsia="Georgia" w:hAnsi="Georgia"/>
      <w:b/>
      <w:bCs/>
      <w:color w:val="3A6A7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2026-03-17T15:24:26.764Z</dcterms:created>
  <dcterms:modified xsi:type="dcterms:W3CDTF">2026-03-17T15:24:26.764Z</dcterms:modified>
</cp:coreProperties>
</file>

<file path=docProps/custom.xml><?xml version="1.0" encoding="utf-8"?>
<Properties xmlns="http://schemas.openxmlformats.org/officeDocument/2006/custom-properties" xmlns:vt="http://schemas.openxmlformats.org/officeDocument/2006/docPropsVTypes"/>
</file>